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E4B35" w14:textId="77777777" w:rsidR="00A7110C" w:rsidRDefault="00A7110C" w:rsidP="00A7110C">
      <w:pPr>
        <w:suppressAutoHyphens w:val="0"/>
        <w:jc w:val="center"/>
        <w:rPr>
          <w:sz w:val="26"/>
          <w:szCs w:val="26"/>
        </w:rPr>
      </w:pPr>
      <w:bookmarkStart w:id="0" w:name="_Toc128372958"/>
      <w:bookmarkStart w:id="1" w:name="_Toc131918485"/>
      <w:bookmarkStart w:id="2" w:name="_Toc142211018"/>
      <w:bookmarkStart w:id="3" w:name="_Toc143666661"/>
    </w:p>
    <w:p w14:paraId="09C7E8D4" w14:textId="77777777" w:rsidR="00A7110C" w:rsidRDefault="00A7110C" w:rsidP="00A7110C">
      <w:pPr>
        <w:suppressAutoHyphens w:val="0"/>
        <w:jc w:val="center"/>
        <w:rPr>
          <w:sz w:val="26"/>
          <w:szCs w:val="26"/>
        </w:rPr>
      </w:pPr>
    </w:p>
    <w:p w14:paraId="553BC5CF" w14:textId="77777777" w:rsidR="00A7110C" w:rsidRDefault="00A7110C" w:rsidP="00A7110C">
      <w:pPr>
        <w:suppressAutoHyphens w:val="0"/>
        <w:jc w:val="center"/>
        <w:rPr>
          <w:sz w:val="26"/>
          <w:szCs w:val="26"/>
        </w:rPr>
      </w:pPr>
    </w:p>
    <w:p w14:paraId="71208A43" w14:textId="77777777" w:rsidR="00A7110C" w:rsidRDefault="00A7110C" w:rsidP="00A7110C">
      <w:pPr>
        <w:suppressAutoHyphens w:val="0"/>
        <w:jc w:val="center"/>
        <w:rPr>
          <w:sz w:val="26"/>
          <w:szCs w:val="26"/>
        </w:rPr>
      </w:pPr>
    </w:p>
    <w:p w14:paraId="0865140B" w14:textId="77777777" w:rsidR="00A7110C" w:rsidRDefault="00A7110C" w:rsidP="00A7110C">
      <w:pPr>
        <w:suppressAutoHyphens w:val="0"/>
        <w:jc w:val="center"/>
        <w:rPr>
          <w:sz w:val="26"/>
          <w:szCs w:val="26"/>
        </w:rPr>
      </w:pPr>
    </w:p>
    <w:p w14:paraId="28BEAC76" w14:textId="77777777" w:rsidR="00A7110C" w:rsidRDefault="00A7110C" w:rsidP="00A7110C">
      <w:pPr>
        <w:suppressAutoHyphens w:val="0"/>
        <w:jc w:val="center"/>
        <w:rPr>
          <w:sz w:val="26"/>
          <w:szCs w:val="26"/>
        </w:rPr>
      </w:pPr>
    </w:p>
    <w:p w14:paraId="35EAE2C4" w14:textId="77777777" w:rsidR="00A7110C" w:rsidRDefault="00A7110C" w:rsidP="00A7110C">
      <w:pPr>
        <w:suppressAutoHyphens w:val="0"/>
        <w:jc w:val="center"/>
        <w:rPr>
          <w:sz w:val="26"/>
          <w:szCs w:val="26"/>
        </w:rPr>
      </w:pPr>
    </w:p>
    <w:p w14:paraId="4DE24CBE" w14:textId="77777777" w:rsidR="00147696" w:rsidRPr="00A63142" w:rsidRDefault="00147696" w:rsidP="00147696">
      <w:pPr>
        <w:widowControl w:val="0"/>
        <w:suppressAutoHyphens w:val="0"/>
        <w:autoSpaceDE w:val="0"/>
        <w:autoSpaceDN w:val="0"/>
        <w:adjustRightInd w:val="0"/>
        <w:spacing w:before="120" w:after="120"/>
        <w:ind w:left="5664" w:firstLine="708"/>
        <w:jc w:val="right"/>
        <w:rPr>
          <w:i/>
          <w:sz w:val="20"/>
          <w:szCs w:val="20"/>
          <w:lang w:eastAsia="et-EE"/>
        </w:rPr>
      </w:pPr>
      <w:r w:rsidRPr="00A63142">
        <w:rPr>
          <w:i/>
          <w:sz w:val="20"/>
          <w:szCs w:val="20"/>
          <w:lang w:eastAsia="et-EE"/>
        </w:rPr>
        <w:t>VÄLJAVÕTE</w:t>
      </w:r>
    </w:p>
    <w:p w14:paraId="7DA6F707" w14:textId="77777777" w:rsidR="00147696" w:rsidRPr="00A63142" w:rsidRDefault="00147696" w:rsidP="00147696">
      <w:pPr>
        <w:suppressAutoHyphens w:val="0"/>
        <w:autoSpaceDE w:val="0"/>
        <w:autoSpaceDN w:val="0"/>
        <w:adjustRightInd w:val="0"/>
        <w:jc w:val="right"/>
        <w:rPr>
          <w:color w:val="000000"/>
          <w:lang w:eastAsia="et-EE"/>
        </w:rPr>
      </w:pPr>
      <w:r w:rsidRPr="00A63142">
        <w:rPr>
          <w:i/>
          <w:sz w:val="20"/>
          <w:szCs w:val="20"/>
          <w:lang w:eastAsia="et-EE"/>
        </w:rPr>
        <w:t xml:space="preserve">Ärisaladus välja jäetud (tähistatud ...*)  </w:t>
      </w:r>
    </w:p>
    <w:p w14:paraId="0F0A4004" w14:textId="3CB8316D" w:rsidR="00A7110C" w:rsidRDefault="00A7110C" w:rsidP="00A7110C">
      <w:pPr>
        <w:suppressAutoHyphens w:val="0"/>
        <w:jc w:val="center"/>
        <w:rPr>
          <w:sz w:val="26"/>
          <w:szCs w:val="26"/>
        </w:rPr>
      </w:pPr>
    </w:p>
    <w:p w14:paraId="014D0A3A" w14:textId="038E0E91" w:rsidR="00D454F1" w:rsidRDefault="00D454F1" w:rsidP="00A7110C">
      <w:pPr>
        <w:suppressAutoHyphens w:val="0"/>
        <w:jc w:val="center"/>
        <w:rPr>
          <w:sz w:val="26"/>
          <w:szCs w:val="26"/>
        </w:rPr>
      </w:pPr>
    </w:p>
    <w:p w14:paraId="7BD18CB1" w14:textId="77777777" w:rsidR="00D454F1" w:rsidRDefault="00D454F1" w:rsidP="00A7110C">
      <w:pPr>
        <w:suppressAutoHyphens w:val="0"/>
        <w:jc w:val="center"/>
        <w:rPr>
          <w:sz w:val="26"/>
          <w:szCs w:val="26"/>
        </w:rPr>
      </w:pPr>
    </w:p>
    <w:p w14:paraId="17467F85" w14:textId="77777777" w:rsidR="00A7110C" w:rsidRDefault="00A7110C" w:rsidP="00A7110C">
      <w:pPr>
        <w:suppressAutoHyphens w:val="0"/>
        <w:jc w:val="center"/>
        <w:rPr>
          <w:sz w:val="26"/>
          <w:szCs w:val="26"/>
        </w:rPr>
      </w:pPr>
    </w:p>
    <w:p w14:paraId="0696CF49" w14:textId="77777777" w:rsidR="00A7110C" w:rsidRDefault="00A7110C" w:rsidP="00A7110C">
      <w:pPr>
        <w:suppressAutoHyphens w:val="0"/>
        <w:jc w:val="center"/>
        <w:rPr>
          <w:sz w:val="26"/>
          <w:szCs w:val="26"/>
        </w:rPr>
      </w:pPr>
    </w:p>
    <w:p w14:paraId="4BAD8F5B" w14:textId="77777777" w:rsidR="00EC114F" w:rsidRPr="00C50854" w:rsidRDefault="00EC114F" w:rsidP="00A7110C">
      <w:pPr>
        <w:suppressAutoHyphens w:val="0"/>
        <w:jc w:val="center"/>
        <w:rPr>
          <w:b/>
          <w:sz w:val="26"/>
          <w:szCs w:val="26"/>
        </w:rPr>
      </w:pPr>
      <w:r w:rsidRPr="00C50854">
        <w:rPr>
          <w:b/>
          <w:sz w:val="26"/>
          <w:szCs w:val="26"/>
        </w:rPr>
        <w:t xml:space="preserve">Kindlaksmääratud asukohas kohaliku juurdepääsu hulgituru </w:t>
      </w:r>
    </w:p>
    <w:p w14:paraId="7983418D" w14:textId="099FE398" w:rsidR="00F23FB8" w:rsidRDefault="00EC114F" w:rsidP="00A7110C">
      <w:pPr>
        <w:suppressAutoHyphens w:val="0"/>
        <w:jc w:val="center"/>
        <w:rPr>
          <w:b/>
          <w:sz w:val="26"/>
          <w:szCs w:val="26"/>
        </w:rPr>
      </w:pPr>
      <w:r w:rsidRPr="00C50854">
        <w:rPr>
          <w:b/>
          <w:sz w:val="26"/>
          <w:szCs w:val="26"/>
        </w:rPr>
        <w:t>piiritlemi</w:t>
      </w:r>
      <w:r w:rsidR="00305C05">
        <w:rPr>
          <w:b/>
          <w:sz w:val="26"/>
          <w:szCs w:val="26"/>
        </w:rPr>
        <w:t>s</w:t>
      </w:r>
      <w:r w:rsidRPr="00C50854">
        <w:rPr>
          <w:b/>
          <w:sz w:val="26"/>
          <w:szCs w:val="26"/>
        </w:rPr>
        <w:t>e, analüüs</w:t>
      </w:r>
      <w:r w:rsidR="00305C05">
        <w:rPr>
          <w:b/>
          <w:sz w:val="26"/>
          <w:szCs w:val="26"/>
        </w:rPr>
        <w:t>i</w:t>
      </w:r>
      <w:r w:rsidRPr="00C50854">
        <w:rPr>
          <w:b/>
          <w:sz w:val="26"/>
          <w:szCs w:val="26"/>
        </w:rPr>
        <w:t>, märkimisväärse turujõuga ettevõtjaks tunnistami</w:t>
      </w:r>
      <w:r w:rsidR="00305C05">
        <w:rPr>
          <w:b/>
          <w:sz w:val="26"/>
          <w:szCs w:val="26"/>
        </w:rPr>
        <w:t>s</w:t>
      </w:r>
      <w:r w:rsidRPr="00C50854">
        <w:rPr>
          <w:b/>
          <w:sz w:val="26"/>
          <w:szCs w:val="26"/>
        </w:rPr>
        <w:t>e ja kohustuste kehtestami</w:t>
      </w:r>
      <w:r w:rsidR="00305C05">
        <w:rPr>
          <w:b/>
          <w:sz w:val="26"/>
          <w:szCs w:val="26"/>
        </w:rPr>
        <w:t>s</w:t>
      </w:r>
      <w:r w:rsidRPr="00C50854">
        <w:rPr>
          <w:b/>
          <w:sz w:val="26"/>
          <w:szCs w:val="26"/>
        </w:rPr>
        <w:t>e</w:t>
      </w:r>
      <w:r w:rsidR="00305C05">
        <w:rPr>
          <w:b/>
          <w:sz w:val="26"/>
          <w:szCs w:val="26"/>
        </w:rPr>
        <w:t xml:space="preserve"> otsuse kavand</w:t>
      </w:r>
    </w:p>
    <w:p w14:paraId="6DF0FDC3" w14:textId="1A711638" w:rsidR="00D454F1" w:rsidRDefault="00D454F1" w:rsidP="00A7110C">
      <w:pPr>
        <w:suppressAutoHyphens w:val="0"/>
        <w:jc w:val="center"/>
        <w:rPr>
          <w:b/>
          <w:sz w:val="26"/>
          <w:szCs w:val="26"/>
        </w:rPr>
      </w:pPr>
    </w:p>
    <w:p w14:paraId="7F6E1212" w14:textId="77777777" w:rsidR="00D454F1" w:rsidRPr="00C50854" w:rsidRDefault="00D454F1" w:rsidP="00A7110C">
      <w:pPr>
        <w:suppressAutoHyphens w:val="0"/>
        <w:jc w:val="center"/>
        <w:rPr>
          <w:b/>
          <w:sz w:val="26"/>
          <w:szCs w:val="26"/>
        </w:rPr>
      </w:pPr>
    </w:p>
    <w:p w14:paraId="3B76B37C" w14:textId="77777777" w:rsidR="00F23FB8" w:rsidRPr="00C50854" w:rsidRDefault="00F23FB8" w:rsidP="00A7110C">
      <w:pPr>
        <w:suppressAutoHyphens w:val="0"/>
        <w:jc w:val="center"/>
        <w:rPr>
          <w:b/>
          <w:sz w:val="26"/>
          <w:szCs w:val="26"/>
        </w:rPr>
      </w:pPr>
    </w:p>
    <w:p w14:paraId="53D0803A" w14:textId="77777777" w:rsidR="00F23FB8" w:rsidRPr="00C50854" w:rsidRDefault="00F23FB8" w:rsidP="00A7110C">
      <w:pPr>
        <w:suppressAutoHyphens w:val="0"/>
        <w:jc w:val="center"/>
        <w:rPr>
          <w:b/>
          <w:sz w:val="26"/>
          <w:szCs w:val="26"/>
        </w:rPr>
      </w:pPr>
    </w:p>
    <w:p w14:paraId="00D4054B" w14:textId="77777777" w:rsidR="00F23FB8" w:rsidRPr="00C50854" w:rsidRDefault="00F23FB8" w:rsidP="00A7110C">
      <w:pPr>
        <w:suppressAutoHyphens w:val="0"/>
        <w:jc w:val="center"/>
        <w:rPr>
          <w:b/>
          <w:sz w:val="26"/>
          <w:szCs w:val="26"/>
        </w:rPr>
      </w:pPr>
    </w:p>
    <w:p w14:paraId="45EA87F4" w14:textId="0E7F1BFE" w:rsidR="00252652" w:rsidRPr="00C50854" w:rsidRDefault="009F4891" w:rsidP="00A7110C">
      <w:pPr>
        <w:suppressAutoHyphens w:val="0"/>
        <w:jc w:val="center"/>
        <w:rPr>
          <w:b/>
          <w:lang w:eastAsia="et-EE"/>
        </w:rPr>
      </w:pPr>
      <w:r w:rsidRPr="00C50854">
        <w:rPr>
          <w:b/>
          <w:lang w:eastAsia="et-EE"/>
        </w:rPr>
        <w:t>Tarbijakaitse ja</w:t>
      </w:r>
      <w:r w:rsidRPr="00C50854">
        <w:t xml:space="preserve"> </w:t>
      </w:r>
      <w:r w:rsidR="00F23FB8" w:rsidRPr="00C50854">
        <w:rPr>
          <w:b/>
          <w:lang w:eastAsia="et-EE"/>
        </w:rPr>
        <w:t xml:space="preserve">Tehnilise Järelevalve Amet </w:t>
      </w:r>
      <w:r w:rsidR="00A7110C" w:rsidRPr="00C50854">
        <w:rPr>
          <w:b/>
          <w:lang w:eastAsia="et-EE"/>
        </w:rPr>
        <w:br w:type="page"/>
      </w:r>
    </w:p>
    <w:p w14:paraId="516E6D16" w14:textId="77777777" w:rsidR="00FB63D8" w:rsidRPr="00C50854" w:rsidRDefault="00FB63D8" w:rsidP="00FB63D8">
      <w:pPr>
        <w:suppressAutoHyphens w:val="0"/>
        <w:spacing w:before="120" w:after="120"/>
        <w:jc w:val="both"/>
        <w:rPr>
          <w:color w:val="000000"/>
          <w:lang w:eastAsia="et-EE"/>
        </w:rPr>
      </w:pPr>
      <w:bookmarkStart w:id="4" w:name="_Toc215466459"/>
      <w:bookmarkStart w:id="5" w:name="_Toc216228012"/>
    </w:p>
    <w:p w14:paraId="19795779" w14:textId="1B54E72E" w:rsidR="006379EC" w:rsidRPr="00C50854" w:rsidRDefault="00742F7D">
      <w:pPr>
        <w:pStyle w:val="SK1"/>
        <w:rPr>
          <w:rFonts w:asciiTheme="minorHAnsi" w:eastAsiaTheme="minorEastAsia" w:hAnsiTheme="minorHAnsi" w:cstheme="minorBidi"/>
          <w:b w:val="0"/>
          <w:noProof/>
          <w:kern w:val="0"/>
          <w:lang w:eastAsia="et-EE"/>
        </w:rPr>
      </w:pPr>
      <w:r w:rsidRPr="00C50854">
        <w:fldChar w:fldCharType="begin"/>
      </w:r>
      <w:r w:rsidRPr="00C50854">
        <w:instrText xml:space="preserve"> TOC \o "1-3" \h \z \u </w:instrText>
      </w:r>
      <w:r w:rsidRPr="00C50854">
        <w:fldChar w:fldCharType="separate"/>
      </w:r>
      <w:hyperlink w:anchor="_Toc42072425" w:history="1">
        <w:r w:rsidR="006379EC" w:rsidRPr="00C50854">
          <w:rPr>
            <w:rStyle w:val="Hperlink"/>
            <w:noProof/>
          </w:rPr>
          <w:t>1. OTSUSE KOKKUVÕTE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_Toc42072425 \h </w:instrText>
        </w:r>
        <w:r w:rsidR="006379EC" w:rsidRPr="00C50854">
          <w:rPr>
            <w:noProof/>
            <w:webHidden/>
          </w:rPr>
        </w:r>
        <w:r w:rsidR="006379EC" w:rsidRPr="00C50854">
          <w:rPr>
            <w:noProof/>
            <w:webHidden/>
          </w:rPr>
          <w:fldChar w:fldCharType="separate"/>
        </w:r>
        <w:r w:rsidR="006379EC" w:rsidRPr="00C50854">
          <w:rPr>
            <w:noProof/>
            <w:webHidden/>
          </w:rPr>
          <w:t>4</w:t>
        </w:r>
        <w:r w:rsidR="006379EC" w:rsidRPr="00C50854">
          <w:rPr>
            <w:noProof/>
            <w:webHidden/>
          </w:rPr>
          <w:fldChar w:fldCharType="end"/>
        </w:r>
      </w:hyperlink>
    </w:p>
    <w:p w14:paraId="5F1D8975" w14:textId="3619FEEC" w:rsidR="006379EC" w:rsidRPr="00C50854" w:rsidRDefault="007C3A66">
      <w:pPr>
        <w:pStyle w:val="SK1"/>
        <w:rPr>
          <w:rFonts w:asciiTheme="minorHAnsi" w:eastAsiaTheme="minorEastAsia" w:hAnsiTheme="minorHAnsi" w:cstheme="minorBidi"/>
          <w:b w:val="0"/>
          <w:noProof/>
          <w:kern w:val="0"/>
          <w:lang w:eastAsia="et-EE"/>
        </w:rPr>
      </w:pPr>
      <w:hyperlink w:anchor="_Toc42072426" w:history="1">
        <w:r w:rsidR="006379EC" w:rsidRPr="00C50854">
          <w:rPr>
            <w:rStyle w:val="Hperlink"/>
            <w:noProof/>
          </w:rPr>
          <w:t>2. SISSEJUHATUS</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_Toc42072426 \h </w:instrText>
        </w:r>
        <w:r w:rsidR="006379EC" w:rsidRPr="00C50854">
          <w:rPr>
            <w:noProof/>
            <w:webHidden/>
          </w:rPr>
        </w:r>
        <w:r w:rsidR="006379EC" w:rsidRPr="00C50854">
          <w:rPr>
            <w:noProof/>
            <w:webHidden/>
          </w:rPr>
          <w:fldChar w:fldCharType="separate"/>
        </w:r>
        <w:r w:rsidR="006379EC" w:rsidRPr="00C50854">
          <w:rPr>
            <w:noProof/>
            <w:webHidden/>
          </w:rPr>
          <w:t>5</w:t>
        </w:r>
        <w:r w:rsidR="006379EC" w:rsidRPr="00C50854">
          <w:rPr>
            <w:noProof/>
            <w:webHidden/>
          </w:rPr>
          <w:fldChar w:fldCharType="end"/>
        </w:r>
      </w:hyperlink>
    </w:p>
    <w:p w14:paraId="0B2F38CE" w14:textId="09B2C71E"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27" w:history="1">
        <w:r w:rsidR="006379EC" w:rsidRPr="00C50854">
          <w:rPr>
            <w:rStyle w:val="Hperlink"/>
            <w:noProof/>
          </w:rPr>
          <w:t>2.1. Üldine õiguslik raamistik</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_Toc42072427 \h </w:instrText>
        </w:r>
        <w:r w:rsidR="006379EC" w:rsidRPr="00C50854">
          <w:rPr>
            <w:noProof/>
            <w:webHidden/>
          </w:rPr>
        </w:r>
        <w:r w:rsidR="006379EC" w:rsidRPr="00C50854">
          <w:rPr>
            <w:noProof/>
            <w:webHidden/>
          </w:rPr>
          <w:fldChar w:fldCharType="separate"/>
        </w:r>
        <w:r w:rsidR="006379EC" w:rsidRPr="00C50854">
          <w:rPr>
            <w:noProof/>
            <w:webHidden/>
          </w:rPr>
          <w:t>5</w:t>
        </w:r>
        <w:r w:rsidR="006379EC" w:rsidRPr="00C50854">
          <w:rPr>
            <w:noProof/>
            <w:webHidden/>
          </w:rPr>
          <w:fldChar w:fldCharType="end"/>
        </w:r>
      </w:hyperlink>
    </w:p>
    <w:p w14:paraId="2DA2EE82" w14:textId="391BCC31"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28" w:history="1">
        <w:r w:rsidR="006379EC" w:rsidRPr="00C50854">
          <w:rPr>
            <w:rStyle w:val="Hperlink"/>
            <w:noProof/>
          </w:rPr>
          <w:t>2.2. Koostöö Konkurentsiametiga</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_Toc42072428 \h </w:instrText>
        </w:r>
        <w:r w:rsidR="006379EC" w:rsidRPr="00C50854">
          <w:rPr>
            <w:noProof/>
            <w:webHidden/>
          </w:rPr>
        </w:r>
        <w:r w:rsidR="006379EC" w:rsidRPr="00C50854">
          <w:rPr>
            <w:noProof/>
            <w:webHidden/>
          </w:rPr>
          <w:fldChar w:fldCharType="separate"/>
        </w:r>
        <w:r w:rsidR="006379EC" w:rsidRPr="00C50854">
          <w:rPr>
            <w:noProof/>
            <w:webHidden/>
          </w:rPr>
          <w:t>6</w:t>
        </w:r>
        <w:r w:rsidR="006379EC" w:rsidRPr="00C50854">
          <w:rPr>
            <w:noProof/>
            <w:webHidden/>
          </w:rPr>
          <w:fldChar w:fldCharType="end"/>
        </w:r>
      </w:hyperlink>
    </w:p>
    <w:p w14:paraId="5EA4C97E" w14:textId="45EF9746"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29" w:history="1">
        <w:r w:rsidR="006379EC" w:rsidRPr="00C50854">
          <w:rPr>
            <w:rStyle w:val="Hperlink"/>
            <w:noProof/>
          </w:rPr>
          <w:t>2.3. Riigisisene konsulteerimine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_Toc42072429 \h </w:instrText>
        </w:r>
        <w:r w:rsidR="006379EC" w:rsidRPr="00C50854">
          <w:rPr>
            <w:noProof/>
            <w:webHidden/>
          </w:rPr>
        </w:r>
        <w:r w:rsidR="006379EC" w:rsidRPr="00C50854">
          <w:rPr>
            <w:noProof/>
            <w:webHidden/>
          </w:rPr>
          <w:fldChar w:fldCharType="separate"/>
        </w:r>
        <w:r w:rsidR="006379EC" w:rsidRPr="00C50854">
          <w:rPr>
            <w:noProof/>
            <w:webHidden/>
          </w:rPr>
          <w:t>6</w:t>
        </w:r>
        <w:r w:rsidR="006379EC" w:rsidRPr="00C50854">
          <w:rPr>
            <w:noProof/>
            <w:webHidden/>
          </w:rPr>
          <w:fldChar w:fldCharType="end"/>
        </w:r>
      </w:hyperlink>
    </w:p>
    <w:p w14:paraId="72D2BF90" w14:textId="627DFB21" w:rsidR="006379EC" w:rsidRPr="00C50854" w:rsidRDefault="007C3A66">
      <w:pPr>
        <w:pStyle w:val="SK1"/>
        <w:rPr>
          <w:rFonts w:asciiTheme="minorHAnsi" w:eastAsiaTheme="minorEastAsia" w:hAnsiTheme="minorHAnsi" w:cstheme="minorBidi"/>
          <w:b w:val="0"/>
          <w:noProof/>
          <w:kern w:val="0"/>
          <w:lang w:eastAsia="et-EE"/>
        </w:rPr>
      </w:pPr>
      <w:hyperlink w:anchor="_Toc42072430" w:history="1">
        <w:r w:rsidR="006379EC" w:rsidRPr="00C50854">
          <w:rPr>
            <w:rStyle w:val="Hperlink"/>
            <w:noProof/>
          </w:rPr>
          <w:t>3. TURU PIIRITLEMINE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_Toc42072430 \h </w:instrText>
        </w:r>
        <w:r w:rsidR="006379EC" w:rsidRPr="00C50854">
          <w:rPr>
            <w:noProof/>
            <w:webHidden/>
          </w:rPr>
        </w:r>
        <w:r w:rsidR="006379EC" w:rsidRPr="00C50854">
          <w:rPr>
            <w:noProof/>
            <w:webHidden/>
          </w:rPr>
          <w:fldChar w:fldCharType="separate"/>
        </w:r>
        <w:r w:rsidR="006379EC" w:rsidRPr="00C50854">
          <w:rPr>
            <w:noProof/>
            <w:webHidden/>
          </w:rPr>
          <w:t>7</w:t>
        </w:r>
        <w:r w:rsidR="006379EC" w:rsidRPr="00C50854">
          <w:rPr>
            <w:noProof/>
            <w:webHidden/>
          </w:rPr>
          <w:fldChar w:fldCharType="end"/>
        </w:r>
      </w:hyperlink>
    </w:p>
    <w:p w14:paraId="1A0BDA85" w14:textId="16C9F8D4"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31" w:history="1">
        <w:r w:rsidR="006379EC" w:rsidRPr="00C50854">
          <w:rPr>
            <w:rStyle w:val="Hperlink"/>
            <w:noProof/>
          </w:rPr>
          <w:t>3.1. Turu piiritlemise põhimõtted ja meetodid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_Toc42072431 \h </w:instrText>
        </w:r>
        <w:r w:rsidR="006379EC" w:rsidRPr="00C50854">
          <w:rPr>
            <w:noProof/>
            <w:webHidden/>
          </w:rPr>
        </w:r>
        <w:r w:rsidR="006379EC" w:rsidRPr="00C50854">
          <w:rPr>
            <w:noProof/>
            <w:webHidden/>
          </w:rPr>
          <w:fldChar w:fldCharType="separate"/>
        </w:r>
        <w:r w:rsidR="006379EC" w:rsidRPr="00C50854">
          <w:rPr>
            <w:noProof/>
            <w:webHidden/>
          </w:rPr>
          <w:t>7</w:t>
        </w:r>
        <w:r w:rsidR="006379EC" w:rsidRPr="00C50854">
          <w:rPr>
            <w:noProof/>
            <w:webHidden/>
          </w:rPr>
          <w:fldChar w:fldCharType="end"/>
        </w:r>
      </w:hyperlink>
    </w:p>
    <w:p w14:paraId="53CAE6AC" w14:textId="6ECF5606"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32" w:history="1">
        <w:r w:rsidR="006379EC" w:rsidRPr="00C50854">
          <w:rPr>
            <w:rStyle w:val="Hperlink"/>
            <w:noProof/>
          </w:rPr>
          <w:t>3.1.2. Turgude seotus</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_Toc42072432 \h </w:instrText>
        </w:r>
        <w:r w:rsidR="006379EC" w:rsidRPr="00C50854">
          <w:rPr>
            <w:noProof/>
            <w:webHidden/>
          </w:rPr>
        </w:r>
        <w:r w:rsidR="006379EC" w:rsidRPr="00C50854">
          <w:rPr>
            <w:noProof/>
            <w:webHidden/>
          </w:rPr>
          <w:fldChar w:fldCharType="separate"/>
        </w:r>
        <w:r w:rsidR="006379EC" w:rsidRPr="00C50854">
          <w:rPr>
            <w:noProof/>
            <w:webHidden/>
          </w:rPr>
          <w:t>9</w:t>
        </w:r>
        <w:r w:rsidR="006379EC" w:rsidRPr="00C50854">
          <w:rPr>
            <w:noProof/>
            <w:webHidden/>
          </w:rPr>
          <w:fldChar w:fldCharType="end"/>
        </w:r>
      </w:hyperlink>
    </w:p>
    <w:p w14:paraId="2A0043D4" w14:textId="2942537A"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33" w:history="1">
        <w:r w:rsidR="006379EC" w:rsidRPr="00C50854">
          <w:rPr>
            <w:rStyle w:val="Hperlink"/>
            <w:noProof/>
          </w:rPr>
          <w:t>3.1.3. Turu geograafilise käibimisala piiritlemise põhimõtted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_Toc42072433 \h </w:instrText>
        </w:r>
        <w:r w:rsidR="006379EC" w:rsidRPr="00C50854">
          <w:rPr>
            <w:noProof/>
            <w:webHidden/>
          </w:rPr>
        </w:r>
        <w:r w:rsidR="006379EC" w:rsidRPr="00C50854">
          <w:rPr>
            <w:noProof/>
            <w:webHidden/>
          </w:rPr>
          <w:fldChar w:fldCharType="separate"/>
        </w:r>
        <w:r w:rsidR="006379EC" w:rsidRPr="00C50854">
          <w:rPr>
            <w:noProof/>
            <w:webHidden/>
          </w:rPr>
          <w:t>9</w:t>
        </w:r>
        <w:r w:rsidR="006379EC" w:rsidRPr="00C50854">
          <w:rPr>
            <w:noProof/>
            <w:webHidden/>
          </w:rPr>
          <w:fldChar w:fldCharType="end"/>
        </w:r>
      </w:hyperlink>
    </w:p>
    <w:p w14:paraId="6736F2B5" w14:textId="02CF8457"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34" w:history="1">
        <w:r w:rsidR="006379EC" w:rsidRPr="00C50854">
          <w:rPr>
            <w:rStyle w:val="Hperlink"/>
            <w:noProof/>
          </w:rPr>
          <w:t>3.2. Kohaliku juurdepääsu hulgituru piiritlemine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_Toc42072434 \h </w:instrText>
        </w:r>
        <w:r w:rsidR="006379EC" w:rsidRPr="00C50854">
          <w:rPr>
            <w:noProof/>
            <w:webHidden/>
          </w:rPr>
        </w:r>
        <w:r w:rsidR="006379EC" w:rsidRPr="00C50854">
          <w:rPr>
            <w:noProof/>
            <w:webHidden/>
          </w:rPr>
          <w:fldChar w:fldCharType="separate"/>
        </w:r>
        <w:r w:rsidR="006379EC" w:rsidRPr="00C50854">
          <w:rPr>
            <w:noProof/>
            <w:webHidden/>
          </w:rPr>
          <w:t>10</w:t>
        </w:r>
        <w:r w:rsidR="006379EC" w:rsidRPr="00C50854">
          <w:rPr>
            <w:noProof/>
            <w:webHidden/>
          </w:rPr>
          <w:fldChar w:fldCharType="end"/>
        </w:r>
      </w:hyperlink>
    </w:p>
    <w:p w14:paraId="4209E9AA" w14:textId="26B79D8D"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35" w:history="1">
        <w:r w:rsidR="006379EC" w:rsidRPr="00C50854">
          <w:rPr>
            <w:rStyle w:val="Hperlink"/>
            <w:noProof/>
          </w:rPr>
          <w:t>3.2.1. Kohaliku juurdepääsu hulgituru koosseisu kuuluvate juurdepääsuteenuste määratlemine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_Toc42072435 \h </w:instrText>
        </w:r>
        <w:r w:rsidR="006379EC" w:rsidRPr="00C50854">
          <w:rPr>
            <w:noProof/>
            <w:webHidden/>
          </w:rPr>
        </w:r>
        <w:r w:rsidR="006379EC" w:rsidRPr="00C50854">
          <w:rPr>
            <w:noProof/>
            <w:webHidden/>
          </w:rPr>
          <w:fldChar w:fldCharType="separate"/>
        </w:r>
        <w:r w:rsidR="006379EC" w:rsidRPr="00C50854">
          <w:rPr>
            <w:noProof/>
            <w:webHidden/>
          </w:rPr>
          <w:t>10</w:t>
        </w:r>
        <w:r w:rsidR="006379EC" w:rsidRPr="00C50854">
          <w:rPr>
            <w:noProof/>
            <w:webHidden/>
          </w:rPr>
          <w:fldChar w:fldCharType="end"/>
        </w:r>
      </w:hyperlink>
    </w:p>
    <w:p w14:paraId="1155E56B" w14:textId="23AFA14C"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36" w:history="1">
        <w:r w:rsidR="006379EC" w:rsidRPr="00C50854">
          <w:rPr>
            <w:rStyle w:val="Hperlink"/>
            <w:noProof/>
          </w:rPr>
          <w:t>3.2.2. Turgude seotus</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_Toc42072436 \h </w:instrText>
        </w:r>
        <w:r w:rsidR="006379EC" w:rsidRPr="00C50854">
          <w:rPr>
            <w:noProof/>
            <w:webHidden/>
          </w:rPr>
        </w:r>
        <w:r w:rsidR="006379EC" w:rsidRPr="00C50854">
          <w:rPr>
            <w:noProof/>
            <w:webHidden/>
          </w:rPr>
          <w:fldChar w:fldCharType="separate"/>
        </w:r>
        <w:r w:rsidR="006379EC" w:rsidRPr="00C50854">
          <w:rPr>
            <w:noProof/>
            <w:webHidden/>
          </w:rPr>
          <w:t>15</w:t>
        </w:r>
        <w:r w:rsidR="006379EC" w:rsidRPr="00C50854">
          <w:rPr>
            <w:noProof/>
            <w:webHidden/>
          </w:rPr>
          <w:fldChar w:fldCharType="end"/>
        </w:r>
      </w:hyperlink>
    </w:p>
    <w:p w14:paraId="274EF85D" w14:textId="05454081"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37" w:history="1">
        <w:r w:rsidR="006379EC" w:rsidRPr="00C50854">
          <w:rPr>
            <w:rStyle w:val="Hperlink"/>
            <w:noProof/>
          </w:rPr>
          <w:t>3.2.3. Teenuse asendatavuse analüüs</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_Toc42072437 \h </w:instrText>
        </w:r>
        <w:r w:rsidR="006379EC" w:rsidRPr="00C50854">
          <w:rPr>
            <w:noProof/>
            <w:webHidden/>
          </w:rPr>
        </w:r>
        <w:r w:rsidR="006379EC" w:rsidRPr="00C50854">
          <w:rPr>
            <w:noProof/>
            <w:webHidden/>
          </w:rPr>
          <w:fldChar w:fldCharType="separate"/>
        </w:r>
        <w:r w:rsidR="006379EC" w:rsidRPr="00C50854">
          <w:rPr>
            <w:noProof/>
            <w:webHidden/>
          </w:rPr>
          <w:t>15</w:t>
        </w:r>
        <w:r w:rsidR="006379EC" w:rsidRPr="00C50854">
          <w:rPr>
            <w:noProof/>
            <w:webHidden/>
          </w:rPr>
          <w:fldChar w:fldCharType="end"/>
        </w:r>
      </w:hyperlink>
    </w:p>
    <w:p w14:paraId="1B9ACDFF" w14:textId="04DD26A3"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38" w:history="1">
        <w:r w:rsidR="006379EC" w:rsidRPr="00C50854">
          <w:rPr>
            <w:rStyle w:val="Hperlink"/>
            <w:noProof/>
          </w:rPr>
          <w:t>3.3. Turuosalised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_Toc42072438 \h </w:instrText>
        </w:r>
        <w:r w:rsidR="006379EC" w:rsidRPr="00C50854">
          <w:rPr>
            <w:noProof/>
            <w:webHidden/>
          </w:rPr>
        </w:r>
        <w:r w:rsidR="006379EC" w:rsidRPr="00C50854">
          <w:rPr>
            <w:noProof/>
            <w:webHidden/>
          </w:rPr>
          <w:fldChar w:fldCharType="separate"/>
        </w:r>
        <w:r w:rsidR="006379EC" w:rsidRPr="00C50854">
          <w:rPr>
            <w:noProof/>
            <w:webHidden/>
          </w:rPr>
          <w:t>23</w:t>
        </w:r>
        <w:r w:rsidR="006379EC" w:rsidRPr="00C50854">
          <w:rPr>
            <w:noProof/>
            <w:webHidden/>
          </w:rPr>
          <w:fldChar w:fldCharType="end"/>
        </w:r>
      </w:hyperlink>
    </w:p>
    <w:p w14:paraId="1CDD6AAF" w14:textId="422573AA"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39" w:history="1">
        <w:r w:rsidR="006379EC" w:rsidRPr="00C50854">
          <w:rPr>
            <w:rStyle w:val="Hperlink"/>
            <w:noProof/>
          </w:rPr>
          <w:t>3.4. Kohaliku juurdepääsu hulgituru piiritlemine: geograafiline käibimisala</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_Toc42072439 \h </w:instrText>
        </w:r>
        <w:r w:rsidR="006379EC" w:rsidRPr="00C50854">
          <w:rPr>
            <w:noProof/>
            <w:webHidden/>
          </w:rPr>
        </w:r>
        <w:r w:rsidR="006379EC" w:rsidRPr="00C50854">
          <w:rPr>
            <w:noProof/>
            <w:webHidden/>
          </w:rPr>
          <w:fldChar w:fldCharType="separate"/>
        </w:r>
        <w:r w:rsidR="006379EC" w:rsidRPr="00C50854">
          <w:rPr>
            <w:noProof/>
            <w:webHidden/>
          </w:rPr>
          <w:t>24</w:t>
        </w:r>
        <w:r w:rsidR="006379EC" w:rsidRPr="00C50854">
          <w:rPr>
            <w:noProof/>
            <w:webHidden/>
          </w:rPr>
          <w:fldChar w:fldCharType="end"/>
        </w:r>
      </w:hyperlink>
    </w:p>
    <w:p w14:paraId="75527424" w14:textId="7E5AA111"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40" w:history="1">
        <w:r w:rsidR="006379EC" w:rsidRPr="00C50854">
          <w:rPr>
            <w:rStyle w:val="Hperlink"/>
            <w:noProof/>
          </w:rPr>
          <w:t>3.5. Kohaliku juurdepääsu hulgiturg</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_Toc42072440 \h </w:instrText>
        </w:r>
        <w:r w:rsidR="006379EC" w:rsidRPr="00C50854">
          <w:rPr>
            <w:noProof/>
            <w:webHidden/>
          </w:rPr>
        </w:r>
        <w:r w:rsidR="006379EC" w:rsidRPr="00C50854">
          <w:rPr>
            <w:noProof/>
            <w:webHidden/>
          </w:rPr>
          <w:fldChar w:fldCharType="separate"/>
        </w:r>
        <w:r w:rsidR="006379EC" w:rsidRPr="00C50854">
          <w:rPr>
            <w:noProof/>
            <w:webHidden/>
          </w:rPr>
          <w:t>24</w:t>
        </w:r>
        <w:r w:rsidR="006379EC" w:rsidRPr="00C50854">
          <w:rPr>
            <w:noProof/>
            <w:webHidden/>
          </w:rPr>
          <w:fldChar w:fldCharType="end"/>
        </w:r>
      </w:hyperlink>
    </w:p>
    <w:p w14:paraId="773E8E99" w14:textId="1E23E027" w:rsidR="006379EC" w:rsidRPr="00C50854" w:rsidRDefault="007C3A66">
      <w:pPr>
        <w:pStyle w:val="SK1"/>
        <w:rPr>
          <w:rFonts w:asciiTheme="minorHAnsi" w:eastAsiaTheme="minorEastAsia" w:hAnsiTheme="minorHAnsi" w:cstheme="minorBidi"/>
          <w:b w:val="0"/>
          <w:noProof/>
          <w:kern w:val="0"/>
          <w:lang w:eastAsia="et-EE"/>
        </w:rPr>
      </w:pPr>
      <w:hyperlink w:anchor="_Toc42072441" w:history="1">
        <w:r w:rsidR="006379EC" w:rsidRPr="00C50854">
          <w:rPr>
            <w:rStyle w:val="Hperlink"/>
            <w:noProof/>
          </w:rPr>
          <w:t>4. TURUANALÜÜS</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_Toc42072441 \h </w:instrText>
        </w:r>
        <w:r w:rsidR="006379EC" w:rsidRPr="00C50854">
          <w:rPr>
            <w:noProof/>
            <w:webHidden/>
          </w:rPr>
        </w:r>
        <w:r w:rsidR="006379EC" w:rsidRPr="00C50854">
          <w:rPr>
            <w:noProof/>
            <w:webHidden/>
          </w:rPr>
          <w:fldChar w:fldCharType="separate"/>
        </w:r>
        <w:r w:rsidR="006379EC" w:rsidRPr="00C50854">
          <w:rPr>
            <w:noProof/>
            <w:webHidden/>
          </w:rPr>
          <w:t>25</w:t>
        </w:r>
        <w:r w:rsidR="006379EC" w:rsidRPr="00C50854">
          <w:rPr>
            <w:noProof/>
            <w:webHidden/>
          </w:rPr>
          <w:fldChar w:fldCharType="end"/>
        </w:r>
      </w:hyperlink>
    </w:p>
    <w:p w14:paraId="35F177CC" w14:textId="19092D2D"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42" w:history="1">
        <w:r w:rsidR="006379EC" w:rsidRPr="00C50854">
          <w:rPr>
            <w:rStyle w:val="Hperlink"/>
            <w:noProof/>
          </w:rPr>
          <w:t>4.1. Turuanalüüsi üldised põhimõtted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_Toc42072442 \h </w:instrText>
        </w:r>
        <w:r w:rsidR="006379EC" w:rsidRPr="00C50854">
          <w:rPr>
            <w:noProof/>
            <w:webHidden/>
          </w:rPr>
        </w:r>
        <w:r w:rsidR="006379EC" w:rsidRPr="00C50854">
          <w:rPr>
            <w:noProof/>
            <w:webHidden/>
          </w:rPr>
          <w:fldChar w:fldCharType="separate"/>
        </w:r>
        <w:r w:rsidR="006379EC" w:rsidRPr="00C50854">
          <w:rPr>
            <w:noProof/>
            <w:webHidden/>
          </w:rPr>
          <w:t>25</w:t>
        </w:r>
        <w:r w:rsidR="006379EC" w:rsidRPr="00C50854">
          <w:rPr>
            <w:noProof/>
            <w:webHidden/>
          </w:rPr>
          <w:fldChar w:fldCharType="end"/>
        </w:r>
      </w:hyperlink>
    </w:p>
    <w:p w14:paraId="0B8D9C76" w14:textId="66177886"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43" w:history="1">
        <w:r w:rsidR="006379EC" w:rsidRPr="00C50854">
          <w:rPr>
            <w:rStyle w:val="Hperlink"/>
            <w:noProof/>
          </w:rPr>
          <w:t>4.2. Turu ülevaade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_Toc42072443 \h </w:instrText>
        </w:r>
        <w:r w:rsidR="006379EC" w:rsidRPr="00C50854">
          <w:rPr>
            <w:noProof/>
            <w:webHidden/>
          </w:rPr>
        </w:r>
        <w:r w:rsidR="006379EC" w:rsidRPr="00C50854">
          <w:rPr>
            <w:noProof/>
            <w:webHidden/>
          </w:rPr>
          <w:fldChar w:fldCharType="separate"/>
        </w:r>
        <w:r w:rsidR="006379EC" w:rsidRPr="00C50854">
          <w:rPr>
            <w:noProof/>
            <w:webHidden/>
          </w:rPr>
          <w:t>27</w:t>
        </w:r>
        <w:r w:rsidR="006379EC" w:rsidRPr="00C50854">
          <w:rPr>
            <w:noProof/>
            <w:webHidden/>
          </w:rPr>
          <w:fldChar w:fldCharType="end"/>
        </w:r>
      </w:hyperlink>
    </w:p>
    <w:p w14:paraId="52B81C0E" w14:textId="1F042F9D"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44" w:history="1">
        <w:r w:rsidR="006379EC" w:rsidRPr="00C50854">
          <w:rPr>
            <w:rStyle w:val="Hperlink"/>
            <w:noProof/>
          </w:rPr>
          <w:t>4.2.1. Elektroonilise side jaeturud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_Toc42072444 \h </w:instrText>
        </w:r>
        <w:r w:rsidR="006379EC" w:rsidRPr="00C50854">
          <w:rPr>
            <w:noProof/>
            <w:webHidden/>
          </w:rPr>
        </w:r>
        <w:r w:rsidR="006379EC" w:rsidRPr="00C50854">
          <w:rPr>
            <w:noProof/>
            <w:webHidden/>
          </w:rPr>
          <w:fldChar w:fldCharType="separate"/>
        </w:r>
        <w:r w:rsidR="006379EC" w:rsidRPr="00C50854">
          <w:rPr>
            <w:noProof/>
            <w:webHidden/>
          </w:rPr>
          <w:t>27</w:t>
        </w:r>
        <w:r w:rsidR="006379EC" w:rsidRPr="00C50854">
          <w:rPr>
            <w:noProof/>
            <w:webHidden/>
          </w:rPr>
          <w:fldChar w:fldCharType="end"/>
        </w:r>
      </w:hyperlink>
    </w:p>
    <w:p w14:paraId="7C191FF8" w14:textId="0388CDC5"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45" w:history="1">
        <w:r w:rsidR="006379EC" w:rsidRPr="00C50854">
          <w:rPr>
            <w:rStyle w:val="Hperlink"/>
            <w:noProof/>
          </w:rPr>
          <w:t>4.3. Turujõu hindamine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_Toc42072445 \h </w:instrText>
        </w:r>
        <w:r w:rsidR="006379EC" w:rsidRPr="00C50854">
          <w:rPr>
            <w:noProof/>
            <w:webHidden/>
          </w:rPr>
        </w:r>
        <w:r w:rsidR="006379EC" w:rsidRPr="00C50854">
          <w:rPr>
            <w:noProof/>
            <w:webHidden/>
          </w:rPr>
          <w:fldChar w:fldCharType="separate"/>
        </w:r>
        <w:r w:rsidR="006379EC" w:rsidRPr="00C50854">
          <w:rPr>
            <w:noProof/>
            <w:webHidden/>
          </w:rPr>
          <w:t>33</w:t>
        </w:r>
        <w:r w:rsidR="006379EC" w:rsidRPr="00C50854">
          <w:rPr>
            <w:noProof/>
            <w:webHidden/>
          </w:rPr>
          <w:fldChar w:fldCharType="end"/>
        </w:r>
      </w:hyperlink>
    </w:p>
    <w:p w14:paraId="6AEC79F5" w14:textId="30AB47D8"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46" w:history="1">
        <w:r w:rsidR="006379EC" w:rsidRPr="00C50854">
          <w:rPr>
            <w:rStyle w:val="Hperlink"/>
            <w:noProof/>
          </w:rPr>
          <w:t>4.3.1. Turuosad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_Toc42072446 \h </w:instrText>
        </w:r>
        <w:r w:rsidR="006379EC" w:rsidRPr="00C50854">
          <w:rPr>
            <w:noProof/>
            <w:webHidden/>
          </w:rPr>
        </w:r>
        <w:r w:rsidR="006379EC" w:rsidRPr="00C50854">
          <w:rPr>
            <w:noProof/>
            <w:webHidden/>
          </w:rPr>
          <w:fldChar w:fldCharType="separate"/>
        </w:r>
        <w:r w:rsidR="006379EC" w:rsidRPr="00C50854">
          <w:rPr>
            <w:noProof/>
            <w:webHidden/>
          </w:rPr>
          <w:t>33</w:t>
        </w:r>
        <w:r w:rsidR="006379EC" w:rsidRPr="00C50854">
          <w:rPr>
            <w:noProof/>
            <w:webHidden/>
          </w:rPr>
          <w:fldChar w:fldCharType="end"/>
        </w:r>
      </w:hyperlink>
    </w:p>
    <w:p w14:paraId="0D0F986E" w14:textId="6F0E9D17"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47" w:history="1">
        <w:r w:rsidR="006379EC" w:rsidRPr="00C50854">
          <w:rPr>
            <w:rStyle w:val="Hperlink"/>
            <w:noProof/>
          </w:rPr>
          <w:t>4.3.2. Ettevõtja üldine suurus</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_Toc42072447 \h </w:instrText>
        </w:r>
        <w:r w:rsidR="006379EC" w:rsidRPr="00C50854">
          <w:rPr>
            <w:noProof/>
            <w:webHidden/>
          </w:rPr>
        </w:r>
        <w:r w:rsidR="006379EC" w:rsidRPr="00C50854">
          <w:rPr>
            <w:noProof/>
            <w:webHidden/>
          </w:rPr>
          <w:fldChar w:fldCharType="separate"/>
        </w:r>
        <w:r w:rsidR="006379EC" w:rsidRPr="00C50854">
          <w:rPr>
            <w:noProof/>
            <w:webHidden/>
          </w:rPr>
          <w:t>36</w:t>
        </w:r>
        <w:r w:rsidR="006379EC" w:rsidRPr="00C50854">
          <w:rPr>
            <w:noProof/>
            <w:webHidden/>
          </w:rPr>
          <w:fldChar w:fldCharType="end"/>
        </w:r>
      </w:hyperlink>
    </w:p>
    <w:p w14:paraId="2A576125" w14:textId="1791A7CC"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48" w:history="1">
        <w:r w:rsidR="006379EC" w:rsidRPr="00C50854">
          <w:rPr>
            <w:rStyle w:val="Hperlink"/>
            <w:noProof/>
          </w:rPr>
          <w:t>4.3.3. Sisenemistõkked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_Toc42072448 \h </w:instrText>
        </w:r>
        <w:r w:rsidR="006379EC" w:rsidRPr="00C50854">
          <w:rPr>
            <w:noProof/>
            <w:webHidden/>
          </w:rPr>
        </w:r>
        <w:r w:rsidR="006379EC" w:rsidRPr="00C50854">
          <w:rPr>
            <w:noProof/>
            <w:webHidden/>
          </w:rPr>
          <w:fldChar w:fldCharType="separate"/>
        </w:r>
        <w:r w:rsidR="006379EC" w:rsidRPr="00C50854">
          <w:rPr>
            <w:noProof/>
            <w:webHidden/>
          </w:rPr>
          <w:t>41</w:t>
        </w:r>
        <w:r w:rsidR="006379EC" w:rsidRPr="00C50854">
          <w:rPr>
            <w:noProof/>
            <w:webHidden/>
          </w:rPr>
          <w:fldChar w:fldCharType="end"/>
        </w:r>
      </w:hyperlink>
    </w:p>
    <w:p w14:paraId="75369038" w14:textId="6FC71984"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49" w:history="1">
        <w:r w:rsidR="006379EC" w:rsidRPr="00C50854">
          <w:rPr>
            <w:rStyle w:val="Hperlink"/>
            <w:noProof/>
          </w:rPr>
          <w:t>4.4. Tasakaalustav ostujõud kohaliku juurdepääsu hulgiturul</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_Toc42072449 \h </w:instrText>
        </w:r>
        <w:r w:rsidR="006379EC" w:rsidRPr="00C50854">
          <w:rPr>
            <w:noProof/>
            <w:webHidden/>
          </w:rPr>
        </w:r>
        <w:r w:rsidR="006379EC" w:rsidRPr="00C50854">
          <w:rPr>
            <w:noProof/>
            <w:webHidden/>
          </w:rPr>
          <w:fldChar w:fldCharType="separate"/>
        </w:r>
        <w:r w:rsidR="006379EC" w:rsidRPr="00C50854">
          <w:rPr>
            <w:noProof/>
            <w:webHidden/>
          </w:rPr>
          <w:t>44</w:t>
        </w:r>
        <w:r w:rsidR="006379EC" w:rsidRPr="00C50854">
          <w:rPr>
            <w:noProof/>
            <w:webHidden/>
          </w:rPr>
          <w:fldChar w:fldCharType="end"/>
        </w:r>
      </w:hyperlink>
    </w:p>
    <w:p w14:paraId="4947B4FF" w14:textId="239A8462" w:rsidR="006379EC" w:rsidRPr="00C50854" w:rsidRDefault="007C3A66">
      <w:pPr>
        <w:pStyle w:val="SK1"/>
        <w:rPr>
          <w:rFonts w:asciiTheme="minorHAnsi" w:eastAsiaTheme="minorEastAsia" w:hAnsiTheme="minorHAnsi" w:cstheme="minorBidi"/>
          <w:b w:val="0"/>
          <w:noProof/>
          <w:kern w:val="0"/>
          <w:lang w:eastAsia="et-EE"/>
        </w:rPr>
      </w:pPr>
      <w:hyperlink w:anchor="_Toc42072450" w:history="1">
        <w:r w:rsidR="006379EC" w:rsidRPr="00C50854">
          <w:rPr>
            <w:rStyle w:val="Hperlink"/>
            <w:noProof/>
          </w:rPr>
          <w:t>5. MÄRKIMISVÄÄRSE TURUJÕUGA  ETTEVÕTJAKS TUNNISTAMINE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_Toc42072450 \h </w:instrText>
        </w:r>
        <w:r w:rsidR="006379EC" w:rsidRPr="00C50854">
          <w:rPr>
            <w:noProof/>
            <w:webHidden/>
          </w:rPr>
        </w:r>
        <w:r w:rsidR="006379EC" w:rsidRPr="00C50854">
          <w:rPr>
            <w:noProof/>
            <w:webHidden/>
          </w:rPr>
          <w:fldChar w:fldCharType="separate"/>
        </w:r>
        <w:r w:rsidR="006379EC" w:rsidRPr="00C50854">
          <w:rPr>
            <w:noProof/>
            <w:webHidden/>
          </w:rPr>
          <w:t>45</w:t>
        </w:r>
        <w:r w:rsidR="006379EC" w:rsidRPr="00C50854">
          <w:rPr>
            <w:noProof/>
            <w:webHidden/>
          </w:rPr>
          <w:fldChar w:fldCharType="end"/>
        </w:r>
      </w:hyperlink>
    </w:p>
    <w:p w14:paraId="5EF76FD4" w14:textId="10FAFA44" w:rsidR="006379EC" w:rsidRPr="00C50854" w:rsidRDefault="007C3A66">
      <w:pPr>
        <w:pStyle w:val="SK1"/>
        <w:rPr>
          <w:rFonts w:asciiTheme="minorHAnsi" w:eastAsiaTheme="minorEastAsia" w:hAnsiTheme="minorHAnsi" w:cstheme="minorBidi"/>
          <w:b w:val="0"/>
          <w:noProof/>
          <w:kern w:val="0"/>
          <w:lang w:eastAsia="et-EE"/>
        </w:rPr>
      </w:pPr>
      <w:hyperlink w:anchor="_Toc42072451" w:history="1">
        <w:r w:rsidR="006379EC" w:rsidRPr="00C50854">
          <w:rPr>
            <w:rStyle w:val="Hperlink"/>
            <w:noProof/>
          </w:rPr>
          <w:t>6. KEHTESTATAVAD KOHUSTUSED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_Toc42072451 \h </w:instrText>
        </w:r>
        <w:r w:rsidR="006379EC" w:rsidRPr="00C50854">
          <w:rPr>
            <w:noProof/>
            <w:webHidden/>
          </w:rPr>
        </w:r>
        <w:r w:rsidR="006379EC" w:rsidRPr="00C50854">
          <w:rPr>
            <w:noProof/>
            <w:webHidden/>
          </w:rPr>
          <w:fldChar w:fldCharType="separate"/>
        </w:r>
        <w:r w:rsidR="006379EC" w:rsidRPr="00C50854">
          <w:rPr>
            <w:noProof/>
            <w:webHidden/>
          </w:rPr>
          <w:t>45</w:t>
        </w:r>
        <w:r w:rsidR="006379EC" w:rsidRPr="00C50854">
          <w:rPr>
            <w:noProof/>
            <w:webHidden/>
          </w:rPr>
          <w:fldChar w:fldCharType="end"/>
        </w:r>
      </w:hyperlink>
    </w:p>
    <w:p w14:paraId="558A0602" w14:textId="0900A5B5"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52" w:history="1">
        <w:r w:rsidR="006379EC" w:rsidRPr="00C50854">
          <w:rPr>
            <w:rStyle w:val="Hperlink"/>
            <w:noProof/>
          </w:rPr>
          <w:t>6.1. Kohustuste kehtestamise eesmärk, alused ja mõisted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_Toc42072452 \h </w:instrText>
        </w:r>
        <w:r w:rsidR="006379EC" w:rsidRPr="00C50854">
          <w:rPr>
            <w:noProof/>
            <w:webHidden/>
          </w:rPr>
        </w:r>
        <w:r w:rsidR="006379EC" w:rsidRPr="00C50854">
          <w:rPr>
            <w:noProof/>
            <w:webHidden/>
          </w:rPr>
          <w:fldChar w:fldCharType="separate"/>
        </w:r>
        <w:r w:rsidR="006379EC" w:rsidRPr="00C50854">
          <w:rPr>
            <w:noProof/>
            <w:webHidden/>
          </w:rPr>
          <w:t>45</w:t>
        </w:r>
        <w:r w:rsidR="006379EC" w:rsidRPr="00C50854">
          <w:rPr>
            <w:noProof/>
            <w:webHidden/>
          </w:rPr>
          <w:fldChar w:fldCharType="end"/>
        </w:r>
      </w:hyperlink>
    </w:p>
    <w:p w14:paraId="2B156D72" w14:textId="4C4C9EBB"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53" w:history="1">
        <w:r w:rsidR="006379EC" w:rsidRPr="00C50854">
          <w:rPr>
            <w:rStyle w:val="Hperlink"/>
            <w:noProof/>
          </w:rPr>
          <w:t>6.2. Juurdepääsu kohustused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_Toc42072453 \h </w:instrText>
        </w:r>
        <w:r w:rsidR="006379EC" w:rsidRPr="00C50854">
          <w:rPr>
            <w:noProof/>
            <w:webHidden/>
          </w:rPr>
        </w:r>
        <w:r w:rsidR="006379EC" w:rsidRPr="00C50854">
          <w:rPr>
            <w:noProof/>
            <w:webHidden/>
          </w:rPr>
          <w:fldChar w:fldCharType="separate"/>
        </w:r>
        <w:r w:rsidR="006379EC" w:rsidRPr="00C50854">
          <w:rPr>
            <w:noProof/>
            <w:webHidden/>
          </w:rPr>
          <w:t>50</w:t>
        </w:r>
        <w:r w:rsidR="006379EC" w:rsidRPr="00C50854">
          <w:rPr>
            <w:noProof/>
            <w:webHidden/>
          </w:rPr>
          <w:fldChar w:fldCharType="end"/>
        </w:r>
      </w:hyperlink>
    </w:p>
    <w:p w14:paraId="70146569" w14:textId="23670788"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54" w:history="1">
        <w:r w:rsidR="006379EC" w:rsidRPr="00C50854">
          <w:rPr>
            <w:rStyle w:val="Hperlink"/>
            <w:noProof/>
          </w:rPr>
          <w:t>6.2.1. Juurdepääsu kohustuste eesmärk ja alused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_Toc42072454 \h </w:instrText>
        </w:r>
        <w:r w:rsidR="006379EC" w:rsidRPr="00C50854">
          <w:rPr>
            <w:noProof/>
            <w:webHidden/>
          </w:rPr>
        </w:r>
        <w:r w:rsidR="006379EC" w:rsidRPr="00C50854">
          <w:rPr>
            <w:noProof/>
            <w:webHidden/>
          </w:rPr>
          <w:fldChar w:fldCharType="separate"/>
        </w:r>
        <w:r w:rsidR="006379EC" w:rsidRPr="00C50854">
          <w:rPr>
            <w:noProof/>
            <w:webHidden/>
          </w:rPr>
          <w:t>50</w:t>
        </w:r>
        <w:r w:rsidR="006379EC" w:rsidRPr="00C50854">
          <w:rPr>
            <w:noProof/>
            <w:webHidden/>
          </w:rPr>
          <w:fldChar w:fldCharType="end"/>
        </w:r>
      </w:hyperlink>
    </w:p>
    <w:p w14:paraId="5983536C" w14:textId="6E9319FA"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55" w:history="1">
        <w:r w:rsidR="006379EC" w:rsidRPr="00C50854">
          <w:rPr>
            <w:rStyle w:val="Hperlink"/>
            <w:noProof/>
          </w:rPr>
          <w:t>6.2.2 Juurdepääsuga seotud konkurentsiprobleemid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_Toc42072455 \h </w:instrText>
        </w:r>
        <w:r w:rsidR="006379EC" w:rsidRPr="00C50854">
          <w:rPr>
            <w:noProof/>
            <w:webHidden/>
          </w:rPr>
        </w:r>
        <w:r w:rsidR="006379EC" w:rsidRPr="00C50854">
          <w:rPr>
            <w:noProof/>
            <w:webHidden/>
          </w:rPr>
          <w:fldChar w:fldCharType="separate"/>
        </w:r>
        <w:r w:rsidR="006379EC" w:rsidRPr="00C50854">
          <w:rPr>
            <w:noProof/>
            <w:webHidden/>
          </w:rPr>
          <w:t>51</w:t>
        </w:r>
        <w:r w:rsidR="006379EC" w:rsidRPr="00C50854">
          <w:rPr>
            <w:noProof/>
            <w:webHidden/>
          </w:rPr>
          <w:fldChar w:fldCharType="end"/>
        </w:r>
      </w:hyperlink>
    </w:p>
    <w:p w14:paraId="1E242DD4" w14:textId="27E66DFE"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56" w:history="1">
        <w:r w:rsidR="006379EC" w:rsidRPr="00C50854">
          <w:rPr>
            <w:rStyle w:val="Hperlink"/>
            <w:noProof/>
          </w:rPr>
          <w:t>6.2.3. Juurdepääsukohustuste valiku analüüs</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_Toc42072456 \h </w:instrText>
        </w:r>
        <w:r w:rsidR="006379EC" w:rsidRPr="00C50854">
          <w:rPr>
            <w:noProof/>
            <w:webHidden/>
          </w:rPr>
        </w:r>
        <w:r w:rsidR="006379EC" w:rsidRPr="00C50854">
          <w:rPr>
            <w:noProof/>
            <w:webHidden/>
          </w:rPr>
          <w:fldChar w:fldCharType="separate"/>
        </w:r>
        <w:r w:rsidR="006379EC" w:rsidRPr="00C50854">
          <w:rPr>
            <w:noProof/>
            <w:webHidden/>
          </w:rPr>
          <w:t>53</w:t>
        </w:r>
        <w:r w:rsidR="006379EC" w:rsidRPr="00C50854">
          <w:rPr>
            <w:noProof/>
            <w:webHidden/>
          </w:rPr>
          <w:fldChar w:fldCharType="end"/>
        </w:r>
      </w:hyperlink>
    </w:p>
    <w:p w14:paraId="6CFEDE74" w14:textId="14239A31"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57" w:history="1">
        <w:r w:rsidR="006379EC" w:rsidRPr="00C50854">
          <w:rPr>
            <w:rStyle w:val="Hperlink"/>
            <w:noProof/>
          </w:rPr>
          <w:t>6.2.3.1 Juurdepääs Telia sidevõrgu digitaalsele alusplaanile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_Toc42072457 \h </w:instrText>
        </w:r>
        <w:r w:rsidR="006379EC" w:rsidRPr="00C50854">
          <w:rPr>
            <w:noProof/>
            <w:webHidden/>
          </w:rPr>
        </w:r>
        <w:r w:rsidR="006379EC" w:rsidRPr="00C50854">
          <w:rPr>
            <w:noProof/>
            <w:webHidden/>
          </w:rPr>
          <w:fldChar w:fldCharType="separate"/>
        </w:r>
        <w:r w:rsidR="006379EC" w:rsidRPr="00C50854">
          <w:rPr>
            <w:noProof/>
            <w:webHidden/>
          </w:rPr>
          <w:t>55</w:t>
        </w:r>
        <w:r w:rsidR="006379EC" w:rsidRPr="00C50854">
          <w:rPr>
            <w:noProof/>
            <w:webHidden/>
          </w:rPr>
          <w:fldChar w:fldCharType="end"/>
        </w:r>
      </w:hyperlink>
    </w:p>
    <w:p w14:paraId="08A8EA13" w14:textId="0D2FF12F"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58" w:history="1">
        <w:r w:rsidR="006379EC" w:rsidRPr="00C50854">
          <w:rPr>
            <w:rStyle w:val="Hperlink"/>
            <w:noProof/>
          </w:rPr>
          <w:t>6.2.3.2 Läbimõõduga 100 mm kaablikanalisatsiooni toru paigalduskohad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_Toc42072458 \h </w:instrText>
        </w:r>
        <w:r w:rsidR="006379EC" w:rsidRPr="00C50854">
          <w:rPr>
            <w:noProof/>
            <w:webHidden/>
          </w:rPr>
        </w:r>
        <w:r w:rsidR="006379EC" w:rsidRPr="00C50854">
          <w:rPr>
            <w:noProof/>
            <w:webHidden/>
          </w:rPr>
          <w:fldChar w:fldCharType="separate"/>
        </w:r>
        <w:r w:rsidR="006379EC" w:rsidRPr="00C50854">
          <w:rPr>
            <w:noProof/>
            <w:webHidden/>
          </w:rPr>
          <w:t>59</w:t>
        </w:r>
        <w:r w:rsidR="006379EC" w:rsidRPr="00C50854">
          <w:rPr>
            <w:noProof/>
            <w:webHidden/>
          </w:rPr>
          <w:fldChar w:fldCharType="end"/>
        </w:r>
      </w:hyperlink>
    </w:p>
    <w:p w14:paraId="53289DF6" w14:textId="397EFB96"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59" w:history="1">
        <w:r w:rsidR="006379EC" w:rsidRPr="00C50854">
          <w:rPr>
            <w:rStyle w:val="Hperlink"/>
            <w:noProof/>
          </w:rPr>
          <w:t>6.2.3.3 Juurdepääs amortiseerunud kaablikanalisatsioonile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_Toc42072459 \h </w:instrText>
        </w:r>
        <w:r w:rsidR="006379EC" w:rsidRPr="00C50854">
          <w:rPr>
            <w:noProof/>
            <w:webHidden/>
          </w:rPr>
        </w:r>
        <w:r w:rsidR="006379EC" w:rsidRPr="00C50854">
          <w:rPr>
            <w:noProof/>
            <w:webHidden/>
          </w:rPr>
          <w:fldChar w:fldCharType="separate"/>
        </w:r>
        <w:r w:rsidR="006379EC" w:rsidRPr="00C50854">
          <w:rPr>
            <w:noProof/>
            <w:webHidden/>
          </w:rPr>
          <w:t>66</w:t>
        </w:r>
        <w:r w:rsidR="006379EC" w:rsidRPr="00C50854">
          <w:rPr>
            <w:noProof/>
            <w:webHidden/>
          </w:rPr>
          <w:fldChar w:fldCharType="end"/>
        </w:r>
      </w:hyperlink>
    </w:p>
    <w:p w14:paraId="5840D602" w14:textId="2336F66D"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60" w:history="1">
        <w:r w:rsidR="006379EC" w:rsidRPr="00C50854">
          <w:rPr>
            <w:rStyle w:val="Hperlink"/>
            <w:noProof/>
          </w:rPr>
          <w:t>6.2.3.4 Kaablikanalisatsiooni paigalduskoha allrent</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_Toc42072460 \h </w:instrText>
        </w:r>
        <w:r w:rsidR="006379EC" w:rsidRPr="00C50854">
          <w:rPr>
            <w:noProof/>
            <w:webHidden/>
          </w:rPr>
        </w:r>
        <w:r w:rsidR="006379EC" w:rsidRPr="00C50854">
          <w:rPr>
            <w:noProof/>
            <w:webHidden/>
          </w:rPr>
          <w:fldChar w:fldCharType="separate"/>
        </w:r>
        <w:r w:rsidR="006379EC" w:rsidRPr="00C50854">
          <w:rPr>
            <w:noProof/>
            <w:webHidden/>
          </w:rPr>
          <w:t>67</w:t>
        </w:r>
        <w:r w:rsidR="006379EC" w:rsidRPr="00C50854">
          <w:rPr>
            <w:noProof/>
            <w:webHidden/>
          </w:rPr>
          <w:fldChar w:fldCharType="end"/>
        </w:r>
      </w:hyperlink>
    </w:p>
    <w:p w14:paraId="4A5EFD4B" w14:textId="14A9ED98"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61" w:history="1">
        <w:r w:rsidR="006379EC" w:rsidRPr="00C50854">
          <w:rPr>
            <w:rStyle w:val="Hperlink"/>
            <w:noProof/>
          </w:rPr>
          <w:t>6.2.3.5 Nõuded Teliale kaablikanalisatsiooni rajamisel</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_Toc42072461 \h </w:instrText>
        </w:r>
        <w:r w:rsidR="006379EC" w:rsidRPr="00C50854">
          <w:rPr>
            <w:noProof/>
            <w:webHidden/>
          </w:rPr>
        </w:r>
        <w:r w:rsidR="006379EC" w:rsidRPr="00C50854">
          <w:rPr>
            <w:noProof/>
            <w:webHidden/>
          </w:rPr>
          <w:fldChar w:fldCharType="separate"/>
        </w:r>
        <w:r w:rsidR="006379EC" w:rsidRPr="00C50854">
          <w:rPr>
            <w:noProof/>
            <w:webHidden/>
          </w:rPr>
          <w:t>68</w:t>
        </w:r>
        <w:r w:rsidR="006379EC" w:rsidRPr="00C50854">
          <w:rPr>
            <w:noProof/>
            <w:webHidden/>
          </w:rPr>
          <w:fldChar w:fldCharType="end"/>
        </w:r>
      </w:hyperlink>
    </w:p>
    <w:p w14:paraId="3927F5AC" w14:textId="0FF8EA77"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62" w:history="1">
        <w:r w:rsidR="006379EC" w:rsidRPr="00C50854">
          <w:rPr>
            <w:rStyle w:val="Hperlink"/>
            <w:noProof/>
          </w:rPr>
          <w:t>6.2.3.6 Telia kliendiliinile juurdepääs lõpp-punktile lähimast jaotussõlmest</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_Toc42072462 \h </w:instrText>
        </w:r>
        <w:r w:rsidR="006379EC" w:rsidRPr="00C50854">
          <w:rPr>
            <w:noProof/>
            <w:webHidden/>
          </w:rPr>
        </w:r>
        <w:r w:rsidR="006379EC" w:rsidRPr="00C50854">
          <w:rPr>
            <w:noProof/>
            <w:webHidden/>
          </w:rPr>
          <w:fldChar w:fldCharType="separate"/>
        </w:r>
        <w:r w:rsidR="006379EC" w:rsidRPr="00C50854">
          <w:rPr>
            <w:noProof/>
            <w:webHidden/>
          </w:rPr>
          <w:t>69</w:t>
        </w:r>
        <w:r w:rsidR="006379EC" w:rsidRPr="00C50854">
          <w:rPr>
            <w:noProof/>
            <w:webHidden/>
          </w:rPr>
          <w:fldChar w:fldCharType="end"/>
        </w:r>
      </w:hyperlink>
    </w:p>
    <w:p w14:paraId="4D088FA4" w14:textId="7D98CD64"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63" w:history="1">
        <w:r w:rsidR="006379EC" w:rsidRPr="00C50854">
          <w:rPr>
            <w:rStyle w:val="Hperlink"/>
            <w:noProof/>
          </w:rPr>
          <w:t>6.2.3.7 Kliendiliinile juurdepääsu hulgiteenuse tehnoloogia muutmine ja/või lõpetamine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_Toc42072463 \h </w:instrText>
        </w:r>
        <w:r w:rsidR="006379EC" w:rsidRPr="00C50854">
          <w:rPr>
            <w:noProof/>
            <w:webHidden/>
          </w:rPr>
        </w:r>
        <w:r w:rsidR="006379EC" w:rsidRPr="00C50854">
          <w:rPr>
            <w:noProof/>
            <w:webHidden/>
          </w:rPr>
          <w:fldChar w:fldCharType="separate"/>
        </w:r>
        <w:r w:rsidR="006379EC" w:rsidRPr="00C50854">
          <w:rPr>
            <w:noProof/>
            <w:webHidden/>
          </w:rPr>
          <w:t>71</w:t>
        </w:r>
        <w:r w:rsidR="006379EC" w:rsidRPr="00C50854">
          <w:rPr>
            <w:noProof/>
            <w:webHidden/>
          </w:rPr>
          <w:fldChar w:fldCharType="end"/>
        </w:r>
      </w:hyperlink>
    </w:p>
    <w:p w14:paraId="5C7B5D58" w14:textId="15526879"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64" w:history="1">
        <w:r w:rsidR="006379EC" w:rsidRPr="00C50854">
          <w:rPr>
            <w:rStyle w:val="Hperlink"/>
            <w:noProof/>
          </w:rPr>
          <w:t>6.2.3.8 Kliendiliinile juurdepääsu tehniliste tingimiste väljastamise ja võimaldamise tähtajad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_Toc42072464 \h </w:instrText>
        </w:r>
        <w:r w:rsidR="006379EC" w:rsidRPr="00C50854">
          <w:rPr>
            <w:noProof/>
            <w:webHidden/>
          </w:rPr>
        </w:r>
        <w:r w:rsidR="006379EC" w:rsidRPr="00C50854">
          <w:rPr>
            <w:noProof/>
            <w:webHidden/>
          </w:rPr>
          <w:fldChar w:fldCharType="separate"/>
        </w:r>
        <w:r w:rsidR="006379EC" w:rsidRPr="00C50854">
          <w:rPr>
            <w:noProof/>
            <w:webHidden/>
          </w:rPr>
          <w:t>75</w:t>
        </w:r>
        <w:r w:rsidR="006379EC" w:rsidRPr="00C50854">
          <w:rPr>
            <w:noProof/>
            <w:webHidden/>
          </w:rPr>
          <w:fldChar w:fldCharType="end"/>
        </w:r>
      </w:hyperlink>
    </w:p>
    <w:p w14:paraId="03B8DFD9" w14:textId="28B14A3B"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65" w:history="1">
        <w:r w:rsidR="006379EC" w:rsidRPr="00C50854">
          <w:rPr>
            <w:rStyle w:val="Hperlink"/>
            <w:noProof/>
          </w:rPr>
          <w:t>6.2.4. Juurdepääsu kohustuste kehtestamine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_Toc42072465 \h </w:instrText>
        </w:r>
        <w:r w:rsidR="006379EC" w:rsidRPr="00C50854">
          <w:rPr>
            <w:noProof/>
            <w:webHidden/>
          </w:rPr>
        </w:r>
        <w:r w:rsidR="006379EC" w:rsidRPr="00C50854">
          <w:rPr>
            <w:noProof/>
            <w:webHidden/>
          </w:rPr>
          <w:fldChar w:fldCharType="separate"/>
        </w:r>
        <w:r w:rsidR="006379EC" w:rsidRPr="00C50854">
          <w:rPr>
            <w:noProof/>
            <w:webHidden/>
          </w:rPr>
          <w:t>77</w:t>
        </w:r>
        <w:r w:rsidR="006379EC" w:rsidRPr="00C50854">
          <w:rPr>
            <w:noProof/>
            <w:webHidden/>
          </w:rPr>
          <w:fldChar w:fldCharType="end"/>
        </w:r>
      </w:hyperlink>
    </w:p>
    <w:p w14:paraId="66704A5E" w14:textId="620DCB8C"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66" w:history="1">
        <w:r w:rsidR="006379EC" w:rsidRPr="00C50854">
          <w:rPr>
            <w:rStyle w:val="Hperlink"/>
            <w:noProof/>
          </w:rPr>
          <w:t>6.2.4.1 Juurdepääsu kohustuste kehtestamine Telia sidevõrgu digitaalsele alusplaanile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_Toc42072466 \h </w:instrText>
        </w:r>
        <w:r w:rsidR="006379EC" w:rsidRPr="00C50854">
          <w:rPr>
            <w:noProof/>
            <w:webHidden/>
          </w:rPr>
        </w:r>
        <w:r w:rsidR="006379EC" w:rsidRPr="00C50854">
          <w:rPr>
            <w:noProof/>
            <w:webHidden/>
          </w:rPr>
          <w:fldChar w:fldCharType="separate"/>
        </w:r>
        <w:r w:rsidR="006379EC" w:rsidRPr="00C50854">
          <w:rPr>
            <w:noProof/>
            <w:webHidden/>
          </w:rPr>
          <w:t>77</w:t>
        </w:r>
        <w:r w:rsidR="006379EC" w:rsidRPr="00C50854">
          <w:rPr>
            <w:noProof/>
            <w:webHidden/>
          </w:rPr>
          <w:fldChar w:fldCharType="end"/>
        </w:r>
      </w:hyperlink>
    </w:p>
    <w:p w14:paraId="7CE1DD60" w14:textId="515AD4A4"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67" w:history="1">
        <w:r w:rsidR="006379EC" w:rsidRPr="00C50854">
          <w:rPr>
            <w:rStyle w:val="Hperlink"/>
            <w:noProof/>
          </w:rPr>
          <w:t>6.2.4.2 Juurdepääsu kohustuste kehtestamine vaskpaar- ja valguskaabel kliendiliinile ja alamkliendiliinile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_Toc42072467 \h </w:instrText>
        </w:r>
        <w:r w:rsidR="006379EC" w:rsidRPr="00C50854">
          <w:rPr>
            <w:noProof/>
            <w:webHidden/>
          </w:rPr>
        </w:r>
        <w:r w:rsidR="006379EC" w:rsidRPr="00C50854">
          <w:rPr>
            <w:noProof/>
            <w:webHidden/>
          </w:rPr>
          <w:fldChar w:fldCharType="separate"/>
        </w:r>
        <w:r w:rsidR="006379EC" w:rsidRPr="00C50854">
          <w:rPr>
            <w:noProof/>
            <w:webHidden/>
          </w:rPr>
          <w:t>77</w:t>
        </w:r>
        <w:r w:rsidR="006379EC" w:rsidRPr="00C50854">
          <w:rPr>
            <w:noProof/>
            <w:webHidden/>
          </w:rPr>
          <w:fldChar w:fldCharType="end"/>
        </w:r>
      </w:hyperlink>
    </w:p>
    <w:p w14:paraId="7FF694EC" w14:textId="5BB14A4A"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68" w:history="1">
        <w:r w:rsidR="006379EC" w:rsidRPr="00C50854">
          <w:rPr>
            <w:rStyle w:val="Hperlink"/>
            <w:noProof/>
          </w:rPr>
          <w:t>6.2.4.3 Juurdepääsu kohustuste kehtestamine kaablikanalisatsioonile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_Toc42072468 \h </w:instrText>
        </w:r>
        <w:r w:rsidR="006379EC" w:rsidRPr="00C50854">
          <w:rPr>
            <w:noProof/>
            <w:webHidden/>
          </w:rPr>
        </w:r>
        <w:r w:rsidR="006379EC" w:rsidRPr="00C50854">
          <w:rPr>
            <w:noProof/>
            <w:webHidden/>
          </w:rPr>
          <w:fldChar w:fldCharType="separate"/>
        </w:r>
        <w:r w:rsidR="006379EC" w:rsidRPr="00C50854">
          <w:rPr>
            <w:noProof/>
            <w:webHidden/>
          </w:rPr>
          <w:t>81</w:t>
        </w:r>
        <w:r w:rsidR="006379EC" w:rsidRPr="00C50854">
          <w:rPr>
            <w:noProof/>
            <w:webHidden/>
          </w:rPr>
          <w:fldChar w:fldCharType="end"/>
        </w:r>
      </w:hyperlink>
    </w:p>
    <w:p w14:paraId="31BC150D" w14:textId="1007BFBF"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69" w:history="1">
        <w:r w:rsidR="006379EC" w:rsidRPr="00C50854">
          <w:rPr>
            <w:rStyle w:val="Hperlink"/>
            <w:noProof/>
          </w:rPr>
          <w:t>6.3. Mittediskrimineerimise kohustus</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_Toc42072469 \h </w:instrText>
        </w:r>
        <w:r w:rsidR="006379EC" w:rsidRPr="00C50854">
          <w:rPr>
            <w:noProof/>
            <w:webHidden/>
          </w:rPr>
        </w:r>
        <w:r w:rsidR="006379EC" w:rsidRPr="00C50854">
          <w:rPr>
            <w:noProof/>
            <w:webHidden/>
          </w:rPr>
          <w:fldChar w:fldCharType="separate"/>
        </w:r>
        <w:r w:rsidR="006379EC" w:rsidRPr="00C50854">
          <w:rPr>
            <w:noProof/>
            <w:webHidden/>
          </w:rPr>
          <w:t>82</w:t>
        </w:r>
        <w:r w:rsidR="006379EC" w:rsidRPr="00C50854">
          <w:rPr>
            <w:noProof/>
            <w:webHidden/>
          </w:rPr>
          <w:fldChar w:fldCharType="end"/>
        </w:r>
      </w:hyperlink>
    </w:p>
    <w:p w14:paraId="17805C2E" w14:textId="2762B2F4"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70" w:history="1">
        <w:r w:rsidR="006379EC" w:rsidRPr="00C50854">
          <w:rPr>
            <w:rStyle w:val="Hperlink"/>
            <w:noProof/>
          </w:rPr>
          <w:t>6.3.1. Mittediskrimineerimise kohustuse eesmärk ja alused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_Toc42072470 \h </w:instrText>
        </w:r>
        <w:r w:rsidR="006379EC" w:rsidRPr="00C50854">
          <w:rPr>
            <w:noProof/>
            <w:webHidden/>
          </w:rPr>
        </w:r>
        <w:r w:rsidR="006379EC" w:rsidRPr="00C50854">
          <w:rPr>
            <w:noProof/>
            <w:webHidden/>
          </w:rPr>
          <w:fldChar w:fldCharType="separate"/>
        </w:r>
        <w:r w:rsidR="006379EC" w:rsidRPr="00C50854">
          <w:rPr>
            <w:noProof/>
            <w:webHidden/>
          </w:rPr>
          <w:t>82</w:t>
        </w:r>
        <w:r w:rsidR="006379EC" w:rsidRPr="00C50854">
          <w:rPr>
            <w:noProof/>
            <w:webHidden/>
          </w:rPr>
          <w:fldChar w:fldCharType="end"/>
        </w:r>
      </w:hyperlink>
    </w:p>
    <w:p w14:paraId="325D1CFD" w14:textId="2F874A8B"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71" w:history="1">
        <w:r w:rsidR="006379EC" w:rsidRPr="00C50854">
          <w:rPr>
            <w:rStyle w:val="Hperlink"/>
            <w:noProof/>
          </w:rPr>
          <w:t>6.3.2. Diskrimineerimisega seotud konkurentsiprobleemid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_Toc42072471 \h </w:instrText>
        </w:r>
        <w:r w:rsidR="006379EC" w:rsidRPr="00C50854">
          <w:rPr>
            <w:noProof/>
            <w:webHidden/>
          </w:rPr>
        </w:r>
        <w:r w:rsidR="006379EC" w:rsidRPr="00C50854">
          <w:rPr>
            <w:noProof/>
            <w:webHidden/>
          </w:rPr>
          <w:fldChar w:fldCharType="separate"/>
        </w:r>
        <w:r w:rsidR="006379EC" w:rsidRPr="00C50854">
          <w:rPr>
            <w:noProof/>
            <w:webHidden/>
          </w:rPr>
          <w:t>83</w:t>
        </w:r>
        <w:r w:rsidR="006379EC" w:rsidRPr="00C50854">
          <w:rPr>
            <w:noProof/>
            <w:webHidden/>
          </w:rPr>
          <w:fldChar w:fldCharType="end"/>
        </w:r>
      </w:hyperlink>
    </w:p>
    <w:p w14:paraId="392DEC4E" w14:textId="7EBE6951"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72" w:history="1">
        <w:r w:rsidR="006379EC" w:rsidRPr="00C50854">
          <w:rPr>
            <w:rStyle w:val="Hperlink"/>
            <w:noProof/>
          </w:rPr>
          <w:t>6.3.3. Mittediskrimineerimise kohustuse valiku analüüs</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_Toc42072472 \h </w:instrText>
        </w:r>
        <w:r w:rsidR="006379EC" w:rsidRPr="00C50854">
          <w:rPr>
            <w:noProof/>
            <w:webHidden/>
          </w:rPr>
        </w:r>
        <w:r w:rsidR="006379EC" w:rsidRPr="00C50854">
          <w:rPr>
            <w:noProof/>
            <w:webHidden/>
          </w:rPr>
          <w:fldChar w:fldCharType="separate"/>
        </w:r>
        <w:r w:rsidR="006379EC" w:rsidRPr="00C50854">
          <w:rPr>
            <w:noProof/>
            <w:webHidden/>
          </w:rPr>
          <w:t>84</w:t>
        </w:r>
        <w:r w:rsidR="006379EC" w:rsidRPr="00C50854">
          <w:rPr>
            <w:noProof/>
            <w:webHidden/>
          </w:rPr>
          <w:fldChar w:fldCharType="end"/>
        </w:r>
      </w:hyperlink>
    </w:p>
    <w:p w14:paraId="31CF305F" w14:textId="75A336B5"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73" w:history="1">
        <w:r w:rsidR="006379EC" w:rsidRPr="00C50854">
          <w:rPr>
            <w:rStyle w:val="Hperlink"/>
            <w:noProof/>
          </w:rPr>
          <w:t>6.3.3.1 Kliendiliinile juurdepääsu tehnoloogia muutmine ja lõpetamine võrreldes jaeteenusega</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_Toc42072473 \h </w:instrText>
        </w:r>
        <w:r w:rsidR="006379EC" w:rsidRPr="00C50854">
          <w:rPr>
            <w:noProof/>
            <w:webHidden/>
          </w:rPr>
        </w:r>
        <w:r w:rsidR="006379EC" w:rsidRPr="00C50854">
          <w:rPr>
            <w:noProof/>
            <w:webHidden/>
          </w:rPr>
          <w:fldChar w:fldCharType="separate"/>
        </w:r>
        <w:r w:rsidR="006379EC" w:rsidRPr="00C50854">
          <w:rPr>
            <w:noProof/>
            <w:webHidden/>
          </w:rPr>
          <w:t>85</w:t>
        </w:r>
        <w:r w:rsidR="006379EC" w:rsidRPr="00C50854">
          <w:rPr>
            <w:noProof/>
            <w:webHidden/>
          </w:rPr>
          <w:fldChar w:fldCharType="end"/>
        </w:r>
      </w:hyperlink>
    </w:p>
    <w:p w14:paraId="747F83A7" w14:textId="0FF208DE"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74" w:history="1">
        <w:r w:rsidR="006379EC" w:rsidRPr="00C50854">
          <w:rPr>
            <w:rStyle w:val="Hperlink"/>
            <w:noProof/>
          </w:rPr>
          <w:t>6.3.4. Mittediskrimineerimise kohustuse kehtestamine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_Toc42072474 \h </w:instrText>
        </w:r>
        <w:r w:rsidR="006379EC" w:rsidRPr="00C50854">
          <w:rPr>
            <w:noProof/>
            <w:webHidden/>
          </w:rPr>
        </w:r>
        <w:r w:rsidR="006379EC" w:rsidRPr="00C50854">
          <w:rPr>
            <w:noProof/>
            <w:webHidden/>
          </w:rPr>
          <w:fldChar w:fldCharType="separate"/>
        </w:r>
        <w:r w:rsidR="006379EC" w:rsidRPr="00C50854">
          <w:rPr>
            <w:noProof/>
            <w:webHidden/>
          </w:rPr>
          <w:t>87</w:t>
        </w:r>
        <w:r w:rsidR="006379EC" w:rsidRPr="00C50854">
          <w:rPr>
            <w:noProof/>
            <w:webHidden/>
          </w:rPr>
          <w:fldChar w:fldCharType="end"/>
        </w:r>
      </w:hyperlink>
    </w:p>
    <w:p w14:paraId="5AEA8106" w14:textId="7C6A14FB"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75" w:history="1">
        <w:r w:rsidR="006379EC" w:rsidRPr="00C50854">
          <w:rPr>
            <w:rStyle w:val="Hperlink"/>
            <w:noProof/>
          </w:rPr>
          <w:t>6.4. Läbipaistvuskohustused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_Toc42072475 \h </w:instrText>
        </w:r>
        <w:r w:rsidR="006379EC" w:rsidRPr="00C50854">
          <w:rPr>
            <w:noProof/>
            <w:webHidden/>
          </w:rPr>
        </w:r>
        <w:r w:rsidR="006379EC" w:rsidRPr="00C50854">
          <w:rPr>
            <w:noProof/>
            <w:webHidden/>
          </w:rPr>
          <w:fldChar w:fldCharType="separate"/>
        </w:r>
        <w:r w:rsidR="006379EC" w:rsidRPr="00C50854">
          <w:rPr>
            <w:noProof/>
            <w:webHidden/>
          </w:rPr>
          <w:t>87</w:t>
        </w:r>
        <w:r w:rsidR="006379EC" w:rsidRPr="00C50854">
          <w:rPr>
            <w:noProof/>
            <w:webHidden/>
          </w:rPr>
          <w:fldChar w:fldCharType="end"/>
        </w:r>
      </w:hyperlink>
    </w:p>
    <w:p w14:paraId="7164979F" w14:textId="495B329F"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76" w:history="1">
        <w:r w:rsidR="006379EC" w:rsidRPr="00C50854">
          <w:rPr>
            <w:rStyle w:val="Hperlink"/>
            <w:noProof/>
          </w:rPr>
          <w:t>6.4.1. Läbipaistvuskohustuste eesmärk ja alused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_Toc42072476 \h </w:instrText>
        </w:r>
        <w:r w:rsidR="006379EC" w:rsidRPr="00C50854">
          <w:rPr>
            <w:noProof/>
            <w:webHidden/>
          </w:rPr>
        </w:r>
        <w:r w:rsidR="006379EC" w:rsidRPr="00C50854">
          <w:rPr>
            <w:noProof/>
            <w:webHidden/>
          </w:rPr>
          <w:fldChar w:fldCharType="separate"/>
        </w:r>
        <w:r w:rsidR="006379EC" w:rsidRPr="00C50854">
          <w:rPr>
            <w:noProof/>
            <w:webHidden/>
          </w:rPr>
          <w:t>87</w:t>
        </w:r>
        <w:r w:rsidR="006379EC" w:rsidRPr="00C50854">
          <w:rPr>
            <w:noProof/>
            <w:webHidden/>
          </w:rPr>
          <w:fldChar w:fldCharType="end"/>
        </w:r>
      </w:hyperlink>
    </w:p>
    <w:p w14:paraId="3B19A3CD" w14:textId="15E97D88"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77" w:history="1">
        <w:r w:rsidR="006379EC" w:rsidRPr="00C50854">
          <w:rPr>
            <w:rStyle w:val="Hperlink"/>
            <w:noProof/>
          </w:rPr>
          <w:t>6.4.2. Läbipaistvusega seotud konkurentsiprobleemid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_Toc42072477 \h </w:instrText>
        </w:r>
        <w:r w:rsidR="006379EC" w:rsidRPr="00C50854">
          <w:rPr>
            <w:noProof/>
            <w:webHidden/>
          </w:rPr>
        </w:r>
        <w:r w:rsidR="006379EC" w:rsidRPr="00C50854">
          <w:rPr>
            <w:noProof/>
            <w:webHidden/>
          </w:rPr>
          <w:fldChar w:fldCharType="separate"/>
        </w:r>
        <w:r w:rsidR="006379EC" w:rsidRPr="00C50854">
          <w:rPr>
            <w:noProof/>
            <w:webHidden/>
          </w:rPr>
          <w:t>88</w:t>
        </w:r>
        <w:r w:rsidR="006379EC" w:rsidRPr="00C50854">
          <w:rPr>
            <w:noProof/>
            <w:webHidden/>
          </w:rPr>
          <w:fldChar w:fldCharType="end"/>
        </w:r>
      </w:hyperlink>
    </w:p>
    <w:p w14:paraId="61ADBED2" w14:textId="3A1B1365"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78" w:history="1">
        <w:r w:rsidR="006379EC" w:rsidRPr="00C50854">
          <w:rPr>
            <w:rStyle w:val="Hperlink"/>
            <w:noProof/>
          </w:rPr>
          <w:t>6.4.3. Läbipaistvuskohustuste valiku analüüs</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_Toc42072478 \h </w:instrText>
        </w:r>
        <w:r w:rsidR="006379EC" w:rsidRPr="00C50854">
          <w:rPr>
            <w:noProof/>
            <w:webHidden/>
          </w:rPr>
        </w:r>
        <w:r w:rsidR="006379EC" w:rsidRPr="00C50854">
          <w:rPr>
            <w:noProof/>
            <w:webHidden/>
          </w:rPr>
          <w:fldChar w:fldCharType="separate"/>
        </w:r>
        <w:r w:rsidR="006379EC" w:rsidRPr="00C50854">
          <w:rPr>
            <w:noProof/>
            <w:webHidden/>
          </w:rPr>
          <w:t>89</w:t>
        </w:r>
        <w:r w:rsidR="006379EC" w:rsidRPr="00C50854">
          <w:rPr>
            <w:noProof/>
            <w:webHidden/>
          </w:rPr>
          <w:fldChar w:fldCharType="end"/>
        </w:r>
      </w:hyperlink>
    </w:p>
    <w:p w14:paraId="617E65D7" w14:textId="4380E1A7"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79" w:history="1">
        <w:r w:rsidR="006379EC" w:rsidRPr="00C50854">
          <w:rPr>
            <w:rStyle w:val="Hperlink"/>
            <w:noProof/>
          </w:rPr>
          <w:t>6.4.3.1 Läbimõõduga 50 mm kaablikanalisatsiooni paigalduskohad ja tehniline reserv</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_Toc42072479 \h </w:instrText>
        </w:r>
        <w:r w:rsidR="006379EC" w:rsidRPr="00C50854">
          <w:rPr>
            <w:noProof/>
            <w:webHidden/>
          </w:rPr>
        </w:r>
        <w:r w:rsidR="006379EC" w:rsidRPr="00C50854">
          <w:rPr>
            <w:noProof/>
            <w:webHidden/>
          </w:rPr>
          <w:fldChar w:fldCharType="separate"/>
        </w:r>
        <w:r w:rsidR="006379EC" w:rsidRPr="00C50854">
          <w:rPr>
            <w:noProof/>
            <w:webHidden/>
          </w:rPr>
          <w:t>90</w:t>
        </w:r>
        <w:r w:rsidR="006379EC" w:rsidRPr="00C50854">
          <w:rPr>
            <w:noProof/>
            <w:webHidden/>
          </w:rPr>
          <w:fldChar w:fldCharType="end"/>
        </w:r>
      </w:hyperlink>
    </w:p>
    <w:p w14:paraId="4915C3FE" w14:textId="353167B1"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80" w:history="1">
        <w:r w:rsidR="006379EC" w:rsidRPr="00C50854">
          <w:rPr>
            <w:rStyle w:val="Hperlink"/>
            <w:noProof/>
          </w:rPr>
          <w:t>6.4.4. Läbipaistvuskohustuste kehtestamine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_Toc42072480 \h </w:instrText>
        </w:r>
        <w:r w:rsidR="006379EC" w:rsidRPr="00C50854">
          <w:rPr>
            <w:noProof/>
            <w:webHidden/>
          </w:rPr>
        </w:r>
        <w:r w:rsidR="006379EC" w:rsidRPr="00C50854">
          <w:rPr>
            <w:noProof/>
            <w:webHidden/>
          </w:rPr>
          <w:fldChar w:fldCharType="separate"/>
        </w:r>
        <w:r w:rsidR="006379EC" w:rsidRPr="00C50854">
          <w:rPr>
            <w:noProof/>
            <w:webHidden/>
          </w:rPr>
          <w:t>91</w:t>
        </w:r>
        <w:r w:rsidR="006379EC" w:rsidRPr="00C50854">
          <w:rPr>
            <w:noProof/>
            <w:webHidden/>
          </w:rPr>
          <w:fldChar w:fldCharType="end"/>
        </w:r>
      </w:hyperlink>
    </w:p>
    <w:p w14:paraId="630CCDC6" w14:textId="6D7C05E7"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81" w:history="1">
        <w:r w:rsidR="006379EC" w:rsidRPr="00C50854">
          <w:rPr>
            <w:rStyle w:val="Hperlink"/>
            <w:noProof/>
          </w:rPr>
          <w:t>6.5. Hinnakohustus</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_Toc42072481 \h </w:instrText>
        </w:r>
        <w:r w:rsidR="006379EC" w:rsidRPr="00C50854">
          <w:rPr>
            <w:noProof/>
            <w:webHidden/>
          </w:rPr>
        </w:r>
        <w:r w:rsidR="006379EC" w:rsidRPr="00C50854">
          <w:rPr>
            <w:noProof/>
            <w:webHidden/>
          </w:rPr>
          <w:fldChar w:fldCharType="separate"/>
        </w:r>
        <w:r w:rsidR="006379EC" w:rsidRPr="00C50854">
          <w:rPr>
            <w:noProof/>
            <w:webHidden/>
          </w:rPr>
          <w:t>92</w:t>
        </w:r>
        <w:r w:rsidR="006379EC" w:rsidRPr="00C50854">
          <w:rPr>
            <w:noProof/>
            <w:webHidden/>
          </w:rPr>
          <w:fldChar w:fldCharType="end"/>
        </w:r>
      </w:hyperlink>
    </w:p>
    <w:p w14:paraId="7D3F1159" w14:textId="4BD1CFB7"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82" w:history="1">
        <w:r w:rsidR="006379EC" w:rsidRPr="00C50854">
          <w:rPr>
            <w:rStyle w:val="Hperlink"/>
            <w:noProof/>
          </w:rPr>
          <w:t>6.5.1. Hinnakohustuste eesmärk ja alused</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_Toc42072482 \h </w:instrText>
        </w:r>
        <w:r w:rsidR="006379EC" w:rsidRPr="00C50854">
          <w:rPr>
            <w:noProof/>
            <w:webHidden/>
          </w:rPr>
        </w:r>
        <w:r w:rsidR="006379EC" w:rsidRPr="00C50854">
          <w:rPr>
            <w:noProof/>
            <w:webHidden/>
          </w:rPr>
          <w:fldChar w:fldCharType="separate"/>
        </w:r>
        <w:r w:rsidR="006379EC" w:rsidRPr="00C50854">
          <w:rPr>
            <w:noProof/>
            <w:webHidden/>
          </w:rPr>
          <w:t>92</w:t>
        </w:r>
        <w:r w:rsidR="006379EC" w:rsidRPr="00C50854">
          <w:rPr>
            <w:noProof/>
            <w:webHidden/>
          </w:rPr>
          <w:fldChar w:fldCharType="end"/>
        </w:r>
      </w:hyperlink>
    </w:p>
    <w:p w14:paraId="77897D2A" w14:textId="0EA140B6"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83" w:history="1">
        <w:r w:rsidR="006379EC" w:rsidRPr="00C50854">
          <w:rPr>
            <w:rStyle w:val="Hperlink"/>
            <w:noProof/>
          </w:rPr>
          <w:t>6.5.2. Hinnaga seotud konkurentsiprobleemid ja hindade analüüs</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_Toc42072483 \h </w:instrText>
        </w:r>
        <w:r w:rsidR="006379EC" w:rsidRPr="00C50854">
          <w:rPr>
            <w:noProof/>
            <w:webHidden/>
          </w:rPr>
        </w:r>
        <w:r w:rsidR="006379EC" w:rsidRPr="00C50854">
          <w:rPr>
            <w:noProof/>
            <w:webHidden/>
          </w:rPr>
          <w:fldChar w:fldCharType="separate"/>
        </w:r>
        <w:r w:rsidR="006379EC" w:rsidRPr="00C50854">
          <w:rPr>
            <w:noProof/>
            <w:webHidden/>
          </w:rPr>
          <w:t>94</w:t>
        </w:r>
        <w:r w:rsidR="006379EC" w:rsidRPr="00C50854">
          <w:rPr>
            <w:noProof/>
            <w:webHidden/>
          </w:rPr>
          <w:fldChar w:fldCharType="end"/>
        </w:r>
      </w:hyperlink>
    </w:p>
    <w:p w14:paraId="70939B95" w14:textId="7FFB4FE8"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84" w:history="1">
        <w:r w:rsidR="006379EC" w:rsidRPr="00C50854">
          <w:rPr>
            <w:rStyle w:val="Hperlink"/>
            <w:noProof/>
          </w:rPr>
          <w:t>6.5.3. Hinnakohustuste valiku analüüs</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_Toc42072484 \h </w:instrText>
        </w:r>
        <w:r w:rsidR="006379EC" w:rsidRPr="00C50854">
          <w:rPr>
            <w:noProof/>
            <w:webHidden/>
          </w:rPr>
        </w:r>
        <w:r w:rsidR="006379EC" w:rsidRPr="00C50854">
          <w:rPr>
            <w:noProof/>
            <w:webHidden/>
          </w:rPr>
          <w:fldChar w:fldCharType="separate"/>
        </w:r>
        <w:r w:rsidR="006379EC" w:rsidRPr="00C50854">
          <w:rPr>
            <w:noProof/>
            <w:webHidden/>
          </w:rPr>
          <w:t>97</w:t>
        </w:r>
        <w:r w:rsidR="006379EC" w:rsidRPr="00C50854">
          <w:rPr>
            <w:noProof/>
            <w:webHidden/>
          </w:rPr>
          <w:fldChar w:fldCharType="end"/>
        </w:r>
      </w:hyperlink>
    </w:p>
    <w:p w14:paraId="69C48F8C" w14:textId="49FEF375"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85" w:history="1">
        <w:r w:rsidR="006379EC" w:rsidRPr="00C50854">
          <w:rPr>
            <w:rStyle w:val="Hperlink"/>
            <w:noProof/>
          </w:rPr>
          <w:t>6.5.3.1 Hinnakohustuse teiste kohustustega asendamise võimalikkuse analüüs</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_Toc42072485 \h </w:instrText>
        </w:r>
        <w:r w:rsidR="006379EC" w:rsidRPr="00C50854">
          <w:rPr>
            <w:noProof/>
            <w:webHidden/>
          </w:rPr>
        </w:r>
        <w:r w:rsidR="006379EC" w:rsidRPr="00C50854">
          <w:rPr>
            <w:noProof/>
            <w:webHidden/>
          </w:rPr>
          <w:fldChar w:fldCharType="separate"/>
        </w:r>
        <w:r w:rsidR="006379EC" w:rsidRPr="00C50854">
          <w:rPr>
            <w:noProof/>
            <w:webHidden/>
          </w:rPr>
          <w:t>97</w:t>
        </w:r>
        <w:r w:rsidR="006379EC" w:rsidRPr="00C50854">
          <w:rPr>
            <w:noProof/>
            <w:webHidden/>
          </w:rPr>
          <w:fldChar w:fldCharType="end"/>
        </w:r>
      </w:hyperlink>
    </w:p>
    <w:p w14:paraId="34C3E7C5" w14:textId="3A24BF34"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86" w:history="1">
        <w:r w:rsidR="006379EC" w:rsidRPr="00C50854">
          <w:rPr>
            <w:rStyle w:val="Hperlink"/>
            <w:noProof/>
          </w:rPr>
          <w:t>6.5.3.2 Erinevate hinna arvestamise meetodite valiku analüüs</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_Toc42072486 \h </w:instrText>
        </w:r>
        <w:r w:rsidR="006379EC" w:rsidRPr="00C50854">
          <w:rPr>
            <w:noProof/>
            <w:webHidden/>
          </w:rPr>
        </w:r>
        <w:r w:rsidR="006379EC" w:rsidRPr="00C50854">
          <w:rPr>
            <w:noProof/>
            <w:webHidden/>
          </w:rPr>
          <w:fldChar w:fldCharType="separate"/>
        </w:r>
        <w:r w:rsidR="006379EC" w:rsidRPr="00C50854">
          <w:rPr>
            <w:noProof/>
            <w:webHidden/>
          </w:rPr>
          <w:t>97</w:t>
        </w:r>
        <w:r w:rsidR="006379EC" w:rsidRPr="00C50854">
          <w:rPr>
            <w:noProof/>
            <w:webHidden/>
          </w:rPr>
          <w:fldChar w:fldCharType="end"/>
        </w:r>
      </w:hyperlink>
    </w:p>
    <w:p w14:paraId="5A9F3859" w14:textId="4F2FEE92" w:rsidR="006379EC" w:rsidRPr="00C50854" w:rsidRDefault="007C3A66">
      <w:pPr>
        <w:pStyle w:val="SK3"/>
        <w:tabs>
          <w:tab w:val="right" w:leader="dot" w:pos="9336"/>
        </w:tabs>
        <w:rPr>
          <w:rFonts w:asciiTheme="minorHAnsi" w:eastAsiaTheme="minorEastAsia" w:hAnsiTheme="minorHAnsi" w:cstheme="minorBidi"/>
          <w:i w:val="0"/>
          <w:iCs w:val="0"/>
          <w:noProof/>
          <w:sz w:val="22"/>
          <w:szCs w:val="22"/>
        </w:rPr>
      </w:pPr>
      <w:hyperlink w:anchor="_Toc42072487" w:history="1">
        <w:r w:rsidR="006379EC" w:rsidRPr="00C50854">
          <w:rPr>
            <w:rStyle w:val="Hperlink"/>
            <w:noProof/>
          </w:rPr>
          <w:t>6.5.4. Hinnakohustuse kehtestamine</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_Toc42072487 \h </w:instrText>
        </w:r>
        <w:r w:rsidR="006379EC" w:rsidRPr="00C50854">
          <w:rPr>
            <w:noProof/>
            <w:webHidden/>
          </w:rPr>
        </w:r>
        <w:r w:rsidR="006379EC" w:rsidRPr="00C50854">
          <w:rPr>
            <w:noProof/>
            <w:webHidden/>
          </w:rPr>
          <w:fldChar w:fldCharType="separate"/>
        </w:r>
        <w:r w:rsidR="006379EC" w:rsidRPr="00C50854">
          <w:rPr>
            <w:noProof/>
            <w:webHidden/>
          </w:rPr>
          <w:t>108</w:t>
        </w:r>
        <w:r w:rsidR="006379EC" w:rsidRPr="00C50854">
          <w:rPr>
            <w:noProof/>
            <w:webHidden/>
          </w:rPr>
          <w:fldChar w:fldCharType="end"/>
        </w:r>
      </w:hyperlink>
    </w:p>
    <w:p w14:paraId="2941889F" w14:textId="1BFC0EED" w:rsidR="006379EC" w:rsidRPr="00C50854" w:rsidRDefault="007C3A66">
      <w:pPr>
        <w:pStyle w:val="SK2"/>
        <w:tabs>
          <w:tab w:val="right" w:leader="dot" w:pos="9336"/>
        </w:tabs>
        <w:rPr>
          <w:rFonts w:asciiTheme="minorHAnsi" w:eastAsiaTheme="minorEastAsia" w:hAnsiTheme="minorHAnsi" w:cstheme="minorBidi"/>
          <w:smallCaps w:val="0"/>
          <w:noProof/>
          <w:sz w:val="22"/>
          <w:szCs w:val="22"/>
        </w:rPr>
      </w:pPr>
      <w:hyperlink w:anchor="_Toc42072488" w:history="1">
        <w:r w:rsidR="006379EC" w:rsidRPr="00C50854">
          <w:rPr>
            <w:rStyle w:val="Hperlink"/>
            <w:noProof/>
          </w:rPr>
          <w:t>6.6. Kehtestatavate kohustuste täitmise tähtaeg</w:t>
        </w:r>
        <w:r w:rsidR="006379EC" w:rsidRPr="00C50854">
          <w:rPr>
            <w:noProof/>
            <w:webHidden/>
          </w:rPr>
          <w:tab/>
        </w:r>
        <w:r w:rsidR="006379EC" w:rsidRPr="00C50854">
          <w:rPr>
            <w:noProof/>
            <w:webHidden/>
          </w:rPr>
          <w:fldChar w:fldCharType="begin"/>
        </w:r>
        <w:r w:rsidR="006379EC" w:rsidRPr="00C50854">
          <w:rPr>
            <w:noProof/>
            <w:webHidden/>
          </w:rPr>
          <w:instrText xml:space="preserve"> PAGEREF _Toc42072488 \h </w:instrText>
        </w:r>
        <w:r w:rsidR="006379EC" w:rsidRPr="00C50854">
          <w:rPr>
            <w:noProof/>
            <w:webHidden/>
          </w:rPr>
        </w:r>
        <w:r w:rsidR="006379EC" w:rsidRPr="00C50854">
          <w:rPr>
            <w:noProof/>
            <w:webHidden/>
          </w:rPr>
          <w:fldChar w:fldCharType="separate"/>
        </w:r>
        <w:r w:rsidR="006379EC" w:rsidRPr="00C50854">
          <w:rPr>
            <w:noProof/>
            <w:webHidden/>
          </w:rPr>
          <w:t>109</w:t>
        </w:r>
        <w:r w:rsidR="006379EC" w:rsidRPr="00C50854">
          <w:rPr>
            <w:noProof/>
            <w:webHidden/>
          </w:rPr>
          <w:fldChar w:fldCharType="end"/>
        </w:r>
      </w:hyperlink>
    </w:p>
    <w:p w14:paraId="697C88F4" w14:textId="7A3334B1" w:rsidR="000A5E7A" w:rsidRPr="00C50854" w:rsidRDefault="00742F7D" w:rsidP="00A00263">
      <w:r w:rsidRPr="00C50854">
        <w:fldChar w:fldCharType="end"/>
      </w:r>
    </w:p>
    <w:p w14:paraId="1120257B" w14:textId="77777777" w:rsidR="004B383B" w:rsidRPr="00C50854" w:rsidRDefault="004B383B" w:rsidP="004B383B">
      <w:bookmarkStart w:id="6" w:name="_Toc128372959"/>
      <w:bookmarkStart w:id="7" w:name="_Toc129760751"/>
      <w:bookmarkStart w:id="8" w:name="_Toc150651425"/>
      <w:bookmarkStart w:id="9" w:name="_Toc150654409"/>
      <w:bookmarkStart w:id="10" w:name="_Toc150841579"/>
      <w:bookmarkStart w:id="11" w:name="_Toc150842797"/>
      <w:bookmarkStart w:id="12" w:name="_Toc153273210"/>
      <w:bookmarkStart w:id="13" w:name="_Toc153863503"/>
      <w:bookmarkStart w:id="14" w:name="_Toc157846464"/>
      <w:bookmarkStart w:id="15" w:name="_Toc170194418"/>
      <w:bookmarkStart w:id="16" w:name="_Toc175542241"/>
      <w:bookmarkStart w:id="17" w:name="_Toc211671262"/>
      <w:bookmarkStart w:id="18" w:name="_Toc211837221"/>
      <w:bookmarkStart w:id="19" w:name="_Toc215466460"/>
      <w:bookmarkStart w:id="20" w:name="_Toc216228013"/>
      <w:bookmarkEnd w:id="4"/>
      <w:bookmarkEnd w:id="5"/>
    </w:p>
    <w:p w14:paraId="194A9B8E" w14:textId="46D14D31" w:rsidR="00A6242A" w:rsidRPr="00C50854" w:rsidRDefault="00A6242A">
      <w:pPr>
        <w:suppressAutoHyphens w:val="0"/>
      </w:pPr>
      <w:r w:rsidRPr="00C50854">
        <w:br w:type="page"/>
      </w:r>
    </w:p>
    <w:p w14:paraId="668B2EE9" w14:textId="77777777" w:rsidR="004B383B" w:rsidRPr="00C50854" w:rsidRDefault="004B383B" w:rsidP="004B383B"/>
    <w:p w14:paraId="5E3E4F15" w14:textId="77777777" w:rsidR="004B383B" w:rsidRPr="00C50854" w:rsidRDefault="004B383B" w:rsidP="004B383B"/>
    <w:p w14:paraId="176CB0D3" w14:textId="746DCD02" w:rsidR="00FB63D8" w:rsidRPr="00C50854" w:rsidRDefault="004B383B" w:rsidP="00311E1F">
      <w:pPr>
        <w:pStyle w:val="Pealkiri1"/>
      </w:pPr>
      <w:r w:rsidRPr="00C50854">
        <w:t xml:space="preserve">                                                                                                                                                                                                    </w:t>
      </w:r>
    </w:p>
    <w:p w14:paraId="7F6A2B7F" w14:textId="1A635959" w:rsidR="00FB63D8" w:rsidRPr="00C50854" w:rsidRDefault="005B136E" w:rsidP="00311E1F">
      <w:pPr>
        <w:pStyle w:val="Pealkiri1"/>
      </w:pPr>
      <w:bookmarkStart w:id="21" w:name="_Toc464639317"/>
      <w:bookmarkStart w:id="22" w:name="_Toc42072425"/>
      <w:r w:rsidRPr="00C50854">
        <w:t>1. OTSUSE</w:t>
      </w:r>
      <w:r w:rsidR="00FB63D8" w:rsidRPr="00C50854">
        <w:t xml:space="preserve"> KOKKUVÕTE</w:t>
      </w:r>
      <w:bookmarkEnd w:id="21"/>
      <w:bookmarkEnd w:id="22"/>
    </w:p>
    <w:p w14:paraId="2713937C" w14:textId="17314EF8" w:rsidR="00FB63D8" w:rsidRPr="00C50854" w:rsidRDefault="00FB63D8" w:rsidP="008C50BB">
      <w:pPr>
        <w:numPr>
          <w:ilvl w:val="0"/>
          <w:numId w:val="13"/>
        </w:numPr>
        <w:spacing w:before="120" w:after="120"/>
        <w:jc w:val="both"/>
        <w:rPr>
          <w:spacing w:val="-3"/>
        </w:rPr>
      </w:pPr>
      <w:r w:rsidRPr="00C50854">
        <w:t xml:space="preserve">Käesolevas dokumendis on </w:t>
      </w:r>
      <w:r w:rsidR="008C50BB" w:rsidRPr="00C50854">
        <w:t xml:space="preserve">Tarbijakaitse ja </w:t>
      </w:r>
      <w:r w:rsidRPr="00C50854">
        <w:t xml:space="preserve">Tehniline Järelevalve Amet (edaspidi </w:t>
      </w:r>
      <w:r w:rsidR="008C50BB" w:rsidRPr="00C50854">
        <w:t>T</w:t>
      </w:r>
      <w:r w:rsidRPr="00C50854">
        <w:t>TJA) piiritlenud kooskõlas elektroonilise side</w:t>
      </w:r>
      <w:r w:rsidR="006102B9" w:rsidRPr="00C50854">
        <w:rPr>
          <w:rStyle w:val="Allmrkuseviide"/>
        </w:rPr>
        <w:footnoteReference w:id="2"/>
      </w:r>
      <w:r w:rsidR="00533823" w:rsidRPr="00C50854">
        <w:t xml:space="preserve"> </w:t>
      </w:r>
      <w:r w:rsidRPr="00C50854">
        <w:t xml:space="preserve">seaduse  (edaspidi </w:t>
      </w:r>
      <w:r w:rsidRPr="00C50854">
        <w:rPr>
          <w:i/>
        </w:rPr>
        <w:t>ESS</w:t>
      </w:r>
      <w:r w:rsidRPr="00C50854">
        <w:t xml:space="preserve">) 5. peatükiga kindlaksmääratud asukohas kohaliku  juurdepääsu hulgiteenuse turu  (edaspidi </w:t>
      </w:r>
      <w:r w:rsidRPr="00C50854">
        <w:rPr>
          <w:i/>
        </w:rPr>
        <w:t>kohaliku juurdepääsu hulgiturg</w:t>
      </w:r>
      <w:r w:rsidRPr="00C50854">
        <w:t>), teostanud piiritletud sideteenuse turul konkurentsiolukorra analüüsi ning tuvastanud selle tulemusena, et sellel sideteenuse turul konkurents ei toimi. Konkurentsi</w:t>
      </w:r>
      <w:r w:rsidR="00533823" w:rsidRPr="00C50854">
        <w:t xml:space="preserve"> </w:t>
      </w:r>
      <w:r w:rsidRPr="00C50854">
        <w:t>olukorra analüüsist tulenevalt on T</w:t>
      </w:r>
      <w:r w:rsidR="008C50BB" w:rsidRPr="00C50854">
        <w:t>T</w:t>
      </w:r>
      <w:r w:rsidRPr="00C50854">
        <w:t>JA välja selgitanud kohaliku juurdepääsu hulgiturul sideettevõtjad, keda T</w:t>
      </w:r>
      <w:r w:rsidR="008C50BB" w:rsidRPr="00C50854">
        <w:t>T</w:t>
      </w:r>
      <w:r w:rsidRPr="00C50854">
        <w:t>JA kavatseb tunnistada märkimisväärse turujõuga ettevõtjaks.</w:t>
      </w:r>
    </w:p>
    <w:p w14:paraId="350DC8B3" w14:textId="0C98C8E5" w:rsidR="00FB63D8" w:rsidRPr="00C50854" w:rsidRDefault="00FB63D8" w:rsidP="008C50BB">
      <w:pPr>
        <w:numPr>
          <w:ilvl w:val="0"/>
          <w:numId w:val="13"/>
        </w:numPr>
        <w:jc w:val="both"/>
        <w:rPr>
          <w:spacing w:val="-3"/>
        </w:rPr>
      </w:pPr>
      <w:r w:rsidRPr="00C50854">
        <w:rPr>
          <w:spacing w:val="-3"/>
        </w:rPr>
        <w:t>Turu piiritlemise tulemusel jõudis T</w:t>
      </w:r>
      <w:r w:rsidR="008C50BB" w:rsidRPr="00C50854">
        <w:rPr>
          <w:spacing w:val="-3"/>
        </w:rPr>
        <w:t>T</w:t>
      </w:r>
      <w:r w:rsidRPr="00C50854">
        <w:rPr>
          <w:spacing w:val="-3"/>
        </w:rPr>
        <w:t>JA järeldusele, et kohaliku juurdepääsu hulgituru koosseisu kuuluvad valguskaablile- ja vaskpaarile juurdepääsu teenused, millega üks sideettevõtja annab teisele sideettevõtjale kasutada (täielikult või jagatult) oma fikseeritud sidevõrgu juurdepääsuvõrgu vask</w:t>
      </w:r>
      <w:r w:rsidR="008C50BB" w:rsidRPr="00C50854">
        <w:rPr>
          <w:spacing w:val="-3"/>
        </w:rPr>
        <w:t>kaabli</w:t>
      </w:r>
      <w:r w:rsidRPr="00C50854">
        <w:rPr>
          <w:spacing w:val="-3"/>
        </w:rPr>
        <w:t xml:space="preserve">paari </w:t>
      </w:r>
      <w:r w:rsidR="008C50BB" w:rsidRPr="00C50854">
        <w:rPr>
          <w:spacing w:val="-3"/>
        </w:rPr>
        <w:t xml:space="preserve">(edaspidi ka </w:t>
      </w:r>
      <w:r w:rsidR="008C50BB" w:rsidRPr="00C50854">
        <w:rPr>
          <w:i/>
          <w:spacing w:val="-3"/>
        </w:rPr>
        <w:t>vaskpaar</w:t>
      </w:r>
      <w:r w:rsidR="008C50BB" w:rsidRPr="00C50854">
        <w:rPr>
          <w:spacing w:val="-3"/>
        </w:rPr>
        <w:t xml:space="preserve">) </w:t>
      </w:r>
      <w:r w:rsidRPr="00C50854">
        <w:rPr>
          <w:spacing w:val="-3"/>
        </w:rPr>
        <w:t xml:space="preserve">ja valguskaablit, et teine sideettevõtja saaks osutada kliendile sideteenuseid. Sealhulgas hõlmab asjaomane hulgiturg ka juurdepääsu </w:t>
      </w:r>
      <w:r w:rsidR="00BA5FF6" w:rsidRPr="00C50854">
        <w:rPr>
          <w:spacing w:val="-3"/>
        </w:rPr>
        <w:t xml:space="preserve">kaablikanalisatsioonile ja </w:t>
      </w:r>
      <w:r w:rsidRPr="00C50854">
        <w:rPr>
          <w:spacing w:val="-3"/>
        </w:rPr>
        <w:t>tugiteenuseid (sh seadmemajutust ja hoonete ühiskasutust) niivõrd, kuivõrd need on vajalikud fikseeritud juurdepääsu hulgiturul osutatavate hulgiteenuste kasutamiseks</w:t>
      </w:r>
      <w:r w:rsidR="00BA5FF6" w:rsidRPr="00C50854">
        <w:rPr>
          <w:spacing w:val="-3"/>
        </w:rPr>
        <w:t xml:space="preserve"> </w:t>
      </w:r>
      <w:r w:rsidR="00BA5FF6" w:rsidRPr="00C50854">
        <w:rPr>
          <w:lang w:eastAsia="et-EE"/>
        </w:rPr>
        <w:t>või oma sidevõrgu välja ehitamiseks</w:t>
      </w:r>
      <w:r w:rsidRPr="00C50854">
        <w:rPr>
          <w:spacing w:val="-3"/>
        </w:rPr>
        <w:t>.</w:t>
      </w:r>
      <w:r w:rsidR="00533823" w:rsidRPr="00C50854">
        <w:rPr>
          <w:spacing w:val="-3"/>
        </w:rPr>
        <w:t xml:space="preserve"> </w:t>
      </w:r>
    </w:p>
    <w:p w14:paraId="678E4658" w14:textId="77E4D389" w:rsidR="00FB63D8" w:rsidRPr="00C50854" w:rsidRDefault="00FB63D8" w:rsidP="008C50BB">
      <w:pPr>
        <w:numPr>
          <w:ilvl w:val="0"/>
          <w:numId w:val="13"/>
        </w:numPr>
        <w:spacing w:before="120" w:after="120"/>
        <w:jc w:val="both"/>
        <w:rPr>
          <w:spacing w:val="-3"/>
        </w:rPr>
      </w:pPr>
      <w:r w:rsidRPr="00C50854">
        <w:rPr>
          <w:spacing w:val="-3"/>
        </w:rPr>
        <w:t>Piiritletud turu geograafiline käibimisala on Eesti Vabariigi territoorium tervikuna</w:t>
      </w:r>
      <w:r w:rsidR="006F7241" w:rsidRPr="00C50854">
        <w:rPr>
          <w:spacing w:val="-3"/>
        </w:rPr>
        <w:t xml:space="preserve"> va valguskaablile ja vaskpaarile juurdepääsu teenuste osas Narvas ja Kohtla-Järvel</w:t>
      </w:r>
      <w:r w:rsidRPr="00C50854">
        <w:rPr>
          <w:spacing w:val="-3"/>
        </w:rPr>
        <w:t>.</w:t>
      </w:r>
    </w:p>
    <w:p w14:paraId="68FD10F3" w14:textId="6B129799" w:rsidR="00FB63D8" w:rsidRPr="00C50854" w:rsidRDefault="00FB63D8" w:rsidP="008C50BB">
      <w:pPr>
        <w:numPr>
          <w:ilvl w:val="0"/>
          <w:numId w:val="13"/>
        </w:numPr>
        <w:jc w:val="both"/>
        <w:rPr>
          <w:spacing w:val="-3"/>
        </w:rPr>
      </w:pPr>
      <w:r w:rsidRPr="00C50854">
        <w:rPr>
          <w:spacing w:val="-3"/>
        </w:rPr>
        <w:t xml:space="preserve">Läbiviidud turuanalüüsi raames hinnati konkurentsiolukorda asjakohasel hulgiturul mitme kriteeriumi alusel ning leiti, et piiritletud hulgiturul ei toimi konkurents ning et ESS § 45 lg 2 vastavate tunnustega ettevõtja piiritletud sideteenuste turul on </w:t>
      </w:r>
      <w:r w:rsidR="009216DD" w:rsidRPr="00C50854">
        <w:rPr>
          <w:spacing w:val="-3"/>
        </w:rPr>
        <w:t>Telia Eesti AS</w:t>
      </w:r>
      <w:r w:rsidRPr="00C50854">
        <w:rPr>
          <w:spacing w:val="-3"/>
        </w:rPr>
        <w:t xml:space="preserve"> </w:t>
      </w:r>
      <w:bookmarkStart w:id="23" w:name="_Hlk25742618"/>
      <w:r w:rsidRPr="00C50854">
        <w:rPr>
          <w:spacing w:val="-3"/>
        </w:rPr>
        <w:t xml:space="preserve">(edaspidi </w:t>
      </w:r>
      <w:r w:rsidR="009216DD" w:rsidRPr="00C50854">
        <w:rPr>
          <w:i/>
          <w:spacing w:val="-3"/>
        </w:rPr>
        <w:t>Telia</w:t>
      </w:r>
      <w:r w:rsidRPr="00C50854">
        <w:rPr>
          <w:spacing w:val="-3"/>
        </w:rPr>
        <w:t>)</w:t>
      </w:r>
      <w:bookmarkEnd w:id="23"/>
      <w:r w:rsidRPr="00C50854">
        <w:rPr>
          <w:spacing w:val="-3"/>
        </w:rPr>
        <w:t>.</w:t>
      </w:r>
    </w:p>
    <w:p w14:paraId="4F801683" w14:textId="77777777" w:rsidR="00FB63D8" w:rsidRPr="00C50854" w:rsidRDefault="00FB63D8" w:rsidP="008C50BB">
      <w:pPr>
        <w:pStyle w:val="Loendilik"/>
        <w:jc w:val="both"/>
        <w:rPr>
          <w:spacing w:val="-3"/>
        </w:rPr>
      </w:pPr>
    </w:p>
    <w:p w14:paraId="316DBAEE" w14:textId="223DCDBF" w:rsidR="00FB63D8" w:rsidRPr="00C50854" w:rsidRDefault="00FB63D8" w:rsidP="008C50BB">
      <w:pPr>
        <w:numPr>
          <w:ilvl w:val="0"/>
          <w:numId w:val="13"/>
        </w:numPr>
        <w:jc w:val="both"/>
        <w:rPr>
          <w:spacing w:val="-3"/>
        </w:rPr>
      </w:pPr>
      <w:r w:rsidRPr="00C50854">
        <w:rPr>
          <w:spacing w:val="-3"/>
        </w:rPr>
        <w:t>T</w:t>
      </w:r>
      <w:r w:rsidR="008C50BB" w:rsidRPr="00C50854">
        <w:rPr>
          <w:spacing w:val="-3"/>
        </w:rPr>
        <w:t>T</w:t>
      </w:r>
      <w:r w:rsidRPr="00C50854">
        <w:rPr>
          <w:spacing w:val="-3"/>
        </w:rPr>
        <w:t>JA teeb ettepaneku tunnistada</w:t>
      </w:r>
      <w:r w:rsidR="009216DD" w:rsidRPr="00C50854">
        <w:rPr>
          <w:spacing w:val="-3"/>
        </w:rPr>
        <w:t xml:space="preserve"> Telia</w:t>
      </w:r>
      <w:r w:rsidRPr="00C50854">
        <w:rPr>
          <w:spacing w:val="-3"/>
        </w:rPr>
        <w:t xml:space="preserve"> piiritletud hulgiturul märkimisväärse turujõuga ettevõtjaks</w:t>
      </w:r>
      <w:r w:rsidR="008C50BB" w:rsidRPr="00C50854">
        <w:rPr>
          <w:spacing w:val="-3"/>
        </w:rPr>
        <w:t xml:space="preserve"> (edaspidi ka </w:t>
      </w:r>
      <w:r w:rsidR="008C50BB" w:rsidRPr="00C50854">
        <w:rPr>
          <w:i/>
          <w:spacing w:val="-3"/>
        </w:rPr>
        <w:t>MTE</w:t>
      </w:r>
      <w:r w:rsidR="008C50BB" w:rsidRPr="00C50854">
        <w:rPr>
          <w:spacing w:val="-3"/>
        </w:rPr>
        <w:t>)</w:t>
      </w:r>
      <w:r w:rsidRPr="00C50854">
        <w:rPr>
          <w:spacing w:val="-3"/>
        </w:rPr>
        <w:t>.</w:t>
      </w:r>
    </w:p>
    <w:p w14:paraId="46074E95" w14:textId="77777777" w:rsidR="00311E1F" w:rsidRPr="00C50854" w:rsidRDefault="00FB63D8" w:rsidP="008C50BB">
      <w:pPr>
        <w:numPr>
          <w:ilvl w:val="0"/>
          <w:numId w:val="13"/>
        </w:numPr>
        <w:suppressAutoHyphens w:val="0"/>
        <w:spacing w:before="120" w:after="120"/>
        <w:jc w:val="both"/>
        <w:rPr>
          <w:lang w:eastAsia="et-EE"/>
        </w:rPr>
      </w:pPr>
      <w:r w:rsidRPr="00C50854">
        <w:rPr>
          <w:lang w:eastAsia="et-EE"/>
        </w:rPr>
        <w:t>T</w:t>
      </w:r>
      <w:r w:rsidR="008C50BB" w:rsidRPr="00C50854">
        <w:rPr>
          <w:lang w:eastAsia="et-EE"/>
        </w:rPr>
        <w:t>T</w:t>
      </w:r>
      <w:r w:rsidRPr="00C50854">
        <w:rPr>
          <w:lang w:eastAsia="et-EE"/>
        </w:rPr>
        <w:t xml:space="preserve">JA teeb piiritletud sideteenuse turul esinevate konkurentsiprobleemide mõju vähendamiseks ettepaneku kehtestada </w:t>
      </w:r>
      <w:r w:rsidR="009216DD" w:rsidRPr="00C50854">
        <w:rPr>
          <w:lang w:eastAsia="et-EE"/>
        </w:rPr>
        <w:t xml:space="preserve">Teliale </w:t>
      </w:r>
      <w:r w:rsidRPr="00C50854">
        <w:rPr>
          <w:lang w:eastAsia="et-EE"/>
        </w:rPr>
        <w:t>järgmised valdkonnaspetsiifilised kohustused:</w:t>
      </w:r>
      <w:r w:rsidR="00311E1F" w:rsidRPr="00C50854">
        <w:t xml:space="preserve"> </w:t>
      </w:r>
    </w:p>
    <w:p w14:paraId="46DA98DE" w14:textId="1744DF89" w:rsidR="00FB63D8" w:rsidRPr="00C50854" w:rsidRDefault="00FB63D8" w:rsidP="008C50BB">
      <w:pPr>
        <w:numPr>
          <w:ilvl w:val="0"/>
          <w:numId w:val="5"/>
        </w:numPr>
        <w:tabs>
          <w:tab w:val="num" w:pos="360"/>
        </w:tabs>
        <w:suppressAutoHyphens w:val="0"/>
        <w:ind w:left="527" w:hanging="357"/>
        <w:jc w:val="both"/>
        <w:rPr>
          <w:lang w:eastAsia="et-EE"/>
        </w:rPr>
      </w:pPr>
      <w:r w:rsidRPr="00C50854">
        <w:rPr>
          <w:lang w:eastAsia="et-EE"/>
        </w:rPr>
        <w:t>juurdepääsu kohustused vastavalt otsuse punktile 6.</w:t>
      </w:r>
      <w:r w:rsidR="002025CF" w:rsidRPr="00C50854">
        <w:rPr>
          <w:lang w:eastAsia="et-EE"/>
        </w:rPr>
        <w:t>2</w:t>
      </w:r>
      <w:r w:rsidRPr="00C50854">
        <w:rPr>
          <w:lang w:eastAsia="et-EE"/>
        </w:rPr>
        <w:t>.</w:t>
      </w:r>
      <w:r w:rsidR="009216DD" w:rsidRPr="00C50854">
        <w:rPr>
          <w:lang w:eastAsia="et-EE"/>
        </w:rPr>
        <w:t>4</w:t>
      </w:r>
      <w:r w:rsidRPr="00C50854">
        <w:rPr>
          <w:lang w:eastAsia="et-EE"/>
        </w:rPr>
        <w:t>.;</w:t>
      </w:r>
    </w:p>
    <w:p w14:paraId="4B2763AD" w14:textId="484056E6" w:rsidR="00FB63D8" w:rsidRPr="00C50854" w:rsidRDefault="00FB63D8" w:rsidP="008C50BB">
      <w:pPr>
        <w:numPr>
          <w:ilvl w:val="0"/>
          <w:numId w:val="5"/>
        </w:numPr>
        <w:tabs>
          <w:tab w:val="num" w:pos="360"/>
        </w:tabs>
        <w:suppressAutoHyphens w:val="0"/>
        <w:ind w:left="527" w:hanging="357"/>
        <w:jc w:val="both"/>
        <w:rPr>
          <w:lang w:eastAsia="et-EE"/>
        </w:rPr>
      </w:pPr>
      <w:r w:rsidRPr="00C50854">
        <w:rPr>
          <w:lang w:eastAsia="et-EE"/>
        </w:rPr>
        <w:t>mittediskrimineerimise kohustuse vastavalt otsuse punktile 6.</w:t>
      </w:r>
      <w:r w:rsidR="002025CF" w:rsidRPr="00C50854">
        <w:rPr>
          <w:lang w:eastAsia="et-EE"/>
        </w:rPr>
        <w:t>3</w:t>
      </w:r>
      <w:r w:rsidRPr="00C50854">
        <w:rPr>
          <w:lang w:eastAsia="et-EE"/>
        </w:rPr>
        <w:t>.</w:t>
      </w:r>
      <w:r w:rsidR="009216DD" w:rsidRPr="00C50854">
        <w:rPr>
          <w:lang w:eastAsia="et-EE"/>
        </w:rPr>
        <w:t>4</w:t>
      </w:r>
      <w:r w:rsidRPr="00C50854">
        <w:rPr>
          <w:lang w:eastAsia="et-EE"/>
        </w:rPr>
        <w:t>.;</w:t>
      </w:r>
    </w:p>
    <w:p w14:paraId="4127B452" w14:textId="62B9055D" w:rsidR="00FB63D8" w:rsidRPr="00C50854" w:rsidRDefault="00FB63D8" w:rsidP="008C50BB">
      <w:pPr>
        <w:numPr>
          <w:ilvl w:val="0"/>
          <w:numId w:val="5"/>
        </w:numPr>
        <w:tabs>
          <w:tab w:val="num" w:pos="360"/>
        </w:tabs>
        <w:suppressAutoHyphens w:val="0"/>
        <w:ind w:left="527" w:hanging="357"/>
        <w:jc w:val="both"/>
        <w:rPr>
          <w:lang w:eastAsia="et-EE"/>
        </w:rPr>
      </w:pPr>
      <w:r w:rsidRPr="00C50854">
        <w:rPr>
          <w:lang w:eastAsia="et-EE"/>
        </w:rPr>
        <w:t>läbipaistvuskohustused vastavalt otsuse punktile 6.</w:t>
      </w:r>
      <w:r w:rsidR="002025CF" w:rsidRPr="00C50854">
        <w:rPr>
          <w:lang w:eastAsia="et-EE"/>
        </w:rPr>
        <w:t>4</w:t>
      </w:r>
      <w:r w:rsidRPr="00C50854">
        <w:rPr>
          <w:lang w:eastAsia="et-EE"/>
        </w:rPr>
        <w:t>.</w:t>
      </w:r>
      <w:r w:rsidR="009216DD" w:rsidRPr="00C50854">
        <w:rPr>
          <w:lang w:eastAsia="et-EE"/>
        </w:rPr>
        <w:t>4</w:t>
      </w:r>
      <w:r w:rsidRPr="00C50854">
        <w:rPr>
          <w:lang w:eastAsia="et-EE"/>
        </w:rPr>
        <w:t>.;</w:t>
      </w:r>
    </w:p>
    <w:p w14:paraId="01F677BF" w14:textId="77777777" w:rsidR="00311E1F" w:rsidRPr="00C50854" w:rsidRDefault="00FB63D8" w:rsidP="008C50BB">
      <w:pPr>
        <w:numPr>
          <w:ilvl w:val="0"/>
          <w:numId w:val="5"/>
        </w:numPr>
        <w:tabs>
          <w:tab w:val="num" w:pos="360"/>
        </w:tabs>
        <w:suppressAutoHyphens w:val="0"/>
        <w:ind w:left="527" w:hanging="357"/>
        <w:jc w:val="both"/>
        <w:rPr>
          <w:lang w:eastAsia="et-EE"/>
        </w:rPr>
      </w:pPr>
      <w:r w:rsidRPr="00C50854">
        <w:rPr>
          <w:lang w:eastAsia="et-EE"/>
        </w:rPr>
        <w:t>hinnakontrolli kohustus vastavalt otsuse punktile 6.</w:t>
      </w:r>
      <w:r w:rsidR="002025CF" w:rsidRPr="00C50854">
        <w:rPr>
          <w:lang w:eastAsia="et-EE"/>
        </w:rPr>
        <w:t>5</w:t>
      </w:r>
      <w:r w:rsidRPr="00C50854">
        <w:rPr>
          <w:lang w:eastAsia="et-EE"/>
        </w:rPr>
        <w:t>.</w:t>
      </w:r>
      <w:r w:rsidR="009216DD" w:rsidRPr="00C50854">
        <w:rPr>
          <w:lang w:eastAsia="et-EE"/>
        </w:rPr>
        <w:t>4</w:t>
      </w:r>
      <w:r w:rsidRPr="00C50854">
        <w:rPr>
          <w:lang w:eastAsia="et-EE"/>
        </w:rPr>
        <w:t>.</w:t>
      </w:r>
    </w:p>
    <w:p w14:paraId="2AB2F8DD" w14:textId="01C9D27C" w:rsidR="00311E1F" w:rsidRPr="00C50854" w:rsidRDefault="00311E1F" w:rsidP="00311E1F">
      <w:pPr>
        <w:numPr>
          <w:ilvl w:val="0"/>
          <w:numId w:val="13"/>
        </w:numPr>
        <w:suppressAutoHyphens w:val="0"/>
        <w:spacing w:before="120" w:after="120"/>
        <w:jc w:val="both"/>
        <w:rPr>
          <w:lang w:eastAsia="et-EE"/>
        </w:rPr>
      </w:pPr>
      <w:r w:rsidRPr="00C50854">
        <w:rPr>
          <w:lang w:eastAsia="et-EE"/>
        </w:rPr>
        <w:t xml:space="preserve">TTJA </w:t>
      </w:r>
      <w:r w:rsidR="00AA521E" w:rsidRPr="00C50854">
        <w:rPr>
          <w:lang w:eastAsia="et-EE"/>
        </w:rPr>
        <w:t xml:space="preserve">kavandab </w:t>
      </w:r>
      <w:r w:rsidRPr="00C50854">
        <w:rPr>
          <w:lang w:eastAsia="et-EE"/>
        </w:rPr>
        <w:t>rakenda</w:t>
      </w:r>
      <w:r w:rsidR="00AA521E" w:rsidRPr="00C50854">
        <w:rPr>
          <w:lang w:eastAsia="et-EE"/>
        </w:rPr>
        <w:t>da</w:t>
      </w:r>
      <w:r w:rsidRPr="00C50854">
        <w:rPr>
          <w:lang w:eastAsia="et-EE"/>
        </w:rPr>
        <w:t xml:space="preserve"> eelnimetatud kohustused alates </w:t>
      </w:r>
      <w:r w:rsidR="00836904" w:rsidRPr="00C50854">
        <w:rPr>
          <w:lang w:eastAsia="et-EE"/>
        </w:rPr>
        <w:t xml:space="preserve">01.01.2021.  </w:t>
      </w:r>
    </w:p>
    <w:p w14:paraId="3C052A55" w14:textId="77777777" w:rsidR="00311E1F" w:rsidRPr="00C50854" w:rsidRDefault="00311E1F" w:rsidP="00311E1F">
      <w:pPr>
        <w:suppressAutoHyphens w:val="0"/>
        <w:ind w:left="527"/>
        <w:jc w:val="both"/>
        <w:rPr>
          <w:lang w:eastAsia="et-EE"/>
        </w:rPr>
      </w:pPr>
    </w:p>
    <w:p w14:paraId="208ED257" w14:textId="77777777" w:rsidR="00FB63D8" w:rsidRPr="00C50854" w:rsidRDefault="00FB63D8" w:rsidP="00311E1F">
      <w:pPr>
        <w:pStyle w:val="Pealkiri1"/>
      </w:pPr>
    </w:p>
    <w:p w14:paraId="22280583" w14:textId="77777777" w:rsidR="00CE08A6" w:rsidRPr="00C50854" w:rsidRDefault="00FB63D8" w:rsidP="00311E1F">
      <w:pPr>
        <w:pStyle w:val="Pealkiri1"/>
      </w:pPr>
      <w:r w:rsidRPr="00C50854">
        <w:br w:type="page"/>
      </w:r>
      <w:bookmarkStart w:id="24" w:name="_Toc464639318"/>
      <w:bookmarkStart w:id="25" w:name="_Toc42072426"/>
      <w:r w:rsidR="00CE08A6" w:rsidRPr="00C50854">
        <w:lastRenderedPageBreak/>
        <w:t>2. SISSEJUHATUS</w:t>
      </w:r>
      <w:bookmarkStart w:id="26" w:name="_Toc128372961"/>
      <w:bookmarkStart w:id="27" w:name="_Toc129760753"/>
      <w:bookmarkStart w:id="28" w:name="_Toc150651427"/>
      <w:bookmarkStart w:id="29" w:name="_Toc150654411"/>
      <w:bookmarkStart w:id="30" w:name="_Toc150841581"/>
      <w:bookmarkStart w:id="31" w:name="_Toc150842799"/>
      <w:bookmarkStart w:id="32" w:name="_Toc153273212"/>
      <w:bookmarkStart w:id="33" w:name="_Toc153863505"/>
      <w:bookmarkStart w:id="34" w:name="_Toc157846466"/>
      <w:bookmarkStart w:id="35" w:name="_Toc170194420"/>
      <w:bookmarkStart w:id="36" w:name="_Toc17554224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4"/>
      <w:bookmarkEnd w:id="25"/>
    </w:p>
    <w:p w14:paraId="74682504" w14:textId="77777777" w:rsidR="00CE08A6" w:rsidRPr="00C50854" w:rsidRDefault="00CE08A6" w:rsidP="00311E1F">
      <w:pPr>
        <w:pStyle w:val="Pealkiri2"/>
      </w:pPr>
      <w:bookmarkStart w:id="37" w:name="_Toc215466461"/>
      <w:bookmarkStart w:id="38" w:name="_Toc216228014"/>
      <w:bookmarkStart w:id="39" w:name="_Toc464639319"/>
      <w:bookmarkStart w:id="40" w:name="_Toc42072427"/>
      <w:r w:rsidRPr="00C50854">
        <w:t>2.1. Üldine õiguslik raamistik</w:t>
      </w:r>
      <w:bookmarkEnd w:id="37"/>
      <w:bookmarkEnd w:id="38"/>
      <w:bookmarkEnd w:id="39"/>
      <w:bookmarkEnd w:id="40"/>
    </w:p>
    <w:p w14:paraId="5A60EDA8" w14:textId="47A1C10E" w:rsidR="00151345" w:rsidRPr="00C50854" w:rsidRDefault="00151345" w:rsidP="00311E1F">
      <w:pPr>
        <w:numPr>
          <w:ilvl w:val="0"/>
          <w:numId w:val="13"/>
        </w:numPr>
        <w:jc w:val="both"/>
      </w:pPr>
      <w:bookmarkStart w:id="41" w:name="_Toc215466462"/>
      <w:bookmarkStart w:id="42" w:name="_Toc216228015"/>
      <w:bookmarkEnd w:id="26"/>
      <w:bookmarkEnd w:id="27"/>
      <w:bookmarkEnd w:id="28"/>
      <w:bookmarkEnd w:id="29"/>
      <w:bookmarkEnd w:id="30"/>
      <w:bookmarkEnd w:id="31"/>
      <w:bookmarkEnd w:id="32"/>
      <w:bookmarkEnd w:id="33"/>
      <w:bookmarkEnd w:id="34"/>
      <w:bookmarkEnd w:id="35"/>
      <w:bookmarkEnd w:id="36"/>
      <w:r w:rsidRPr="00C50854">
        <w:t xml:space="preserve">2005. aasta 1. jaanuaril jõustus ESS, millega Eesti võttis üle Euroopa Liidu (edaspidi </w:t>
      </w:r>
      <w:r w:rsidRPr="00C50854">
        <w:rPr>
          <w:i/>
        </w:rPr>
        <w:t>EL</w:t>
      </w:r>
      <w:r w:rsidRPr="00C50854">
        <w:t>) elektrooniliste sidevõrkude ja teenuste ühise reguleeriva raamistiku</w:t>
      </w:r>
      <w:r w:rsidR="006102B9" w:rsidRPr="00C50854">
        <w:rPr>
          <w:rStyle w:val="Allmrkuseviide"/>
        </w:rPr>
        <w:footnoteReference w:id="3"/>
      </w:r>
      <w:r w:rsidR="008C50BB" w:rsidRPr="00C50854">
        <w:t>.</w:t>
      </w:r>
    </w:p>
    <w:p w14:paraId="538A32C0" w14:textId="593ACC6E" w:rsidR="00151345" w:rsidRPr="00C50854" w:rsidRDefault="004806ED" w:rsidP="00311E1F">
      <w:pPr>
        <w:numPr>
          <w:ilvl w:val="0"/>
          <w:numId w:val="13"/>
        </w:numPr>
        <w:spacing w:before="120" w:after="120"/>
        <w:jc w:val="both"/>
      </w:pPr>
      <w:r w:rsidRPr="00C50854">
        <w:t xml:space="preserve">ESS § 44 kohaselt tuleb mitte harvem kui kord kolme aasta jooksul </w:t>
      </w:r>
      <w:r w:rsidR="008C50BB" w:rsidRPr="00C50854">
        <w:t>ESS</w:t>
      </w:r>
      <w:r w:rsidRPr="00C50854">
        <w:t xml:space="preserve"> § 43 lõike 1 kohaselt piiritletud sideteenuste turgudel teostada konkurentsiolukorra analüüsi (edaspidi </w:t>
      </w:r>
      <w:r w:rsidRPr="00C50854">
        <w:rPr>
          <w:i/>
        </w:rPr>
        <w:t>turuanalüüs</w:t>
      </w:r>
      <w:r w:rsidRPr="00C50854">
        <w:t>), et teha kindlaks, kas vastaval sideteenuse turul toimib konkurents.</w:t>
      </w:r>
    </w:p>
    <w:p w14:paraId="77C9DF17" w14:textId="15959974" w:rsidR="004806ED" w:rsidRPr="00C50854" w:rsidRDefault="004806ED" w:rsidP="00311E1F">
      <w:pPr>
        <w:numPr>
          <w:ilvl w:val="0"/>
          <w:numId w:val="13"/>
        </w:numPr>
        <w:jc w:val="both"/>
      </w:pPr>
      <w:r w:rsidRPr="00C50854">
        <w:t xml:space="preserve">Turgude piiritlemisel juhindub </w:t>
      </w:r>
      <w:r w:rsidR="003E146A" w:rsidRPr="00C50854">
        <w:t>T</w:t>
      </w:r>
      <w:r w:rsidRPr="00C50854">
        <w:t>TJA Euroopa Komisjoni turu</w:t>
      </w:r>
      <w:r w:rsidR="000232FF" w:rsidRPr="00C50854">
        <w:t xml:space="preserve">analüüsi ja </w:t>
      </w:r>
      <w:r w:rsidR="00FB735B" w:rsidRPr="00C50854">
        <w:t>märkimisväärse turujõuga ettevõtja määramist</w:t>
      </w:r>
      <w:r w:rsidR="000232FF" w:rsidRPr="00C50854">
        <w:t xml:space="preserve"> </w:t>
      </w:r>
      <w:r w:rsidRPr="00C50854">
        <w:t>puudutavatest soovitustest ja suunistest</w:t>
      </w:r>
      <w:r w:rsidR="00051BBB" w:rsidRPr="00C50854">
        <w:rPr>
          <w:rStyle w:val="Allmrkuseviide"/>
        </w:rPr>
        <w:footnoteReference w:id="4"/>
      </w:r>
      <w:r w:rsidRPr="00C50854">
        <w:t xml:space="preserve"> ning Euroopa Komisjoni ja Euroopa Kohtu otsustest.</w:t>
      </w:r>
    </w:p>
    <w:p w14:paraId="1680726A" w14:textId="1B979559" w:rsidR="0095163F" w:rsidRPr="00C50854" w:rsidRDefault="0095163F" w:rsidP="00311E1F">
      <w:pPr>
        <w:numPr>
          <w:ilvl w:val="0"/>
          <w:numId w:val="13"/>
        </w:numPr>
        <w:suppressAutoHyphens w:val="0"/>
        <w:spacing w:before="120" w:after="120"/>
        <w:jc w:val="both"/>
      </w:pPr>
      <w:r w:rsidRPr="00C50854">
        <w:t>Aastatel 2005 – 2007 viis sideteenuste turgudel konkurentsiolukorra analüüse läbi Sideamet.</w:t>
      </w:r>
    </w:p>
    <w:p w14:paraId="58B20620" w14:textId="26D909AF" w:rsidR="0095163F" w:rsidRPr="00C50854" w:rsidRDefault="0095163F" w:rsidP="00311E1F">
      <w:pPr>
        <w:numPr>
          <w:ilvl w:val="0"/>
          <w:numId w:val="13"/>
        </w:numPr>
        <w:suppressAutoHyphens w:val="0"/>
        <w:spacing w:before="120" w:after="120"/>
        <w:jc w:val="both"/>
      </w:pPr>
      <w:r w:rsidRPr="00C50854">
        <w:t>31.12.2007 lõpetas Sideamet oma tegevuse</w:t>
      </w:r>
      <w:r w:rsidRPr="00C50854">
        <w:rPr>
          <w:vertAlign w:val="superscript"/>
        </w:rPr>
        <w:footnoteReference w:id="5"/>
      </w:r>
      <w:r w:rsidRPr="00C50854">
        <w:rPr>
          <w:vertAlign w:val="superscript"/>
        </w:rPr>
        <w:t xml:space="preserve"> </w:t>
      </w:r>
      <w:r w:rsidRPr="00C50854">
        <w:t>ning tema ülesanded jagati Konkurentsiameti ja T</w:t>
      </w:r>
      <w:r w:rsidR="003E146A" w:rsidRPr="00C50854">
        <w:t>ehnilise Järelevalve Ameti</w:t>
      </w:r>
      <w:r w:rsidRPr="00C50854">
        <w:t xml:space="preserve"> vahel.</w:t>
      </w:r>
    </w:p>
    <w:p w14:paraId="7EAB6944" w14:textId="77777777" w:rsidR="00011B1F" w:rsidRPr="00C50854" w:rsidRDefault="0095163F" w:rsidP="00311E1F">
      <w:pPr>
        <w:numPr>
          <w:ilvl w:val="0"/>
          <w:numId w:val="13"/>
        </w:numPr>
        <w:suppressAutoHyphens w:val="0"/>
        <w:spacing w:before="120" w:after="120"/>
        <w:jc w:val="both"/>
      </w:pPr>
      <w:r w:rsidRPr="00C50854">
        <w:t>Alates 01.01.2008 viis elektroonilise side turgude turuanalüüse läbi Konkurentsiamet. Sideteenuste turgude loetelus lähtus Konkurentsiamet Euroopa Komisjoni 2007. aasta soovituses „</w:t>
      </w:r>
      <w:r w:rsidRPr="00C50854">
        <w:rPr>
          <w:i/>
        </w:rPr>
        <w:t>Ex ante</w:t>
      </w:r>
      <w:r w:rsidRPr="00C50854">
        <w:t xml:space="preserve"> põhimõttel reguleeritavate elektroonilise side valdkonna toote- ja teenuseturgude kohta“</w:t>
      </w:r>
      <w:r w:rsidRPr="00C50854">
        <w:rPr>
          <w:vertAlign w:val="superscript"/>
        </w:rPr>
        <w:footnoteReference w:id="6"/>
      </w:r>
      <w:r w:rsidRPr="00C50854">
        <w:t xml:space="preserve"> (</w:t>
      </w:r>
      <w:r w:rsidRPr="00C50854">
        <w:rPr>
          <w:i/>
        </w:rPr>
        <w:t>2007. aasta toote- ja teenuseturgude soovitus</w:t>
      </w:r>
      <w:r w:rsidRPr="00C50854">
        <w:t xml:space="preserve">) lisas 1 toodud elektroonilise side turgude loetelust .  </w:t>
      </w:r>
    </w:p>
    <w:p w14:paraId="1F2580C5" w14:textId="237819D1" w:rsidR="001743CF" w:rsidRPr="00C50854" w:rsidRDefault="00011B1F" w:rsidP="00311E1F">
      <w:pPr>
        <w:numPr>
          <w:ilvl w:val="0"/>
          <w:numId w:val="13"/>
        </w:numPr>
        <w:suppressAutoHyphens w:val="0"/>
        <w:spacing w:before="120" w:after="120"/>
        <w:jc w:val="both"/>
      </w:pPr>
      <w:r w:rsidRPr="00C50854">
        <w:t>01.07.2014 jõustus ESS</w:t>
      </w:r>
      <w:r w:rsidR="008C50BB" w:rsidRPr="00C50854">
        <w:t>-</w:t>
      </w:r>
      <w:r w:rsidRPr="00C50854">
        <w:t xml:space="preserve">i muudatus, mille tulemusel viidi Konkurentsiameti pädevuses olevad ülesanded TJA pädevusse ning </w:t>
      </w:r>
      <w:r w:rsidR="009224C7" w:rsidRPr="00C50854">
        <w:t>2015</w:t>
      </w:r>
      <w:r w:rsidR="00D95E36" w:rsidRPr="00C50854">
        <w:t xml:space="preserve">. aastal alustas </w:t>
      </w:r>
      <w:r w:rsidR="009224C7" w:rsidRPr="00C50854">
        <w:t>TJA neljanda</w:t>
      </w:r>
      <w:r w:rsidR="00D95E36" w:rsidRPr="00C50854">
        <w:t xml:space="preserve"> turuanalüüside läb</w:t>
      </w:r>
      <w:r w:rsidR="001743CF" w:rsidRPr="00C50854">
        <w:t>iviimise etapiga.</w:t>
      </w:r>
    </w:p>
    <w:p w14:paraId="6153EF5F" w14:textId="77777777" w:rsidR="003E146A" w:rsidRPr="00C50854" w:rsidRDefault="003E146A" w:rsidP="00311E1F">
      <w:pPr>
        <w:pStyle w:val="Loendilik"/>
        <w:numPr>
          <w:ilvl w:val="0"/>
          <w:numId w:val="13"/>
        </w:numPr>
        <w:jc w:val="both"/>
      </w:pPr>
      <w:r w:rsidRPr="00C50854">
        <w:t>2019 aasta 1. jaanuaril alustas tööd Tarbijakaitse ja Tehnilise Järelevalve Amet, mis loodi kahe asutuse: Tehnilise Järelevalve Ameti ja Tarbijakaitse Ameti ühendamisel. TTJA täidab kõiki seni kahel asutusel olnud ülesandeid.</w:t>
      </w:r>
    </w:p>
    <w:p w14:paraId="7CC9CC25" w14:textId="7827452C" w:rsidR="001743CF" w:rsidRPr="00C50854" w:rsidRDefault="001743CF" w:rsidP="00311E1F">
      <w:pPr>
        <w:numPr>
          <w:ilvl w:val="0"/>
          <w:numId w:val="13"/>
        </w:numPr>
        <w:suppressAutoHyphens w:val="0"/>
        <w:spacing w:before="120" w:after="120"/>
        <w:jc w:val="both"/>
      </w:pPr>
      <w:r w:rsidRPr="00C50854">
        <w:t xml:space="preserve">Sideteenuste turgude loetelus lähtub </w:t>
      </w:r>
      <w:r w:rsidR="003E146A" w:rsidRPr="00C50854">
        <w:t>T</w:t>
      </w:r>
      <w:r w:rsidRPr="00C50854">
        <w:t xml:space="preserve">TJA </w:t>
      </w:r>
      <w:r w:rsidRPr="00C50854">
        <w:rPr>
          <w:szCs w:val="28"/>
        </w:rPr>
        <w:t xml:space="preserve">Euroopa Komisjoni </w:t>
      </w:r>
      <w:r w:rsidRPr="00C50854">
        <w:t xml:space="preserve">2014. aasta soovituses </w:t>
      </w:r>
      <w:r w:rsidRPr="00C50854">
        <w:rPr>
          <w:szCs w:val="28"/>
        </w:rPr>
        <w:t>„</w:t>
      </w:r>
      <w:r w:rsidRPr="00C50854">
        <w:rPr>
          <w:i/>
        </w:rPr>
        <w:t>Ex ante</w:t>
      </w:r>
      <w:r w:rsidRPr="00C50854">
        <w:t xml:space="preserve"> põhimõttel reguleeritavate elektroonilise side valdkonna toote- ja teenuseturgude kohta“</w:t>
      </w:r>
      <w:r w:rsidRPr="00C50854">
        <w:rPr>
          <w:rStyle w:val="Allmrkuseviide"/>
        </w:rPr>
        <w:footnoteReference w:id="7"/>
      </w:r>
      <w:r w:rsidRPr="00C50854">
        <w:t xml:space="preserve"> </w:t>
      </w:r>
      <w:r w:rsidRPr="00C50854">
        <w:rPr>
          <w:szCs w:val="28"/>
        </w:rPr>
        <w:t>(</w:t>
      </w:r>
      <w:r w:rsidRPr="00C50854">
        <w:rPr>
          <w:i/>
          <w:szCs w:val="28"/>
        </w:rPr>
        <w:t>2014. aasta toote- ja teenuseturgude soovitus</w:t>
      </w:r>
      <w:r w:rsidRPr="00C50854">
        <w:rPr>
          <w:szCs w:val="28"/>
        </w:rPr>
        <w:t>) lisas</w:t>
      </w:r>
      <w:r w:rsidRPr="00C50854">
        <w:t xml:space="preserve"> 1 </w:t>
      </w:r>
      <w:r w:rsidRPr="00C50854">
        <w:rPr>
          <w:szCs w:val="28"/>
        </w:rPr>
        <w:t>toodud elektroonilise side turgude loetelust.</w:t>
      </w:r>
      <w:r w:rsidRPr="00C50854">
        <w:t xml:space="preserve"> </w:t>
      </w:r>
    </w:p>
    <w:p w14:paraId="64A9ABB0" w14:textId="25123F37" w:rsidR="009224C7" w:rsidRPr="00C50854" w:rsidRDefault="009224C7" w:rsidP="00311E1F">
      <w:pPr>
        <w:numPr>
          <w:ilvl w:val="0"/>
          <w:numId w:val="13"/>
        </w:numPr>
        <w:jc w:val="both"/>
        <w:rPr>
          <w:lang w:eastAsia="et-EE"/>
        </w:rPr>
      </w:pPr>
      <w:r w:rsidRPr="00C50854">
        <w:rPr>
          <w:lang w:eastAsia="et-EE"/>
        </w:rPr>
        <w:t xml:space="preserve">Käesolevas otsuse </w:t>
      </w:r>
      <w:r w:rsidR="00D95E36" w:rsidRPr="00C50854">
        <w:rPr>
          <w:lang w:eastAsia="et-EE"/>
        </w:rPr>
        <w:t xml:space="preserve">piiritletakse </w:t>
      </w:r>
      <w:r w:rsidRPr="00C50854">
        <w:rPr>
          <w:lang w:eastAsia="et-EE"/>
        </w:rPr>
        <w:t xml:space="preserve">2014/710/EL komisjoni soovituse lisa </w:t>
      </w:r>
      <w:r w:rsidR="00156A27" w:rsidRPr="00C50854">
        <w:rPr>
          <w:lang w:eastAsia="et-EE"/>
        </w:rPr>
        <w:t xml:space="preserve">punkti </w:t>
      </w:r>
      <w:r w:rsidRPr="00C50854">
        <w:rPr>
          <w:lang w:eastAsia="et-EE"/>
        </w:rPr>
        <w:t>3</w:t>
      </w:r>
      <w:r w:rsidR="00156A27" w:rsidRPr="00C50854">
        <w:rPr>
          <w:lang w:eastAsia="et-EE"/>
        </w:rPr>
        <w:t xml:space="preserve"> a</w:t>
      </w:r>
      <w:r w:rsidR="000B1275" w:rsidRPr="00C50854">
        <w:rPr>
          <w:lang w:eastAsia="et-EE"/>
        </w:rPr>
        <w:t xml:space="preserve"> järgi:</w:t>
      </w:r>
      <w:r w:rsidRPr="00C50854">
        <w:rPr>
          <w:lang w:eastAsia="et-EE"/>
        </w:rPr>
        <w:t xml:space="preserve"> „</w:t>
      </w:r>
      <w:r w:rsidR="000B5C35" w:rsidRPr="00C50854">
        <w:rPr>
          <w:lang w:eastAsia="et-EE"/>
        </w:rPr>
        <w:t>Kindlaksmääratud asukohas kohaliku juurdepääsu hulgitur</w:t>
      </w:r>
      <w:r w:rsidR="00D46209" w:rsidRPr="00C50854">
        <w:rPr>
          <w:lang w:eastAsia="et-EE"/>
        </w:rPr>
        <w:t>g</w:t>
      </w:r>
      <w:r w:rsidRPr="00C50854">
        <w:rPr>
          <w:lang w:eastAsia="et-EE"/>
        </w:rPr>
        <w:t>“</w:t>
      </w:r>
      <w:r w:rsidR="00F0017A" w:rsidRPr="00C50854">
        <w:rPr>
          <w:lang w:eastAsia="et-EE"/>
        </w:rPr>
        <w:t>.</w:t>
      </w:r>
      <w:r w:rsidR="00156A27" w:rsidRPr="00C50854">
        <w:rPr>
          <w:lang w:eastAsia="et-EE"/>
        </w:rPr>
        <w:t xml:space="preserve"> </w:t>
      </w:r>
    </w:p>
    <w:p w14:paraId="5C2C6FB4" w14:textId="0C5B3DAA" w:rsidR="00D95E36" w:rsidRPr="00C50854" w:rsidRDefault="00D95E36" w:rsidP="00311E1F">
      <w:pPr>
        <w:numPr>
          <w:ilvl w:val="0"/>
          <w:numId w:val="13"/>
        </w:numPr>
        <w:autoSpaceDE w:val="0"/>
        <w:spacing w:before="120" w:after="120"/>
        <w:jc w:val="both"/>
      </w:pPr>
      <w:r w:rsidRPr="00C50854">
        <w:lastRenderedPageBreak/>
        <w:t xml:space="preserve">Kui turuanalüüsist tuleneb, et </w:t>
      </w:r>
      <w:r w:rsidR="00D46209" w:rsidRPr="00C50854">
        <w:t>kohaliku juurdepääsu</w:t>
      </w:r>
      <w:r w:rsidR="00D46209" w:rsidRPr="00C50854" w:rsidDel="00D46209">
        <w:t xml:space="preserve"> </w:t>
      </w:r>
      <w:r w:rsidR="001743CF" w:rsidRPr="00C50854">
        <w:t xml:space="preserve">hulgiturul </w:t>
      </w:r>
      <w:r w:rsidRPr="00C50854">
        <w:t xml:space="preserve">toimib konkurents, koostab </w:t>
      </w:r>
      <w:r w:rsidR="001743CF" w:rsidRPr="00C50854">
        <w:t>T</w:t>
      </w:r>
      <w:r w:rsidR="003E146A" w:rsidRPr="00C50854">
        <w:t>T</w:t>
      </w:r>
      <w:r w:rsidR="001743CF" w:rsidRPr="00C50854">
        <w:t>JA</w:t>
      </w:r>
      <w:r w:rsidRPr="00C50854">
        <w:t xml:space="preserve"> ESS § 44 lõi</w:t>
      </w:r>
      <w:r w:rsidR="008C50BB" w:rsidRPr="00C50854">
        <w:t>k</w:t>
      </w:r>
      <w:r w:rsidRPr="00C50854">
        <w:t>e 7 kohaselt otsuse märkimisväärse turujõuga ettevõtja määramata jätmise kohta.</w:t>
      </w:r>
    </w:p>
    <w:p w14:paraId="2FC63464" w14:textId="506EB3FE" w:rsidR="00D95E36" w:rsidRPr="00C50854" w:rsidRDefault="00D95E36" w:rsidP="00311E1F">
      <w:pPr>
        <w:numPr>
          <w:ilvl w:val="0"/>
          <w:numId w:val="13"/>
        </w:numPr>
        <w:autoSpaceDE w:val="0"/>
        <w:spacing w:before="120" w:after="120"/>
        <w:jc w:val="both"/>
      </w:pPr>
      <w:r w:rsidRPr="00C50854">
        <w:t xml:space="preserve">Kui </w:t>
      </w:r>
      <w:r w:rsidR="006B0CA7" w:rsidRPr="00C50854">
        <w:t>T</w:t>
      </w:r>
      <w:r w:rsidR="000B1275" w:rsidRPr="00C50854">
        <w:t>TJA</w:t>
      </w:r>
      <w:r w:rsidRPr="00C50854">
        <w:t xml:space="preserve"> turuanalüüsi käigus tuvastab, et </w:t>
      </w:r>
      <w:r w:rsidR="000B1275" w:rsidRPr="00C50854">
        <w:t xml:space="preserve">kohaliku juurdepääsu hulgiturul </w:t>
      </w:r>
      <w:r w:rsidRPr="00C50854">
        <w:t>konkurents ei toimi ning nimetat</w:t>
      </w:r>
      <w:r w:rsidR="000B1275" w:rsidRPr="00C50854">
        <w:t>ud turgudel</w:t>
      </w:r>
      <w:r w:rsidRPr="00C50854">
        <w:t xml:space="preserve"> tegutsev sideettevõtja omab eraldi või ühiselt koos teiste ettevõtjatega märkimisväärset turujõudu, mis võimaldab tal tegutseda märkimisväärsel määral sõltumatult konkurentidest, lepingupartneritest ja lõppkasutajatest, määratakse sideturul kindlaks üks või mitu märkimisväärse turujõuga ettevõtjat ning kooskõlas </w:t>
      </w:r>
      <w:r w:rsidR="001743CF" w:rsidRPr="00C50854">
        <w:t xml:space="preserve">ESS §-ga 45 kindlaks üks või mitu märkimisväärse turujõuga ettevõtjat. Vastavalt ESS § 46 lõikele 2 lähtub </w:t>
      </w:r>
      <w:r w:rsidR="003E146A" w:rsidRPr="00C50854">
        <w:t>T</w:t>
      </w:r>
      <w:r w:rsidR="001743CF" w:rsidRPr="00C50854">
        <w:t>TJA märkimisväärse turujõuga ettevõtjale kohustuse kehtestamisel ettevõtja suhtes ESS §-des 50–57 sätestatust, kehtestades ettevõtjale ühe või mitu asjakohast kohustust sellel teenuse turul, millel sideettevõtja kohta on tehtud ettepanek tunnistada ta märkimisväärse turujõuga ettevõtjaks.</w:t>
      </w:r>
    </w:p>
    <w:p w14:paraId="61D4BEA9" w14:textId="399CD8DD" w:rsidR="002A0A34" w:rsidRPr="00C50854" w:rsidRDefault="002A0A34" w:rsidP="00311E1F">
      <w:pPr>
        <w:numPr>
          <w:ilvl w:val="0"/>
          <w:numId w:val="13"/>
        </w:numPr>
        <w:suppressAutoHyphens w:val="0"/>
        <w:spacing w:before="120" w:after="120"/>
        <w:jc w:val="both"/>
      </w:pPr>
      <w:r w:rsidRPr="00C50854">
        <w:t>Eelnevalt on Sideamet</w:t>
      </w:r>
      <w:r w:rsidR="00215F9B" w:rsidRPr="00C50854">
        <w:t xml:space="preserve">, </w:t>
      </w:r>
      <w:r w:rsidRPr="00C50854">
        <w:t>Konkurentsiamet</w:t>
      </w:r>
      <w:r w:rsidR="00215F9B" w:rsidRPr="00C50854">
        <w:t xml:space="preserve"> ja </w:t>
      </w:r>
      <w:r w:rsidR="006B0CA7" w:rsidRPr="00C50854">
        <w:t>Tehnilise Järelevalve Amet</w:t>
      </w:r>
      <w:r w:rsidRPr="00C50854">
        <w:t xml:space="preserve"> fikseeritud juurdepääsu hulgiturul turul viinud läbi turuanalüüsid ja määranud märkimisväärse turujõuga ettevõtja 200</w:t>
      </w:r>
      <w:r w:rsidR="00BD6B8B" w:rsidRPr="00C50854">
        <w:t>7</w:t>
      </w:r>
      <w:r w:rsidRPr="00C50854">
        <w:rPr>
          <w:rStyle w:val="Allmrkuseviide"/>
        </w:rPr>
        <w:footnoteReference w:id="8"/>
      </w:r>
      <w:r w:rsidRPr="00C50854">
        <w:t>. ja 2009</w:t>
      </w:r>
      <w:r w:rsidRPr="00C50854">
        <w:rPr>
          <w:rStyle w:val="Allmrkuseviide"/>
        </w:rPr>
        <w:footnoteReference w:id="9"/>
      </w:r>
      <w:r w:rsidRPr="00C50854">
        <w:t>. j</w:t>
      </w:r>
      <w:r w:rsidR="006B0CA7" w:rsidRPr="00C50854">
        <w:t>a</w:t>
      </w:r>
      <w:r w:rsidRPr="00C50854">
        <w:t xml:space="preserve"> 201</w:t>
      </w:r>
      <w:r w:rsidR="00BD6B8B" w:rsidRPr="00C50854">
        <w:t>3</w:t>
      </w:r>
      <w:r w:rsidRPr="00C50854">
        <w:rPr>
          <w:rStyle w:val="Allmrkuseviide"/>
        </w:rPr>
        <w:footnoteReference w:id="10"/>
      </w:r>
      <w:r w:rsidRPr="00C50854">
        <w:t xml:space="preserve">. </w:t>
      </w:r>
      <w:r w:rsidR="006B0CA7" w:rsidRPr="00C50854">
        <w:t>ning 201</w:t>
      </w:r>
      <w:r w:rsidR="00330E17">
        <w:t>7</w:t>
      </w:r>
      <w:r w:rsidR="00A5090A" w:rsidRPr="00C50854">
        <w:rPr>
          <w:rStyle w:val="Allmrkuseviide"/>
        </w:rPr>
        <w:footnoteReference w:id="11"/>
      </w:r>
      <w:r w:rsidR="006B0CA7" w:rsidRPr="00C50854">
        <w:t xml:space="preserve">. </w:t>
      </w:r>
      <w:r w:rsidRPr="00C50854">
        <w:t xml:space="preserve">aastal. </w:t>
      </w:r>
    </w:p>
    <w:p w14:paraId="48E24913" w14:textId="77777777" w:rsidR="00F13C10" w:rsidRPr="00C50854" w:rsidRDefault="00F13C10" w:rsidP="00BD3868">
      <w:pPr>
        <w:pStyle w:val="Pealkiri2"/>
        <w:spacing w:before="360" w:after="240"/>
        <w:jc w:val="both"/>
      </w:pPr>
      <w:bookmarkStart w:id="43" w:name="_Toc464639320"/>
      <w:bookmarkStart w:id="44" w:name="_Toc42072428"/>
      <w:bookmarkStart w:id="45" w:name="_Toc158430815"/>
      <w:bookmarkStart w:id="46" w:name="_Toc168380658"/>
      <w:bookmarkStart w:id="47" w:name="_Toc168389085"/>
      <w:bookmarkStart w:id="48" w:name="_Toc211671265"/>
      <w:bookmarkStart w:id="49" w:name="_Toc211837224"/>
      <w:bookmarkStart w:id="50" w:name="_Toc215466463"/>
      <w:bookmarkStart w:id="51" w:name="_Toc216228016"/>
      <w:bookmarkEnd w:id="41"/>
      <w:bookmarkEnd w:id="42"/>
      <w:r w:rsidRPr="00C50854">
        <w:t>2.2. Koostöö Konkurentsiametiga</w:t>
      </w:r>
      <w:bookmarkEnd w:id="43"/>
      <w:bookmarkEnd w:id="44"/>
    </w:p>
    <w:p w14:paraId="1CC1E563" w14:textId="50E4963F" w:rsidR="00766BDA" w:rsidRPr="00C50854" w:rsidRDefault="00F13C10" w:rsidP="00311E1F">
      <w:pPr>
        <w:numPr>
          <w:ilvl w:val="0"/>
          <w:numId w:val="13"/>
        </w:numPr>
        <w:jc w:val="both"/>
      </w:pPr>
      <w:r w:rsidRPr="00C50854">
        <w:t xml:space="preserve">ESS § 144 lõigete 1 ja 2 kohaselt teevad </w:t>
      </w:r>
      <w:r w:rsidR="00401E47" w:rsidRPr="00C50854">
        <w:t>T</w:t>
      </w:r>
      <w:r w:rsidRPr="00C50854">
        <w:t>TJA ja Konkurentsiamet elektroonilise side valdkonnas turu reguleerimisel ja järelevalve teostamisel igakülgset koostööd ning võivad vajaduse korral vahetada omavahel asjakohast teavet.</w:t>
      </w:r>
      <w:bookmarkStart w:id="52" w:name="_Toc464639321"/>
    </w:p>
    <w:p w14:paraId="2423604A" w14:textId="77777777" w:rsidR="00766BDA" w:rsidRPr="00C50854" w:rsidRDefault="00766BDA" w:rsidP="00F26E9F">
      <w:pPr>
        <w:ind w:left="360"/>
        <w:jc w:val="both"/>
      </w:pPr>
    </w:p>
    <w:p w14:paraId="4B45EBC7" w14:textId="422C313C" w:rsidR="006B0CA7" w:rsidRPr="00C50854" w:rsidRDefault="006B0CA7" w:rsidP="00311E1F">
      <w:pPr>
        <w:pStyle w:val="Loendilik"/>
        <w:numPr>
          <w:ilvl w:val="0"/>
          <w:numId w:val="13"/>
        </w:numPr>
        <w:jc w:val="both"/>
      </w:pPr>
      <w:r w:rsidRPr="00C50854">
        <w:t>Märkimisväärse turujõuga ettevõtjaks tunnistamise või määramata jätmise otsuse kavandi edastab TTJA seisukoha saamiseks Konkurentsiametile. Konkurentsiameti seisukohad kajastatakse hiljem otsuse lisas ja otsuse punktis „Riigisisene konsulteerimine“ all.</w:t>
      </w:r>
    </w:p>
    <w:p w14:paraId="66102FB6" w14:textId="0B427ACA" w:rsidR="00CE08A6" w:rsidRPr="00C50854" w:rsidRDefault="00400F77" w:rsidP="00BD3868">
      <w:pPr>
        <w:pStyle w:val="Pealkiri2"/>
        <w:spacing w:before="360" w:after="240"/>
        <w:jc w:val="both"/>
      </w:pPr>
      <w:bookmarkStart w:id="53" w:name="_Toc42072429"/>
      <w:r w:rsidRPr="00C50854">
        <w:t>2.3</w:t>
      </w:r>
      <w:r w:rsidR="00CE08A6" w:rsidRPr="00C50854">
        <w:t>. Riigisisene konsulteerimine</w:t>
      </w:r>
      <w:bookmarkEnd w:id="45"/>
      <w:bookmarkEnd w:id="46"/>
      <w:bookmarkEnd w:id="47"/>
      <w:bookmarkEnd w:id="48"/>
      <w:bookmarkEnd w:id="49"/>
      <w:bookmarkEnd w:id="50"/>
      <w:bookmarkEnd w:id="51"/>
      <w:bookmarkEnd w:id="52"/>
      <w:bookmarkEnd w:id="53"/>
    </w:p>
    <w:p w14:paraId="16033F52" w14:textId="3AC13780" w:rsidR="00671C25" w:rsidRPr="00C50854" w:rsidRDefault="00671C25" w:rsidP="00311E1F">
      <w:pPr>
        <w:numPr>
          <w:ilvl w:val="0"/>
          <w:numId w:val="13"/>
        </w:numPr>
        <w:jc w:val="both"/>
      </w:pPr>
      <w:bookmarkStart w:id="54" w:name="_Toc130196483"/>
      <w:bookmarkStart w:id="55" w:name="_Toc153273214"/>
      <w:bookmarkStart w:id="56" w:name="_Toc153863507"/>
      <w:bookmarkStart w:id="57" w:name="_Toc157846468"/>
      <w:bookmarkStart w:id="58" w:name="_Toc158430816"/>
      <w:bookmarkStart w:id="59" w:name="_Toc168380659"/>
      <w:bookmarkStart w:id="60" w:name="_Toc168389086"/>
      <w:bookmarkStart w:id="61" w:name="_Toc211671266"/>
      <w:bookmarkStart w:id="62" w:name="_Toc211837225"/>
      <w:bookmarkStart w:id="63" w:name="_Toc215466464"/>
      <w:bookmarkStart w:id="64" w:name="_Toc216228017"/>
      <w:r w:rsidRPr="00C50854">
        <w:t xml:space="preserve">Kui turuanalüüsi läbiviimise tulemusel leitakse, et sideteenuse turul toimib konkurents, koostab </w:t>
      </w:r>
      <w:r w:rsidR="00922278" w:rsidRPr="00C50854">
        <w:t>T</w:t>
      </w:r>
      <w:r w:rsidRPr="00C50854">
        <w:t>TJA otsuse märkimisväärse turujõuga ettevõtjaks määramata jätmise kohta (ESS § 44 lõige 7). Kui tuvastatakse, et sideteenuse turul konkurents ei toimi ning turul on sideettevõtja, kes omab märkimisväärset turujõudu, koostab T</w:t>
      </w:r>
      <w:r w:rsidR="00F26E9F" w:rsidRPr="00C50854">
        <w:t>T</w:t>
      </w:r>
      <w:r w:rsidRPr="00C50854">
        <w:t xml:space="preserve">JA otsuse </w:t>
      </w:r>
      <w:r w:rsidR="00FF03DA" w:rsidRPr="00C50854">
        <w:t>kavandi</w:t>
      </w:r>
      <w:r w:rsidRPr="00C50854">
        <w:t xml:space="preserve"> märkimisväärse turujõuga ettevõtjaks tunnistamise kohta (ESS § 46 lõige 1).</w:t>
      </w:r>
    </w:p>
    <w:p w14:paraId="789A1108" w14:textId="3F199053" w:rsidR="006C76E1" w:rsidRPr="00C50854" w:rsidRDefault="00671C25" w:rsidP="00311E1F">
      <w:pPr>
        <w:widowControl w:val="0"/>
        <w:numPr>
          <w:ilvl w:val="0"/>
          <w:numId w:val="13"/>
        </w:numPr>
        <w:suppressAutoHyphens w:val="0"/>
        <w:spacing w:before="360" w:after="240"/>
        <w:jc w:val="both"/>
        <w:rPr>
          <w:b/>
          <w:bCs/>
          <w:sz w:val="26"/>
          <w:szCs w:val="26"/>
        </w:rPr>
      </w:pPr>
      <w:r w:rsidRPr="00C50854">
        <w:t xml:space="preserve">Otsuse </w:t>
      </w:r>
      <w:r w:rsidR="00FF03DA" w:rsidRPr="00C50854">
        <w:t>kavand</w:t>
      </w:r>
      <w:r w:rsidRPr="00C50854">
        <w:t>, millest on välja jä</w:t>
      </w:r>
      <w:r w:rsidR="00FD2701" w:rsidRPr="00C50854">
        <w:t>e</w:t>
      </w:r>
      <w:r w:rsidRPr="00C50854">
        <w:t xml:space="preserve">tud ärisaladust sisaldav informatsioon, tehakse avalikkusele kättesaadavaks. Puudutatud isikutel on õigus ühe kuu jooksul esitada otsuse </w:t>
      </w:r>
      <w:r w:rsidR="00FF03DA" w:rsidRPr="00C50854">
        <w:t>kavand</w:t>
      </w:r>
      <w:r w:rsidRPr="00C50854">
        <w:t xml:space="preserve">i kohta arvamus. Otsuse </w:t>
      </w:r>
      <w:r w:rsidR="00FF03DA" w:rsidRPr="00C50854">
        <w:t>eelnõu</w:t>
      </w:r>
      <w:r w:rsidRPr="00C50854">
        <w:t xml:space="preserve"> saadetakse sideettevõtjale, keda </w:t>
      </w:r>
      <w:r w:rsidR="00401E47" w:rsidRPr="00C50854">
        <w:t>T</w:t>
      </w:r>
      <w:r w:rsidRPr="00C50854">
        <w:t xml:space="preserve">TJA kavatseb tunnistada märkimisväärse turujõuga ettevõtjaks. Viimane võib vastavalt ESS §-le 47 esitada ühe kuu jooksul otsuse </w:t>
      </w:r>
      <w:r w:rsidR="00FF03DA" w:rsidRPr="00C50854">
        <w:t>kavandi</w:t>
      </w:r>
      <w:r w:rsidRPr="00C50854">
        <w:t xml:space="preserve"> kättesaamisest arvates oma vastulause.</w:t>
      </w:r>
      <w:r w:rsidR="008C50BB" w:rsidRPr="00C50854">
        <w:t xml:space="preserve"> </w:t>
      </w:r>
      <w:bookmarkStart w:id="65" w:name="_Toc157846469"/>
      <w:bookmarkStart w:id="66" w:name="_Toc170194423"/>
      <w:bookmarkStart w:id="67" w:name="_Toc175542246"/>
      <w:bookmarkStart w:id="68" w:name="_Toc211671267"/>
      <w:bookmarkStart w:id="69" w:name="_Toc211837226"/>
      <w:bookmarkStart w:id="70" w:name="_Toc215466465"/>
      <w:bookmarkStart w:id="71" w:name="_Toc310840846"/>
      <w:bookmarkStart w:id="72" w:name="_Toc130196484"/>
      <w:bookmarkEnd w:id="0"/>
      <w:bookmarkEnd w:id="1"/>
      <w:bookmarkEnd w:id="2"/>
      <w:bookmarkEnd w:id="3"/>
      <w:bookmarkEnd w:id="54"/>
      <w:bookmarkEnd w:id="55"/>
      <w:bookmarkEnd w:id="56"/>
      <w:bookmarkEnd w:id="57"/>
      <w:bookmarkEnd w:id="58"/>
      <w:bookmarkEnd w:id="59"/>
      <w:bookmarkEnd w:id="60"/>
      <w:bookmarkEnd w:id="61"/>
      <w:bookmarkEnd w:id="62"/>
      <w:bookmarkEnd w:id="63"/>
      <w:bookmarkEnd w:id="64"/>
    </w:p>
    <w:p w14:paraId="602B53D7" w14:textId="66201A33" w:rsidR="00400F77" w:rsidRPr="00C50854" w:rsidRDefault="00400F77" w:rsidP="00BD3868">
      <w:pPr>
        <w:widowControl w:val="0"/>
        <w:suppressAutoHyphens w:val="0"/>
        <w:spacing w:before="360" w:after="240"/>
        <w:ind w:left="426" w:hanging="426"/>
        <w:jc w:val="both"/>
        <w:rPr>
          <w:rFonts w:cs="Arial"/>
          <w:b/>
          <w:bCs/>
        </w:rPr>
      </w:pPr>
      <w:r w:rsidRPr="00C50854">
        <w:rPr>
          <w:rFonts w:cs="Arial"/>
          <w:b/>
          <w:bCs/>
        </w:rPr>
        <w:t>2.4. Konsulteerimine Euroopa Komisjoni, Euroopa Sideameti ja EL liikmesriikide sideturu regulaatoritega</w:t>
      </w:r>
    </w:p>
    <w:p w14:paraId="4EF93B17" w14:textId="77777777" w:rsidR="00922278" w:rsidRPr="00C50854" w:rsidRDefault="00400F77" w:rsidP="00311E1F">
      <w:pPr>
        <w:widowControl w:val="0"/>
        <w:numPr>
          <w:ilvl w:val="0"/>
          <w:numId w:val="13"/>
        </w:numPr>
        <w:suppressAutoHyphens w:val="0"/>
        <w:spacing w:before="120" w:after="120"/>
        <w:jc w:val="both"/>
      </w:pPr>
      <w:r w:rsidRPr="00C50854">
        <w:lastRenderedPageBreak/>
        <w:t xml:space="preserve">Kooskõlas ESS § 48 ning raamdirektiivi artikliga 7 peab </w:t>
      </w:r>
      <w:r w:rsidR="00F111B2" w:rsidRPr="00C50854">
        <w:t>T</w:t>
      </w:r>
      <w:r w:rsidRPr="00C50854">
        <w:t xml:space="preserve">TJA informeerima Euroopa Komisjoni, Euroopa Sideametit ja EL liikmesriikide sideturu regulaatoreid ESS § 47 lõike 3 alusel koostatud märkimisväärse turujõuga ettevõtjaks tunnistamise või märkimisväärse turujõuga ettevõtja määramata jätmise otsuse eelnõust, andmaks neile võimaluse esitada arvamus planeeritavate toimingute või meetmete kohta. </w:t>
      </w:r>
    </w:p>
    <w:p w14:paraId="53E06B79" w14:textId="4A5CC310" w:rsidR="00922278" w:rsidRPr="00C50854" w:rsidRDefault="00922278" w:rsidP="00311E1F">
      <w:pPr>
        <w:widowControl w:val="0"/>
        <w:numPr>
          <w:ilvl w:val="0"/>
          <w:numId w:val="13"/>
        </w:numPr>
        <w:suppressAutoHyphens w:val="0"/>
        <w:spacing w:before="120" w:after="120"/>
        <w:jc w:val="both"/>
      </w:pPr>
      <w:r w:rsidRPr="00C50854">
        <w:t>TTJA võtab otsuse eelnõu kohta esitatud arvamusi ESS § 49 lõikes 1 sätestatud otsuse tegemisel võimalikult suures ulatuses arvesse ning edastab otsuse Euroopa Komisjonile.</w:t>
      </w:r>
    </w:p>
    <w:p w14:paraId="7532EBBB" w14:textId="77777777" w:rsidR="00E42F9F" w:rsidRPr="00C50854" w:rsidRDefault="000257A3" w:rsidP="00311E1F">
      <w:pPr>
        <w:pStyle w:val="Pealkiri1"/>
      </w:pPr>
      <w:bookmarkStart w:id="73" w:name="_Toc464639322"/>
      <w:bookmarkStart w:id="74" w:name="_Toc42072430"/>
      <w:r w:rsidRPr="00C50854">
        <w:t xml:space="preserve">3. </w:t>
      </w:r>
      <w:r w:rsidR="00E42F9F" w:rsidRPr="00C50854">
        <w:t>TURU PIIRITLEMINE</w:t>
      </w:r>
      <w:bookmarkEnd w:id="65"/>
      <w:bookmarkEnd w:id="66"/>
      <w:bookmarkEnd w:id="67"/>
      <w:bookmarkEnd w:id="68"/>
      <w:bookmarkEnd w:id="69"/>
      <w:bookmarkEnd w:id="70"/>
      <w:bookmarkEnd w:id="71"/>
      <w:bookmarkEnd w:id="73"/>
      <w:bookmarkEnd w:id="74"/>
    </w:p>
    <w:p w14:paraId="3D8A4AB0" w14:textId="77777777" w:rsidR="00E42F9F" w:rsidRPr="00C50854" w:rsidRDefault="000257A3" w:rsidP="00082938">
      <w:pPr>
        <w:pStyle w:val="Pealkiri2"/>
        <w:spacing w:before="360" w:after="240"/>
        <w:jc w:val="both"/>
        <w:rPr>
          <w:rFonts w:cs="Times New Roman"/>
          <w:i/>
        </w:rPr>
      </w:pPr>
      <w:bookmarkStart w:id="75" w:name="_Toc154542945"/>
      <w:bookmarkStart w:id="76" w:name="_Toc155066982"/>
      <w:bookmarkStart w:id="77" w:name="_Toc157846470"/>
      <w:bookmarkStart w:id="78" w:name="_Toc170194424"/>
      <w:bookmarkStart w:id="79" w:name="_Toc175542247"/>
      <w:bookmarkStart w:id="80" w:name="_Toc211671268"/>
      <w:bookmarkStart w:id="81" w:name="_Toc211837227"/>
      <w:bookmarkStart w:id="82" w:name="_Toc215466466"/>
      <w:bookmarkStart w:id="83" w:name="_Toc310840847"/>
      <w:bookmarkStart w:id="84" w:name="_Toc464639323"/>
      <w:bookmarkStart w:id="85" w:name="_Toc42072431"/>
      <w:bookmarkStart w:id="86" w:name="_Toc121903479"/>
      <w:bookmarkStart w:id="87" w:name="_Toc128372964"/>
      <w:bookmarkStart w:id="88" w:name="_Toc131303890"/>
      <w:r w:rsidRPr="00C50854">
        <w:rPr>
          <w:rFonts w:cs="Times New Roman"/>
        </w:rPr>
        <w:t xml:space="preserve">3.1. </w:t>
      </w:r>
      <w:r w:rsidR="00E42F9F" w:rsidRPr="00C50854">
        <w:rPr>
          <w:rFonts w:cs="Times New Roman"/>
        </w:rPr>
        <w:t>Turu piiritlemise põhimõtted ja meetodid</w:t>
      </w:r>
      <w:bookmarkEnd w:id="75"/>
      <w:bookmarkEnd w:id="76"/>
      <w:bookmarkEnd w:id="77"/>
      <w:bookmarkEnd w:id="78"/>
      <w:bookmarkEnd w:id="79"/>
      <w:bookmarkEnd w:id="80"/>
      <w:bookmarkEnd w:id="81"/>
      <w:bookmarkEnd w:id="82"/>
      <w:bookmarkEnd w:id="83"/>
      <w:bookmarkEnd w:id="84"/>
      <w:bookmarkEnd w:id="85"/>
    </w:p>
    <w:bookmarkEnd w:id="86"/>
    <w:bookmarkEnd w:id="87"/>
    <w:bookmarkEnd w:id="88"/>
    <w:p w14:paraId="7D600F2F" w14:textId="13D0AC60" w:rsidR="000A61C5" w:rsidRPr="00C50854" w:rsidRDefault="00156A27" w:rsidP="00311E1F">
      <w:pPr>
        <w:numPr>
          <w:ilvl w:val="0"/>
          <w:numId w:val="13"/>
        </w:numPr>
      </w:pPr>
      <w:r w:rsidRPr="00C50854">
        <w:t>Hindamaks</w:t>
      </w:r>
      <w:r w:rsidR="000A61C5" w:rsidRPr="00C50854">
        <w:t xml:space="preserve">, kas konkreetsel sideteenuse turul toimib konkurents või mitte, st kas ettevõtja eraldi või ühiselt koos teiste ettevõtjatega omab märkimisväärset turujõudu ehk positsiooni, mis võimaldab tal (või neil ühiselt) sellel turul tegutseda arvestataval määral sõltumatult konkurentidest, lepingupartneritest ja lõppkasutajatest, piiritleb </w:t>
      </w:r>
      <w:r w:rsidR="00DD1176" w:rsidRPr="00C50854">
        <w:t>T</w:t>
      </w:r>
      <w:r w:rsidR="000A61C5" w:rsidRPr="00C50854">
        <w:t>TJA esmalt kooskõlas ESS § 43 sideteenuse turud ja nende geograafilise käibimisala.</w:t>
      </w:r>
    </w:p>
    <w:p w14:paraId="693388B0" w14:textId="4771999E" w:rsidR="00D95E36" w:rsidRPr="00C50854" w:rsidRDefault="00D95E36"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Vastavalt ESS § 43 lõikele 1 peab </w:t>
      </w:r>
      <w:r w:rsidR="00DD1176" w:rsidRPr="00C50854">
        <w:rPr>
          <w:lang w:eastAsia="et-EE"/>
        </w:rPr>
        <w:t>T</w:t>
      </w:r>
      <w:r w:rsidR="00A02F5E" w:rsidRPr="00C50854">
        <w:rPr>
          <w:lang w:eastAsia="et-EE"/>
        </w:rPr>
        <w:t>TJA</w:t>
      </w:r>
      <w:r w:rsidRPr="00C50854">
        <w:rPr>
          <w:lang w:eastAsia="et-EE"/>
        </w:rPr>
        <w:t xml:space="preserve"> piiritlema sideteenuste turud kooskõlas Euroopa Liidu konkurentsiõiguse põhimõtetega ning juhindudes toote- ja teenuseturgude soovitusest, turuanalüüsi ja märkimisväärse turujõu hindamise suunistest ning Euroopa Komisjoni ja Euroopa Kohtu otsustest.</w:t>
      </w:r>
    </w:p>
    <w:p w14:paraId="790FC9A3" w14:textId="48A36F6A" w:rsidR="00D95E36" w:rsidRPr="00C50854" w:rsidRDefault="002E2478" w:rsidP="00311E1F">
      <w:pPr>
        <w:numPr>
          <w:ilvl w:val="0"/>
          <w:numId w:val="13"/>
        </w:numPr>
        <w:spacing w:before="120" w:after="120"/>
        <w:jc w:val="both"/>
      </w:pPr>
      <w:r w:rsidRPr="00C50854">
        <w:t>Piiritletav</w:t>
      </w:r>
      <w:r w:rsidR="00D95E36" w:rsidRPr="00C50854">
        <w:t xml:space="preserve"> sideteenuse turg sätestatakse 20</w:t>
      </w:r>
      <w:r w:rsidR="007B3BD4" w:rsidRPr="00C50854">
        <w:t>14</w:t>
      </w:r>
      <w:r w:rsidR="00F26E9F" w:rsidRPr="00C50854">
        <w:t>.</w:t>
      </w:r>
      <w:r w:rsidR="007B3BD4" w:rsidRPr="00C50854">
        <w:t xml:space="preserve"> </w:t>
      </w:r>
      <w:r w:rsidR="00D95E36" w:rsidRPr="00C50854">
        <w:t xml:space="preserve">aasta </w:t>
      </w:r>
      <w:r w:rsidR="00D95E36" w:rsidRPr="00C50854">
        <w:rPr>
          <w:szCs w:val="28"/>
        </w:rPr>
        <w:t>too</w:t>
      </w:r>
      <w:r w:rsidR="007B3BD4" w:rsidRPr="00C50854">
        <w:rPr>
          <w:szCs w:val="28"/>
        </w:rPr>
        <w:t xml:space="preserve">te- ja teenuseturgude soovituse </w:t>
      </w:r>
      <w:r w:rsidR="00D95E36" w:rsidRPr="00C50854">
        <w:rPr>
          <w:szCs w:val="28"/>
        </w:rPr>
        <w:t>lisas</w:t>
      </w:r>
      <w:r w:rsidR="00D95E36" w:rsidRPr="00C50854">
        <w:t xml:space="preserve"> 1.</w:t>
      </w:r>
      <w:r w:rsidR="000A61C5" w:rsidRPr="00C50854">
        <w:t xml:space="preserve"> punktis 3a</w:t>
      </w:r>
      <w:r w:rsidR="000E6E29" w:rsidRPr="00C50854">
        <w:t>.</w:t>
      </w:r>
    </w:p>
    <w:p w14:paraId="6DB75C29" w14:textId="0D6FC476" w:rsidR="00D95E36" w:rsidRPr="00C50854" w:rsidRDefault="00D95E36" w:rsidP="00311E1F">
      <w:pPr>
        <w:numPr>
          <w:ilvl w:val="0"/>
          <w:numId w:val="13"/>
        </w:numPr>
        <w:spacing w:before="120" w:after="120"/>
        <w:jc w:val="both"/>
      </w:pPr>
      <w:r w:rsidRPr="00C50854">
        <w:t xml:space="preserve">Kooskõlas ESS § 43 lõikega 1, raamdirektiivi artikli 15 lõikega 3, </w:t>
      </w:r>
      <w:r w:rsidRPr="00C50854">
        <w:rPr>
          <w:szCs w:val="28"/>
        </w:rPr>
        <w:t xml:space="preserve">toote- ja teenuseturgude </w:t>
      </w:r>
      <w:r w:rsidRPr="00C50854">
        <w:t xml:space="preserve">soovituse preambuli punktiga 19 ning turuanalüüsi ja märkimisväärse turujõu hindamise suuniste punktidega 9 ja 36 on </w:t>
      </w:r>
      <w:r w:rsidR="00DD1176" w:rsidRPr="00C50854">
        <w:t>T</w:t>
      </w:r>
      <w:r w:rsidR="00B64F3B" w:rsidRPr="00C50854">
        <w:t>TJA-l</w:t>
      </w:r>
      <w:r w:rsidRPr="00C50854">
        <w:t xml:space="preserve"> õigus piiritleda sideteenuse turg erinevalt </w:t>
      </w:r>
      <w:r w:rsidRPr="00C50854">
        <w:rPr>
          <w:szCs w:val="28"/>
        </w:rPr>
        <w:t xml:space="preserve">toote- ja teenuseturgude </w:t>
      </w:r>
      <w:r w:rsidRPr="00C50854">
        <w:t xml:space="preserve">soovituses määratletud turgudest juhul, kui see on põhjendatud siseriikliku konkurentsiolukorraga. Üldjuhul peab </w:t>
      </w:r>
      <w:r w:rsidR="00DD1176" w:rsidRPr="00C50854">
        <w:t>T</w:t>
      </w:r>
      <w:r w:rsidR="005D3872" w:rsidRPr="00C50854">
        <w:t>TJA</w:t>
      </w:r>
      <w:r w:rsidRPr="00C50854">
        <w:t xml:space="preserve"> aga juhinduma 20</w:t>
      </w:r>
      <w:r w:rsidR="00672F0C" w:rsidRPr="00C50854">
        <w:t>14</w:t>
      </w:r>
      <w:r w:rsidRPr="00C50854">
        <w:t xml:space="preserve">. aasta </w:t>
      </w:r>
      <w:r w:rsidRPr="00C50854">
        <w:rPr>
          <w:szCs w:val="28"/>
        </w:rPr>
        <w:t xml:space="preserve">toote- ja teenuseturgude </w:t>
      </w:r>
      <w:r w:rsidRPr="00C50854">
        <w:t>soovituse lisas</w:t>
      </w:r>
      <w:r w:rsidR="009A7DE7" w:rsidRPr="00C50854">
        <w:t xml:space="preserve"> </w:t>
      </w:r>
      <w:r w:rsidRPr="00C50854">
        <w:t>esitatud turgude määratlusest.</w:t>
      </w:r>
    </w:p>
    <w:p w14:paraId="2E578B1B" w14:textId="237917CC" w:rsidR="00D95E36" w:rsidRPr="00C50854" w:rsidRDefault="00D95E36" w:rsidP="00311E1F">
      <w:pPr>
        <w:numPr>
          <w:ilvl w:val="0"/>
          <w:numId w:val="13"/>
        </w:numPr>
        <w:spacing w:before="120" w:after="120"/>
        <w:jc w:val="both"/>
      </w:pPr>
      <w:r w:rsidRPr="00C50854">
        <w:t xml:space="preserve">Kooskõlas </w:t>
      </w:r>
      <w:r w:rsidR="00A32E11" w:rsidRPr="00C50854">
        <w:t xml:space="preserve">turuanalüüsi ja märkimisväärse turujõu hindamise </w:t>
      </w:r>
      <w:r w:rsidRPr="00C50854">
        <w:t xml:space="preserve">suuniste punktiga </w:t>
      </w:r>
      <w:r w:rsidR="00C87B9C" w:rsidRPr="00C50854">
        <w:t>34 piiritletakse otsuse</w:t>
      </w:r>
      <w:r w:rsidR="005B136E" w:rsidRPr="00C50854">
        <w:t xml:space="preserve">s </w:t>
      </w:r>
      <w:r w:rsidRPr="00C50854">
        <w:t>toote- ja teenuseturg ning selle geograafiline käibimisala. Hinnang selle kohta, missugused tooted kuuluvad ühe ja sama turu koosseisu, antakse lähtudes turuanalüüsi ja märkimisväärse turujõu hindamise suunistes sätestatud kriteeriumitest.</w:t>
      </w:r>
    </w:p>
    <w:p w14:paraId="6F80482C" w14:textId="77777777" w:rsidR="00D95E36" w:rsidRPr="00C50854" w:rsidRDefault="00D95E36" w:rsidP="00311E1F">
      <w:pPr>
        <w:numPr>
          <w:ilvl w:val="0"/>
          <w:numId w:val="13"/>
        </w:numPr>
        <w:suppressAutoHyphens w:val="0"/>
        <w:autoSpaceDE w:val="0"/>
        <w:autoSpaceDN w:val="0"/>
        <w:adjustRightInd w:val="0"/>
        <w:spacing w:before="120" w:after="120"/>
        <w:jc w:val="both"/>
        <w:rPr>
          <w:lang w:eastAsia="et-EE"/>
        </w:rPr>
      </w:pPr>
      <w:r w:rsidRPr="00C50854">
        <w:rPr>
          <w:lang w:eastAsia="et-EE"/>
        </w:rPr>
        <w:t>Euroopa Liidu konkurentsiõiguses väljakujunenud põhimõtete kohaselt piiritletakse kaubaturg konkreetse analüüsitava toote või teenuse nõudluse- ja pakkumisepoolse asendatavuse kindlakstegemise kaudu (turuanalüüsi ja märkimisväärse turujõu hindamise suuniste punktid 38 ja 39).</w:t>
      </w:r>
    </w:p>
    <w:p w14:paraId="275DB71F" w14:textId="3B3057C2" w:rsidR="00D95E36" w:rsidRPr="00C50854" w:rsidRDefault="00D95E36" w:rsidP="00311E1F">
      <w:pPr>
        <w:numPr>
          <w:ilvl w:val="0"/>
          <w:numId w:val="13"/>
        </w:numPr>
        <w:spacing w:before="120" w:after="120"/>
        <w:jc w:val="both"/>
      </w:pPr>
      <w:r w:rsidRPr="00C50854">
        <w:t>Asendatavuse hindamise meetodi peamine printsiip on eeldus, et tooted ja teenused, mis võivad üksteist asendada, kuuluvad ühe ja sama turu koosseisu. Vastavalt turuanalüüsi ja märkimisväärse turujõu hindamise suuniste punktis 44 viidatud Euroopa Kohtu konkurentsiõiguse-alasele kohtupraktikale</w:t>
      </w:r>
      <w:r w:rsidRPr="00C50854">
        <w:rPr>
          <w:vertAlign w:val="superscript"/>
        </w:rPr>
        <w:footnoteReference w:id="12"/>
      </w:r>
      <w:r w:rsidRPr="00C50854">
        <w:t xml:space="preserve"> hõlmab asjakohase turu koosseis kõiki tooteid või </w:t>
      </w:r>
      <w:r w:rsidRPr="00C50854">
        <w:lastRenderedPageBreak/>
        <w:t>teenuseid, mis on üksteisega piisaval määral vahetatavad või asendatavad ning sarnanevad üksteisega mitte ainult kasutajatele oluliste objektiivsete omaduste ja nende hindade või kavatsetud kasutamise poolest, vaid ka vaatlusel oleva turu nõudluse ja pakkumise konkurentsi</w:t>
      </w:r>
      <w:r w:rsidR="00F26E9F" w:rsidRPr="00C50854">
        <w:t xml:space="preserve"> </w:t>
      </w:r>
      <w:r w:rsidRPr="00C50854">
        <w:t>tingimuste ja/või struktuuri põhjal.</w:t>
      </w:r>
      <w:r w:rsidRPr="00C50854">
        <w:rPr>
          <w:lang w:eastAsia="et-EE"/>
        </w:rPr>
        <w:t xml:space="preserve"> Seejuures ei ole tooted, mis on vaid vähesel määral vahetatavad või asendatavad, sama turu osaks.</w:t>
      </w:r>
    </w:p>
    <w:p w14:paraId="5146F2E8" w14:textId="77777777" w:rsidR="00D95E36" w:rsidRPr="00C50854" w:rsidRDefault="00D95E36" w:rsidP="00311E1F">
      <w:pPr>
        <w:numPr>
          <w:ilvl w:val="0"/>
          <w:numId w:val="13"/>
        </w:numPr>
        <w:autoSpaceDE w:val="0"/>
        <w:autoSpaceDN w:val="0"/>
        <w:adjustRightInd w:val="0"/>
        <w:spacing w:before="120" w:after="120"/>
        <w:jc w:val="both"/>
      </w:pPr>
      <w:r w:rsidRPr="00C50854">
        <w:rPr>
          <w:i/>
        </w:rPr>
        <w:t>Nõudlusepoolse asendatavusena</w:t>
      </w:r>
      <w:r w:rsidRPr="00C50854">
        <w:t xml:space="preserve"> on turuanalüüsi ja märkimisväärse turujõu hindamise suuniste punktide 44 ja 51 kohaselt käsitatav olukord, kus kaks või enam toodet on kasutaja seisukohalt omaduste, hinna ja kasutusvõimaluste alusel omavahel piisaval määral vahetatavad või asendatavad. Omavahel asendatavad tooted või teenused loetakse vastavalt suuniste punktile 44 sama turu koosseisu kuuluvaks. Seega, võttes arvesse suuniste alajaotuses 2.2.1.1. sätestatut, hinnatakse nõudlusepoolse asendatavuse puhul seda, mil määral kasutajad on valmis asendama turul olulise konkreetse toote või teenuse teise toote või teenusega.</w:t>
      </w:r>
    </w:p>
    <w:p w14:paraId="29E19589" w14:textId="23AEBAF4" w:rsidR="00D95E36" w:rsidRPr="00C50854" w:rsidRDefault="00D95E36" w:rsidP="00311E1F">
      <w:pPr>
        <w:numPr>
          <w:ilvl w:val="0"/>
          <w:numId w:val="13"/>
        </w:numPr>
        <w:spacing w:before="120" w:after="120"/>
        <w:jc w:val="both"/>
      </w:pPr>
      <w:r w:rsidRPr="00C50854">
        <w:rPr>
          <w:i/>
        </w:rPr>
        <w:t>Pakkumispoolse asendatavuse</w:t>
      </w:r>
      <w:r w:rsidRPr="00C50854">
        <w:t xml:space="preserve"> hindamisel lähtutakse sellest, mil määral teised teenuseosutajad on võimelised suhteliselt lühikeses perspektiivis ilma märkimisväärsete kuludeta oma tootmise ümber korraldama nii, et oleks võimalik pakkuda turul olulist toodet või teenust (mis väljendab kas teenuse pakkumise kasvus või uute pakkujate turule</w:t>
      </w:r>
      <w:r w:rsidR="00F92DD6" w:rsidRPr="00C50854">
        <w:t xml:space="preserve"> </w:t>
      </w:r>
      <w:r w:rsidRPr="00C50854">
        <w:t>tulekus).</w:t>
      </w:r>
    </w:p>
    <w:p w14:paraId="4E3267C9" w14:textId="169F87B5" w:rsidR="00D95E36" w:rsidRPr="00C50854" w:rsidRDefault="00D95E36" w:rsidP="00311E1F">
      <w:pPr>
        <w:numPr>
          <w:ilvl w:val="0"/>
          <w:numId w:val="13"/>
        </w:numPr>
        <w:spacing w:before="120" w:after="120"/>
        <w:jc w:val="both"/>
      </w:pPr>
      <w:r w:rsidRPr="00C50854">
        <w:t xml:space="preserve">Üks võimalik viis nõudluse- ja pakkumisepoolse asendatavuse hindamiseks on </w:t>
      </w:r>
      <w:r w:rsidRPr="00C50854">
        <w:rPr>
          <w:i/>
        </w:rPr>
        <w:t>hüpoteetilise monopolisti testi</w:t>
      </w:r>
      <w:r w:rsidRPr="00C50854">
        <w:rPr>
          <w:i/>
          <w:vertAlign w:val="superscript"/>
        </w:rPr>
        <w:footnoteReference w:id="13"/>
      </w:r>
      <w:r w:rsidRPr="00C50854">
        <w:t xml:space="preserve"> (edaspidi</w:t>
      </w:r>
      <w:r w:rsidRPr="00C50854">
        <w:rPr>
          <w:i/>
        </w:rPr>
        <w:t xml:space="preserve"> SSNIP-test</w:t>
      </w:r>
      <w:r w:rsidRPr="00C50854">
        <w:t xml:space="preserve">) rakendamine (turuanalüüsi ja märkimisväärse turujõu hindamise suuniste punkt 40). Kui hüpoteetiline monopolist tõstab väikesel, kuid märgataval määral (5-10%) teenuse hinda (eeldusel, et selline hinnatõus ei ole lühiajaline) ning läbimüük hinnatõusu tulemusena kasumit mõjutaval määral ei vähene, kuulub teenus teisele turule. Kui aga hinnatõusule järgneb klientide arvu vähenemine </w:t>
      </w:r>
      <w:r w:rsidR="00D71F38" w:rsidRPr="00C50854">
        <w:t>(</w:t>
      </w:r>
      <w:r w:rsidRPr="00C50854">
        <w:t xml:space="preserve">kuna </w:t>
      </w:r>
      <w:r w:rsidR="00D71F38" w:rsidRPr="00C50854">
        <w:t xml:space="preserve">kliendid </w:t>
      </w:r>
      <w:r w:rsidRPr="00C50854">
        <w:t>hakkavad kasutama teisi analoogseid teenuseid</w:t>
      </w:r>
      <w:r w:rsidR="00D71F38" w:rsidRPr="00C50854">
        <w:t>)</w:t>
      </w:r>
      <w:r w:rsidRPr="00C50854">
        <w:t xml:space="preserve"> ja see muudab hinnatõusu kahjumlikuks, tuleks sellised teenused asendusteenustena kaasata asjakohase turu koosseisu.</w:t>
      </w:r>
    </w:p>
    <w:p w14:paraId="7EC45AA4" w14:textId="77777777" w:rsidR="00D95E36" w:rsidRPr="00C50854" w:rsidRDefault="00D95E36" w:rsidP="00311E1F">
      <w:pPr>
        <w:numPr>
          <w:ilvl w:val="0"/>
          <w:numId w:val="13"/>
        </w:numPr>
        <w:autoSpaceDE w:val="0"/>
        <w:autoSpaceDN w:val="0"/>
        <w:adjustRightInd w:val="0"/>
        <w:spacing w:before="120" w:after="120"/>
        <w:jc w:val="both"/>
      </w:pPr>
      <w:r w:rsidRPr="00C50854">
        <w:rPr>
          <w:i/>
        </w:rPr>
        <w:t>SSNIP</w:t>
      </w:r>
      <w:r w:rsidRPr="00C50854">
        <w:t xml:space="preserve">-testi rakendatavust nõudluse- ja pakkumisepoolse asendatavuse kindlakstegemisel turul tuleb hinnata konkreetsest turuolukorrast lähtudes ning võtta arvesse neid võimalikke asendusteenuseid, mis võivad pakkuda analüüsitavatele teenustele samaväärseid teenuseid. </w:t>
      </w:r>
      <w:r w:rsidRPr="00C50854">
        <w:rPr>
          <w:i/>
        </w:rPr>
        <w:t>SSNIP</w:t>
      </w:r>
      <w:r w:rsidRPr="00C50854">
        <w:t>-test on põhimõtteliselt rakendatav vaid nende toodete ja teenuste puhul, mille hinnad kujunevad vabalt ega allu regulatsioonile.</w:t>
      </w:r>
    </w:p>
    <w:p w14:paraId="4DD63080" w14:textId="77777777" w:rsidR="00D95E36" w:rsidRPr="00C50854" w:rsidRDefault="00D95E36" w:rsidP="00311E1F">
      <w:pPr>
        <w:numPr>
          <w:ilvl w:val="0"/>
          <w:numId w:val="13"/>
        </w:numPr>
        <w:spacing w:before="120" w:after="120"/>
        <w:jc w:val="both"/>
      </w:pPr>
      <w:r w:rsidRPr="00C50854">
        <w:rPr>
          <w:i/>
        </w:rPr>
        <w:t>SSNIP</w:t>
      </w:r>
      <w:r w:rsidRPr="00C50854">
        <w:t>-test võimaldab välja arvutada müügimahtude alanemise piiri, millest alates on hüpoteetilisele monopolistile püsiv 5-10% hinnatõus kahjumlik. Nt 10% hinnatõusu puhul muutub kahjumlikuks 9,1% turuosa vähenemine (eeldusel, et muutuvkulusid ei ole; kui muutuvkulud on olemas, siis muutub hinnatõus kahjumlikuks suurema turuosa kaotamise korral)</w:t>
      </w:r>
      <w:r w:rsidRPr="00C50854">
        <w:rPr>
          <w:vertAlign w:val="superscript"/>
        </w:rPr>
        <w:footnoteReference w:id="14"/>
      </w:r>
      <w:r w:rsidRPr="00C50854">
        <w:t xml:space="preserve">. Seega võib </w:t>
      </w:r>
      <w:r w:rsidRPr="00C50854">
        <w:rPr>
          <w:i/>
        </w:rPr>
        <w:t>SSNIP</w:t>
      </w:r>
      <w:r w:rsidRPr="00C50854">
        <w:t>-testi alusel hinnata, kas turu koosseisu kuuluvad hinnatasemelt oluliselt kallimad potentsiaalsed asendustooted ning arvestades välja turuosa kaotuse hinnatõusu korral ning hinnata, kas potentsiaalsete asendustoodete müügimaht võimaldab sellist turuosa kaotust kompenseerida.</w:t>
      </w:r>
    </w:p>
    <w:p w14:paraId="2D0F8022" w14:textId="0EF53EBD" w:rsidR="00D95E36" w:rsidRPr="00C50854" w:rsidRDefault="00D95E36" w:rsidP="00311E1F">
      <w:pPr>
        <w:numPr>
          <w:ilvl w:val="0"/>
          <w:numId w:val="13"/>
        </w:numPr>
        <w:spacing w:before="120" w:after="120"/>
        <w:jc w:val="both"/>
      </w:pPr>
      <w:r w:rsidRPr="00C50854">
        <w:rPr>
          <w:i/>
        </w:rPr>
        <w:t>SSNIP</w:t>
      </w:r>
      <w:r w:rsidRPr="00C50854">
        <w:t xml:space="preserve">-testi rakendamise otsustab vastavalt turuanalüüsi ja märkimisväärse turujõu hindamise suuniste punktidele 40 ja 43 </w:t>
      </w:r>
      <w:r w:rsidR="00DD1176" w:rsidRPr="00C50854">
        <w:t>T</w:t>
      </w:r>
      <w:r w:rsidR="005D3872" w:rsidRPr="00C50854">
        <w:t>TJA</w:t>
      </w:r>
      <w:r w:rsidRPr="00C50854">
        <w:t xml:space="preserve"> kaalutlusõiguse alusel. </w:t>
      </w:r>
      <w:r w:rsidRPr="00C50854">
        <w:rPr>
          <w:i/>
        </w:rPr>
        <w:t>SSNIP</w:t>
      </w:r>
      <w:r w:rsidRPr="00C50854">
        <w:t xml:space="preserve">-test ei ole ainus ega primaarne toote- ja teenuseturgude piiritlemise metoodika, vaid on üks võimalik viis turu piiritlemiseks. SSNIP-test on asendatavuse hindamise metoodika edasiarendus, mida kasutatakse vaid juhtudel, kus asjakohasel turul võib teoreetiliselt olla mitu toodet või teenust, </w:t>
      </w:r>
      <w:r w:rsidRPr="00C50854">
        <w:lastRenderedPageBreak/>
        <w:t xml:space="preserve">mis üksteist asendavad. Kui </w:t>
      </w:r>
      <w:r w:rsidR="00084753" w:rsidRPr="00C50854">
        <w:t>T</w:t>
      </w:r>
      <w:r w:rsidR="005D3872" w:rsidRPr="00C50854">
        <w:t>TJA</w:t>
      </w:r>
      <w:r w:rsidRPr="00C50854">
        <w:t xml:space="preserve"> jõuab asendatavuse hindamise metoodikat kasutades järeldusele, et konkreetsel sideteenuse turul asjakohaste teenustele ja toodetele asendustooteid ega -teenuseid ei eksisteeri, siis </w:t>
      </w:r>
      <w:r w:rsidRPr="00C50854">
        <w:rPr>
          <w:i/>
        </w:rPr>
        <w:t>SSNIP-</w:t>
      </w:r>
      <w:r w:rsidRPr="00C50854">
        <w:t>testi läbiviimine ei osutu võimalikuks ega vajalikuks</w:t>
      </w:r>
      <w:r w:rsidRPr="00C50854">
        <w:rPr>
          <w:rFonts w:ascii="Arial" w:hAnsi="Arial" w:cs="Arial"/>
          <w:sz w:val="20"/>
          <w:szCs w:val="20"/>
        </w:rPr>
        <w:t>.</w:t>
      </w:r>
    </w:p>
    <w:p w14:paraId="46B365D4" w14:textId="78B04BC5" w:rsidR="000B5C35" w:rsidRPr="00C50854" w:rsidRDefault="00D95E36" w:rsidP="00311E1F">
      <w:pPr>
        <w:numPr>
          <w:ilvl w:val="0"/>
          <w:numId w:val="13"/>
        </w:numPr>
        <w:spacing w:before="120" w:after="120"/>
        <w:jc w:val="both"/>
        <w:rPr>
          <w:i/>
        </w:rPr>
      </w:pPr>
      <w:r w:rsidRPr="00C50854">
        <w:t xml:space="preserve">Teine põhimõte, millest </w:t>
      </w:r>
      <w:r w:rsidR="00DD1176" w:rsidRPr="00C50854">
        <w:t>T</w:t>
      </w:r>
      <w:r w:rsidR="005D3872" w:rsidRPr="00C50854">
        <w:t>TJA</w:t>
      </w:r>
      <w:r w:rsidRPr="00C50854">
        <w:t xml:space="preserve"> lähtub turu piiritlemisel, on tehnoloogilise neutraalsuse printsiip</w:t>
      </w:r>
      <w:r w:rsidRPr="00C50854">
        <w:rPr>
          <w:i/>
        </w:rPr>
        <w:t xml:space="preserve"> </w:t>
      </w:r>
      <w:r w:rsidRPr="00C50854">
        <w:t xml:space="preserve">(ESS § 40 lõige 3). </w:t>
      </w:r>
      <w:r w:rsidR="000B5C35" w:rsidRPr="00C50854">
        <w:t xml:space="preserve">Tehnoloogilise neutraalsuse printsiip eeldab, et ühtegi konkreetset tehnoloogiat ei eelistata. </w:t>
      </w:r>
      <w:r w:rsidRPr="00C50854">
        <w:t xml:space="preserve">Sellest </w:t>
      </w:r>
      <w:r w:rsidR="000B5C35" w:rsidRPr="00C50854">
        <w:t xml:space="preserve">põhimõttest </w:t>
      </w:r>
      <w:r w:rsidRPr="00C50854">
        <w:t xml:space="preserve">lähtuvalt on turu piiritlemisel hinnatud vaid näitajaid, mis on seotud ennekõike toote funktsionaalsuse, omaduste ja hinnaga ning spetsiifiline tehnoloogiline lahendus ei oma olulist tähtsust. Tehnoloogilise lahenduse eristamine on asjakohane vaid juhtudel, kui see on otseselt seotud toote või teenuse funktsionaalsuse, omaduste või hinnaga. </w:t>
      </w:r>
      <w:bookmarkStart w:id="89" w:name="_Toc153273219"/>
      <w:bookmarkStart w:id="90" w:name="_Toc153782845"/>
      <w:bookmarkStart w:id="91" w:name="_Toc155066985"/>
      <w:bookmarkStart w:id="92" w:name="_Toc157846473"/>
      <w:bookmarkStart w:id="93" w:name="_Toc170194427"/>
      <w:bookmarkStart w:id="94" w:name="_Toc175542250"/>
      <w:bookmarkStart w:id="95" w:name="_Toc211671271"/>
      <w:bookmarkStart w:id="96" w:name="_Toc211837230"/>
      <w:bookmarkStart w:id="97" w:name="_Toc215466469"/>
      <w:bookmarkStart w:id="98" w:name="_Toc310840850"/>
    </w:p>
    <w:p w14:paraId="6B5648CF" w14:textId="77777777" w:rsidR="00E42F9F" w:rsidRPr="00C50854" w:rsidRDefault="009362B4" w:rsidP="00311E1F">
      <w:pPr>
        <w:pStyle w:val="Pealkiri3"/>
        <w:rPr>
          <w:i/>
        </w:rPr>
      </w:pPr>
      <w:bookmarkStart w:id="99" w:name="_Toc464639324"/>
      <w:bookmarkStart w:id="100" w:name="_Toc42072432"/>
      <w:r w:rsidRPr="00C50854">
        <w:rPr>
          <w:i/>
        </w:rPr>
        <w:t>3.1.</w:t>
      </w:r>
      <w:r w:rsidR="006102B9" w:rsidRPr="00C50854">
        <w:rPr>
          <w:i/>
        </w:rPr>
        <w:t>2</w:t>
      </w:r>
      <w:r w:rsidRPr="00C50854">
        <w:rPr>
          <w:i/>
        </w:rPr>
        <w:t xml:space="preserve">. </w:t>
      </w:r>
      <w:r w:rsidR="00E42F9F" w:rsidRPr="00C50854">
        <w:rPr>
          <w:i/>
        </w:rPr>
        <w:t>Turgude seotus</w:t>
      </w:r>
      <w:bookmarkEnd w:id="89"/>
      <w:bookmarkEnd w:id="90"/>
      <w:bookmarkEnd w:id="91"/>
      <w:bookmarkEnd w:id="92"/>
      <w:bookmarkEnd w:id="93"/>
      <w:bookmarkEnd w:id="94"/>
      <w:bookmarkEnd w:id="95"/>
      <w:bookmarkEnd w:id="96"/>
      <w:bookmarkEnd w:id="97"/>
      <w:bookmarkEnd w:id="98"/>
      <w:bookmarkEnd w:id="99"/>
      <w:bookmarkEnd w:id="100"/>
    </w:p>
    <w:p w14:paraId="68342263" w14:textId="42F41699" w:rsidR="00D95E36" w:rsidRPr="00C50854" w:rsidRDefault="00D95E36" w:rsidP="00311E1F">
      <w:pPr>
        <w:numPr>
          <w:ilvl w:val="0"/>
          <w:numId w:val="13"/>
        </w:numPr>
        <w:suppressAutoHyphens w:val="0"/>
        <w:autoSpaceDE w:val="0"/>
        <w:autoSpaceDN w:val="0"/>
        <w:adjustRightInd w:val="0"/>
        <w:spacing w:before="120" w:after="120"/>
        <w:jc w:val="both"/>
        <w:rPr>
          <w:lang w:eastAsia="et-EE"/>
        </w:rPr>
      </w:pPr>
      <w:r w:rsidRPr="00C50854">
        <w:rPr>
          <w:lang w:eastAsia="et-EE"/>
        </w:rPr>
        <w:t>Elektroonilise side turud võivad olla omavahel seotud nii vertikaalselt kui ka horisontaalselt (turuanalüüsi ja märkimisväärse turujõu hindamise suuniste alajaotus 3.1.1., punktid 84 ja 85).</w:t>
      </w:r>
    </w:p>
    <w:p w14:paraId="33180D1A" w14:textId="77777777" w:rsidR="00D95E36" w:rsidRPr="00C50854" w:rsidRDefault="00D95E36" w:rsidP="00311E1F">
      <w:pPr>
        <w:numPr>
          <w:ilvl w:val="0"/>
          <w:numId w:val="13"/>
        </w:numPr>
        <w:suppressAutoHyphens w:val="0"/>
        <w:autoSpaceDE w:val="0"/>
        <w:autoSpaceDN w:val="0"/>
        <w:adjustRightInd w:val="0"/>
        <w:spacing w:before="120" w:after="120"/>
        <w:jc w:val="both"/>
        <w:rPr>
          <w:lang w:eastAsia="et-EE"/>
        </w:rPr>
      </w:pPr>
      <w:r w:rsidRPr="00C50854">
        <w:rPr>
          <w:i/>
          <w:lang w:eastAsia="et-EE"/>
        </w:rPr>
        <w:t>Vertikaalselt seotud turud</w:t>
      </w:r>
      <w:r w:rsidRPr="00C50854">
        <w:rPr>
          <w:lang w:eastAsia="et-EE"/>
        </w:rPr>
        <w:t xml:space="preserve"> jagunevad </w:t>
      </w:r>
      <w:r w:rsidRPr="00C50854">
        <w:rPr>
          <w:u w:val="single"/>
          <w:lang w:eastAsia="et-EE"/>
        </w:rPr>
        <w:t>ülespoole seotud turgudeks</w:t>
      </w:r>
      <w:r w:rsidRPr="00C50854">
        <w:rPr>
          <w:lang w:eastAsia="et-EE"/>
        </w:rPr>
        <w:t xml:space="preserve"> (turud, kus toodetakse asjakohasel turul olulise toote või teenuse arendamiseks vajalikku sisendit) ja </w:t>
      </w:r>
      <w:r w:rsidRPr="00C50854">
        <w:rPr>
          <w:u w:val="single"/>
          <w:lang w:eastAsia="et-EE"/>
        </w:rPr>
        <w:t>allapoole seotud turgudeks</w:t>
      </w:r>
      <w:r w:rsidRPr="00C50854">
        <w:rPr>
          <w:lang w:eastAsia="et-EE"/>
        </w:rPr>
        <w:t xml:space="preserve"> (turud, mille jaoks asjakohasel turul toodetud toode või teenus on sisendiks). Ettevõtjaid, kes osutavad üheaegselt teenuseid nii hulgiturul kui ka vastava turuga vertikaalselt allapoole seotud jaeturgudel, nimetatakse vertikaalselt integreeritud ettevõtjateks.</w:t>
      </w:r>
    </w:p>
    <w:p w14:paraId="3CBB6FD1" w14:textId="77777777" w:rsidR="00D95E36" w:rsidRPr="00C50854" w:rsidRDefault="00D95E36" w:rsidP="00311E1F">
      <w:pPr>
        <w:numPr>
          <w:ilvl w:val="0"/>
          <w:numId w:val="13"/>
        </w:numPr>
        <w:suppressAutoHyphens w:val="0"/>
        <w:spacing w:before="120" w:after="120"/>
        <w:jc w:val="both"/>
        <w:rPr>
          <w:lang w:eastAsia="et-EE"/>
        </w:rPr>
      </w:pPr>
      <w:r w:rsidRPr="00C50854">
        <w:rPr>
          <w:lang w:eastAsia="et-EE"/>
        </w:rPr>
        <w:t>Horisontaalselt seotud turud jagunevad muuhulgas:</w:t>
      </w:r>
    </w:p>
    <w:p w14:paraId="7DBD88CD" w14:textId="08204473" w:rsidR="00D95E36" w:rsidRPr="00C50854" w:rsidRDefault="00D95E36" w:rsidP="007E0516">
      <w:pPr>
        <w:numPr>
          <w:ilvl w:val="0"/>
          <w:numId w:val="2"/>
        </w:numPr>
        <w:suppressAutoHyphens w:val="0"/>
        <w:spacing w:before="120" w:after="120"/>
        <w:ind w:left="714" w:hanging="357"/>
        <w:jc w:val="both"/>
        <w:rPr>
          <w:lang w:eastAsia="et-EE"/>
        </w:rPr>
      </w:pPr>
      <w:r w:rsidRPr="00C50854">
        <w:rPr>
          <w:bCs/>
          <w:iCs/>
          <w:color w:val="000000"/>
          <w:lang w:eastAsia="et-EE"/>
        </w:rPr>
        <w:t>põhiklientuuri</w:t>
      </w:r>
      <w:r w:rsidRPr="00C50854">
        <w:rPr>
          <w:lang w:eastAsia="et-EE"/>
        </w:rPr>
        <w:t xml:space="preserve"> kaudu seotud turud </w:t>
      </w:r>
      <w:r w:rsidR="00B37401" w:rsidRPr="00C50854">
        <w:rPr>
          <w:lang w:eastAsia="et-EE"/>
        </w:rPr>
        <w:t>–</w:t>
      </w:r>
      <w:r w:rsidRPr="00C50854">
        <w:rPr>
          <w:lang w:eastAsia="et-EE"/>
        </w:rPr>
        <w:t xml:space="preserve"> tooted</w:t>
      </w:r>
      <w:r w:rsidR="00B37401" w:rsidRPr="00C50854">
        <w:rPr>
          <w:lang w:eastAsia="et-EE"/>
        </w:rPr>
        <w:t xml:space="preserve"> </w:t>
      </w:r>
      <w:r w:rsidRPr="00C50854">
        <w:rPr>
          <w:lang w:eastAsia="et-EE"/>
        </w:rPr>
        <w:t>ja teenused on suunatud samale sihtgrupile kui asjakohase turu tooted;</w:t>
      </w:r>
    </w:p>
    <w:p w14:paraId="6B36258B" w14:textId="77777777" w:rsidR="00D95E36" w:rsidRPr="00C50854" w:rsidRDefault="00D95E36" w:rsidP="007E0516">
      <w:pPr>
        <w:numPr>
          <w:ilvl w:val="0"/>
          <w:numId w:val="2"/>
        </w:numPr>
        <w:suppressAutoHyphens w:val="0"/>
        <w:spacing w:before="120" w:after="120"/>
        <w:ind w:left="714" w:hanging="357"/>
        <w:jc w:val="both"/>
        <w:rPr>
          <w:lang w:eastAsia="et-EE"/>
        </w:rPr>
      </w:pPr>
      <w:r w:rsidRPr="00C50854">
        <w:rPr>
          <w:bCs/>
          <w:iCs/>
          <w:color w:val="000000"/>
          <w:lang w:eastAsia="et-EE"/>
        </w:rPr>
        <w:t>puuduliku</w:t>
      </w:r>
      <w:r w:rsidRPr="00C50854">
        <w:rPr>
          <w:lang w:eastAsia="et-EE"/>
        </w:rPr>
        <w:t xml:space="preserve"> asendaja kaudu seotud turud – tooted või teenused ei ole asjakohase turu toodete otsesteks asendajateks, kuid pakuvad asjakohasele turule siiski teatud konkurentsi;</w:t>
      </w:r>
    </w:p>
    <w:p w14:paraId="174B361E" w14:textId="77777777" w:rsidR="00D95E36" w:rsidRPr="00C50854" w:rsidRDefault="00D95E36" w:rsidP="007E0516">
      <w:pPr>
        <w:numPr>
          <w:ilvl w:val="0"/>
          <w:numId w:val="2"/>
        </w:numPr>
        <w:suppressAutoHyphens w:val="0"/>
        <w:spacing w:before="120" w:after="120"/>
        <w:ind w:left="714" w:hanging="357"/>
        <w:jc w:val="both"/>
        <w:rPr>
          <w:lang w:eastAsia="et-EE"/>
        </w:rPr>
      </w:pPr>
      <w:r w:rsidRPr="00C50854">
        <w:rPr>
          <w:bCs/>
          <w:iCs/>
          <w:color w:val="000000"/>
          <w:lang w:eastAsia="et-EE"/>
        </w:rPr>
        <w:t>üksteist</w:t>
      </w:r>
      <w:r w:rsidRPr="00C50854">
        <w:rPr>
          <w:lang w:eastAsia="et-EE"/>
        </w:rPr>
        <w:t xml:space="preserve"> täiendavad turud – seotud turu tooted või teenused täiendavad asjakohasel turul pakutavaid tooteid või teenuseid.</w:t>
      </w:r>
    </w:p>
    <w:p w14:paraId="3B67D0AD" w14:textId="77777777" w:rsidR="00D95E36" w:rsidRPr="00C50854" w:rsidRDefault="00D95E36" w:rsidP="00311E1F">
      <w:pPr>
        <w:numPr>
          <w:ilvl w:val="0"/>
          <w:numId w:val="13"/>
        </w:numPr>
        <w:suppressAutoHyphens w:val="0"/>
        <w:autoSpaceDE w:val="0"/>
        <w:autoSpaceDN w:val="0"/>
        <w:adjustRightInd w:val="0"/>
        <w:spacing w:before="120" w:after="120"/>
        <w:jc w:val="both"/>
        <w:rPr>
          <w:szCs w:val="28"/>
          <w:lang w:eastAsia="et-EE"/>
        </w:rPr>
      </w:pPr>
      <w:r w:rsidRPr="00C50854">
        <w:rPr>
          <w:lang w:eastAsia="et-EE"/>
        </w:rPr>
        <w:t xml:space="preserve">Turgude seotuse väljaselgitamine võib olla oluline nii turu piiritlemisel kui ka turuanalüüsi läbiviimisel. Kui ettevõtjal on konkreetsel turul märkimisväärne turujõud, võib ta märkimisväärset turujõudu omada ka sellega lähedalt seotud turul, kui seosed nende kahe turu vahel on sellised, et turujõud ühel turul võib kanduda üle teisele, suurendades selle kaudu ettevõtja turujõudu (raamdirektiivi artikli 14 lõige 3; vt ka turuanalüüsi ja märkimisväärse turujõu hindamise suuniste alajaotus 3.1.1. </w:t>
      </w:r>
      <w:proofErr w:type="spellStart"/>
      <w:r w:rsidRPr="00C50854">
        <w:rPr>
          <w:i/>
          <w:lang w:eastAsia="et-EE"/>
        </w:rPr>
        <w:t>Leverage</w:t>
      </w:r>
      <w:proofErr w:type="spellEnd"/>
      <w:r w:rsidRPr="00C50854">
        <w:rPr>
          <w:i/>
          <w:lang w:eastAsia="et-EE"/>
        </w:rPr>
        <w:t xml:space="preserve"> of market </w:t>
      </w:r>
      <w:proofErr w:type="spellStart"/>
      <w:r w:rsidRPr="00C50854">
        <w:rPr>
          <w:i/>
          <w:lang w:eastAsia="et-EE"/>
        </w:rPr>
        <w:t>power</w:t>
      </w:r>
      <w:proofErr w:type="spellEnd"/>
      <w:r w:rsidRPr="00C50854">
        <w:rPr>
          <w:lang w:eastAsia="et-EE"/>
        </w:rPr>
        <w:t>). Samuti aitab turgude seotuse analüüs kaasa toodete ja teenuste asendatavuse hindamisele.</w:t>
      </w:r>
    </w:p>
    <w:p w14:paraId="18BD4408" w14:textId="389E17B2" w:rsidR="00D95E36" w:rsidRPr="00C50854" w:rsidRDefault="00D95E36" w:rsidP="00311E1F">
      <w:pPr>
        <w:numPr>
          <w:ilvl w:val="0"/>
          <w:numId w:val="13"/>
        </w:numPr>
        <w:suppressAutoHyphens w:val="0"/>
        <w:spacing w:before="120" w:after="120"/>
        <w:jc w:val="both"/>
        <w:rPr>
          <w:lang w:eastAsia="et-EE"/>
        </w:rPr>
      </w:pPr>
      <w:r w:rsidRPr="00C50854">
        <w:rPr>
          <w:lang w:eastAsia="et-EE"/>
        </w:rPr>
        <w:t xml:space="preserve">Eeltoodut arvesse võttes leiab </w:t>
      </w:r>
      <w:r w:rsidR="00084753" w:rsidRPr="00C50854">
        <w:rPr>
          <w:lang w:eastAsia="et-EE"/>
        </w:rPr>
        <w:t>T</w:t>
      </w:r>
      <w:r w:rsidR="0054052D" w:rsidRPr="00C50854">
        <w:rPr>
          <w:lang w:eastAsia="et-EE"/>
        </w:rPr>
        <w:t>TJA</w:t>
      </w:r>
      <w:r w:rsidRPr="00C50854">
        <w:rPr>
          <w:lang w:eastAsia="et-EE"/>
        </w:rPr>
        <w:t>, et asjakohaste sideturgude piiritlemiseks ja analüüsimiseks on vajalik hinnata analüüsi kaasatud ettevõtjate tegevust ka asjakohaste sideturgudega lähedalt seotud turgudel.</w:t>
      </w:r>
    </w:p>
    <w:p w14:paraId="2FE7AFD0" w14:textId="77777777" w:rsidR="00E42F9F" w:rsidRPr="00C50854" w:rsidRDefault="006102B9" w:rsidP="00BD3868">
      <w:pPr>
        <w:pStyle w:val="Pealkiri3"/>
        <w:spacing w:after="120"/>
        <w:rPr>
          <w:rFonts w:cs="Times New Roman"/>
          <w:i/>
          <w:szCs w:val="24"/>
        </w:rPr>
      </w:pPr>
      <w:bookmarkStart w:id="101" w:name="_Toc136684620"/>
      <w:bookmarkStart w:id="102" w:name="_Toc142211027"/>
      <w:bookmarkStart w:id="103" w:name="_Toc143659994"/>
      <w:bookmarkStart w:id="104" w:name="_Toc150651434"/>
      <w:bookmarkStart w:id="105" w:name="_Toc150654418"/>
      <w:bookmarkStart w:id="106" w:name="_Toc150841587"/>
      <w:bookmarkStart w:id="107" w:name="_Toc150842805"/>
      <w:bookmarkStart w:id="108" w:name="_Toc153273220"/>
      <w:bookmarkStart w:id="109" w:name="_Toc153782846"/>
      <w:bookmarkStart w:id="110" w:name="_Toc155066986"/>
      <w:bookmarkStart w:id="111" w:name="_Toc157846474"/>
      <w:bookmarkStart w:id="112" w:name="_Toc170194428"/>
      <w:bookmarkStart w:id="113" w:name="_Toc175542251"/>
      <w:bookmarkStart w:id="114" w:name="_Toc211671272"/>
      <w:bookmarkStart w:id="115" w:name="_Toc211837231"/>
      <w:bookmarkStart w:id="116" w:name="_Toc215466470"/>
      <w:bookmarkStart w:id="117" w:name="_Toc310840851"/>
      <w:bookmarkStart w:id="118" w:name="_Toc464639325"/>
      <w:bookmarkStart w:id="119" w:name="_Toc42072433"/>
      <w:r w:rsidRPr="00C50854">
        <w:rPr>
          <w:rFonts w:cs="Times New Roman"/>
          <w:i/>
          <w:szCs w:val="24"/>
        </w:rPr>
        <w:t>3.1.3</w:t>
      </w:r>
      <w:r w:rsidR="009362B4" w:rsidRPr="00C50854">
        <w:rPr>
          <w:rFonts w:cs="Times New Roman"/>
          <w:i/>
          <w:szCs w:val="24"/>
        </w:rPr>
        <w:t xml:space="preserve">. </w:t>
      </w:r>
      <w:r w:rsidR="00E42F9F" w:rsidRPr="00C50854">
        <w:rPr>
          <w:rFonts w:cs="Times New Roman"/>
          <w:i/>
          <w:szCs w:val="24"/>
        </w:rPr>
        <w:t>Turu geograafilise käibimisala piiritlemise põhimõtted</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66508E49" w14:textId="58EEB3E3" w:rsidR="00D95E36" w:rsidRPr="00C50854" w:rsidRDefault="00D95E36" w:rsidP="00311E1F">
      <w:pPr>
        <w:numPr>
          <w:ilvl w:val="0"/>
          <w:numId w:val="13"/>
        </w:numPr>
        <w:suppressAutoHyphens w:val="0"/>
        <w:spacing w:before="120" w:after="120"/>
        <w:jc w:val="both"/>
        <w:rPr>
          <w:lang w:eastAsia="et-EE"/>
        </w:rPr>
      </w:pPr>
      <w:r w:rsidRPr="00C50854">
        <w:t>Pärast konkreetse toote või teenuse turu piiritlemist on järgmiseks sammuks konkreetse turu geograafil</w:t>
      </w:r>
      <w:r w:rsidR="00261A43" w:rsidRPr="00C50854">
        <w:t xml:space="preserve">ise ulatuse piiritlemine. Peale </w:t>
      </w:r>
      <w:r w:rsidRPr="00C50854">
        <w:t xml:space="preserve">teenuse või toote turu geograafilise mõõtme defineerimist saab </w:t>
      </w:r>
      <w:r w:rsidR="00084753" w:rsidRPr="00C50854">
        <w:t>T</w:t>
      </w:r>
      <w:r w:rsidR="0054052D" w:rsidRPr="00C50854">
        <w:t>TJA</w:t>
      </w:r>
      <w:r w:rsidRPr="00C50854">
        <w:t xml:space="preserve"> hinnata sellel turul valitsevaid konkurentsitingimusi.</w:t>
      </w:r>
    </w:p>
    <w:p w14:paraId="3B6F6A8D" w14:textId="20675E6C" w:rsidR="00D95E36" w:rsidRPr="00C50854" w:rsidRDefault="00D95E36" w:rsidP="00311E1F">
      <w:pPr>
        <w:numPr>
          <w:ilvl w:val="0"/>
          <w:numId w:val="13"/>
        </w:numPr>
        <w:spacing w:before="120" w:after="120"/>
        <w:jc w:val="both"/>
      </w:pPr>
      <w:r w:rsidRPr="00C50854">
        <w:t xml:space="preserve">Vastavalt ESS § 43 lõikele 2 võib </w:t>
      </w:r>
      <w:r w:rsidR="0054052D" w:rsidRPr="00C50854">
        <w:t>T</w:t>
      </w:r>
      <w:r w:rsidR="00084753" w:rsidRPr="00C50854">
        <w:t>T</w:t>
      </w:r>
      <w:r w:rsidR="0054052D" w:rsidRPr="00C50854">
        <w:t>JA</w:t>
      </w:r>
      <w:r w:rsidRPr="00C50854">
        <w:t xml:space="preserve"> sideteenuse geograafilise käibimisalana piiritleda kogu Eesti Vabariigi territooriumi või osa sellest. Vastavalt sama paragrahvi lõikele 3 moodustab teatud piirkond ühtse geograafilise käibimisala, kui selles piirkonnas on sarnased või piisavalt homogeensed konkurentsitingimused ning seda piirkonda saab eristada teistest piirkondadest, kus vastavad konkurentsitingimused on märkimisväärsel määral erinevad. Sama põhimõte on välja toodud turuanalüüsi ja märkimisväärse turujõu hindamise suuniste </w:t>
      </w:r>
      <w:r w:rsidRPr="00C50854">
        <w:lastRenderedPageBreak/>
        <w:t>punktis 56 ning selles viidatud Euroopa Kohtu praktikas</w:t>
      </w:r>
      <w:r w:rsidRPr="00C50854">
        <w:rPr>
          <w:vertAlign w:val="superscript"/>
        </w:rPr>
        <w:footnoteReference w:id="15"/>
      </w:r>
      <w:r w:rsidRPr="00C50854">
        <w:t>: ühtse geograafilise käibimisala kriteeriumiks on sarnased või piisavalt homogeensed konkurentsitingimused, mis erinevad märkimisväärselt teiste piirkondade konkurentsitingimustest.</w:t>
      </w:r>
    </w:p>
    <w:p w14:paraId="3C576982" w14:textId="1EF181AF" w:rsidR="00D95E36" w:rsidRPr="00C50854" w:rsidRDefault="00D95E36" w:rsidP="00311E1F">
      <w:pPr>
        <w:numPr>
          <w:ilvl w:val="0"/>
          <w:numId w:val="13"/>
        </w:numPr>
        <w:spacing w:before="120" w:after="120"/>
        <w:jc w:val="both"/>
      </w:pPr>
      <w:r w:rsidRPr="00C50854">
        <w:t xml:space="preserve">Turu geograafilise käibimisala piiritlemiseks ei ole nõutav, et konkurentsitingimused toote pakkujate või teenuseosutajate vahel oleksid täiuslikult homogeensed </w:t>
      </w:r>
      <w:r w:rsidR="00B37401" w:rsidRPr="00C50854">
        <w:t>–</w:t>
      </w:r>
      <w:r w:rsidRPr="00C50854">
        <w:t xml:space="preserve"> piisab</w:t>
      </w:r>
      <w:r w:rsidR="00B37401" w:rsidRPr="00C50854">
        <w:t xml:space="preserve"> </w:t>
      </w:r>
      <w:r w:rsidRPr="00C50854">
        <w:t>sarnasusest või piisaval määral esinevast homogeensusest: ühise turu käibimisalasse ei kuulu seega need piirkonnad, kus konkurentsitingimused leitakse olevat heterogeensed</w:t>
      </w:r>
      <w:r w:rsidRPr="00C50854">
        <w:rPr>
          <w:vertAlign w:val="superscript"/>
        </w:rPr>
        <w:footnoteReference w:id="16"/>
      </w:r>
      <w:r w:rsidRPr="00C50854">
        <w:t>.</w:t>
      </w:r>
    </w:p>
    <w:p w14:paraId="0077623E" w14:textId="77777777" w:rsidR="00D95E36" w:rsidRPr="00C50854" w:rsidRDefault="00D95E36" w:rsidP="00311E1F">
      <w:pPr>
        <w:numPr>
          <w:ilvl w:val="0"/>
          <w:numId w:val="13"/>
        </w:numPr>
        <w:spacing w:before="120" w:after="120"/>
        <w:jc w:val="both"/>
      </w:pPr>
      <w:r w:rsidRPr="00C50854">
        <w:t>Elektroonilise side valdkonnas piiritletakse turu geograafiline käibimisala peamiselt kahe kriteeriumi alusel: lähtudes sidevõrgu katvusalast ja õiguslike või muude regulatiivsete instrumentide nõuetest (turuanalüüsi ja märkimisväärse turujõu hindamise suuniste punkt 59).</w:t>
      </w:r>
    </w:p>
    <w:p w14:paraId="7F0098F8" w14:textId="77777777" w:rsidR="00E42F9F" w:rsidRPr="00C50854" w:rsidRDefault="009362B4" w:rsidP="00BD3868">
      <w:pPr>
        <w:pStyle w:val="Pealkiri2"/>
        <w:spacing w:before="360" w:after="240"/>
        <w:rPr>
          <w:rFonts w:cs="Times New Roman"/>
        </w:rPr>
      </w:pPr>
      <w:bookmarkStart w:id="120" w:name="_Toc153273223"/>
      <w:bookmarkStart w:id="121" w:name="_Toc153863517"/>
      <w:bookmarkStart w:id="122" w:name="_Toc211671273"/>
      <w:bookmarkStart w:id="123" w:name="_Toc211837232"/>
      <w:bookmarkStart w:id="124" w:name="_Toc215466471"/>
      <w:bookmarkStart w:id="125" w:name="_Toc310840852"/>
      <w:bookmarkStart w:id="126" w:name="_Toc464639326"/>
      <w:bookmarkStart w:id="127" w:name="_Toc42072434"/>
      <w:r w:rsidRPr="00C50854">
        <w:rPr>
          <w:rFonts w:cs="Times New Roman"/>
        </w:rPr>
        <w:t xml:space="preserve">3.2. </w:t>
      </w:r>
      <w:bookmarkEnd w:id="120"/>
      <w:bookmarkEnd w:id="121"/>
      <w:bookmarkEnd w:id="122"/>
      <w:bookmarkEnd w:id="123"/>
      <w:bookmarkEnd w:id="124"/>
      <w:bookmarkEnd w:id="125"/>
      <w:r w:rsidR="000B5C35" w:rsidRPr="00C50854">
        <w:rPr>
          <w:rFonts w:cs="Times New Roman"/>
        </w:rPr>
        <w:t xml:space="preserve">Kohaliku </w:t>
      </w:r>
      <w:r w:rsidR="00A454DE" w:rsidRPr="00C50854">
        <w:rPr>
          <w:rFonts w:cs="Times New Roman"/>
        </w:rPr>
        <w:t>juurdepääsu hulgituru piiritlemine</w:t>
      </w:r>
      <w:bookmarkEnd w:id="126"/>
      <w:bookmarkEnd w:id="127"/>
    </w:p>
    <w:p w14:paraId="54F967FE" w14:textId="5B0E3FF4" w:rsidR="00D95E36" w:rsidRPr="00C50854" w:rsidRDefault="0054052D" w:rsidP="00311E1F">
      <w:pPr>
        <w:numPr>
          <w:ilvl w:val="0"/>
          <w:numId w:val="13"/>
        </w:numPr>
        <w:suppressAutoHyphens w:val="0"/>
        <w:spacing w:before="120" w:after="120"/>
        <w:jc w:val="both"/>
        <w:rPr>
          <w:lang w:eastAsia="et-EE"/>
        </w:rPr>
      </w:pPr>
      <w:r w:rsidRPr="00C50854">
        <w:rPr>
          <w:lang w:eastAsia="et-EE"/>
        </w:rPr>
        <w:t>2014</w:t>
      </w:r>
      <w:r w:rsidR="00D95E36" w:rsidRPr="00C50854">
        <w:rPr>
          <w:lang w:eastAsia="et-EE"/>
        </w:rPr>
        <w:t>. aasta toote</w:t>
      </w:r>
      <w:r w:rsidR="002A305C" w:rsidRPr="00C50854">
        <w:rPr>
          <w:lang w:eastAsia="et-EE"/>
        </w:rPr>
        <w:t>-</w:t>
      </w:r>
      <w:r w:rsidR="00D95E36" w:rsidRPr="00C50854">
        <w:rPr>
          <w:lang w:eastAsia="et-EE"/>
        </w:rPr>
        <w:t xml:space="preserve"> ja teenuseturgude soovituse punkti </w:t>
      </w:r>
      <w:r w:rsidRPr="00C50854">
        <w:rPr>
          <w:lang w:eastAsia="et-EE"/>
        </w:rPr>
        <w:t>3a</w:t>
      </w:r>
      <w:r w:rsidR="00D95E36" w:rsidRPr="00C50854">
        <w:rPr>
          <w:lang w:eastAsia="et-EE"/>
        </w:rPr>
        <w:t xml:space="preserve"> kohaselt vastab </w:t>
      </w:r>
      <w:r w:rsidR="00A454DE" w:rsidRPr="00C50854">
        <w:rPr>
          <w:lang w:eastAsia="et-EE"/>
        </w:rPr>
        <w:t>kohaliku</w:t>
      </w:r>
      <w:r w:rsidR="001F0AE3" w:rsidRPr="00C50854">
        <w:rPr>
          <w:lang w:eastAsia="et-EE"/>
        </w:rPr>
        <w:t xml:space="preserve"> </w:t>
      </w:r>
      <w:r w:rsidR="00D95E36" w:rsidRPr="00C50854">
        <w:rPr>
          <w:lang w:eastAsia="et-EE"/>
        </w:rPr>
        <w:t xml:space="preserve">juurdepääsu </w:t>
      </w:r>
      <w:r w:rsidR="001F0AE3" w:rsidRPr="00C50854">
        <w:rPr>
          <w:lang w:eastAsia="et-EE"/>
        </w:rPr>
        <w:t>hulgi</w:t>
      </w:r>
      <w:r w:rsidR="00D95E36" w:rsidRPr="00C50854">
        <w:rPr>
          <w:lang w:eastAsia="et-EE"/>
        </w:rPr>
        <w:t xml:space="preserve">turg </w:t>
      </w:r>
      <w:r w:rsidR="00F92DD6" w:rsidRPr="00C50854">
        <w:rPr>
          <w:lang w:eastAsia="et-EE"/>
        </w:rPr>
        <w:t xml:space="preserve">muuhulgas </w:t>
      </w:r>
      <w:r w:rsidR="00D95E36" w:rsidRPr="00C50854">
        <w:rPr>
          <w:lang w:eastAsia="et-EE"/>
        </w:rPr>
        <w:t>turule, millele on viidatud</w:t>
      </w:r>
      <w:r w:rsidR="00BE3519" w:rsidRPr="00C50854">
        <w:rPr>
          <w:lang w:eastAsia="et-EE"/>
        </w:rPr>
        <w:t xml:space="preserve"> </w:t>
      </w:r>
      <w:r w:rsidR="00982FB3" w:rsidRPr="00C50854">
        <w:rPr>
          <w:lang w:eastAsia="et-EE"/>
        </w:rPr>
        <w:t>2007. aasta toote- ja teenuseturgude soovituse punkti 4</w:t>
      </w:r>
      <w:r w:rsidR="00ED060E" w:rsidRPr="00C50854">
        <w:rPr>
          <w:lang w:eastAsia="et-EE"/>
        </w:rPr>
        <w:t xml:space="preserve"> kohaselt </w:t>
      </w:r>
      <w:r w:rsidR="00982FB3" w:rsidRPr="00C50854">
        <w:rPr>
          <w:lang w:eastAsia="et-EE"/>
        </w:rPr>
        <w:t>fikseeritud elektroonilise side</w:t>
      </w:r>
      <w:r w:rsidR="00D23DCC" w:rsidRPr="00C50854">
        <w:rPr>
          <w:lang w:eastAsia="et-EE"/>
        </w:rPr>
        <w:t xml:space="preserve"> </w:t>
      </w:r>
      <w:r w:rsidR="00982FB3" w:rsidRPr="00C50854">
        <w:rPr>
          <w:lang w:eastAsia="et-EE"/>
        </w:rPr>
        <w:t xml:space="preserve">võrgule (füüsilise) juurdepääsu turg, </w:t>
      </w:r>
      <w:r w:rsidR="00982FB3" w:rsidRPr="00C50854">
        <w:t>sealhulgas jagatud juurdepääsu turule</w:t>
      </w:r>
      <w:r w:rsidR="00D95E36" w:rsidRPr="00C50854">
        <w:rPr>
          <w:lang w:eastAsia="et-EE"/>
        </w:rPr>
        <w:t xml:space="preserve">. Suuniste punktist 45 lähtuvalt kuuluvad nimetatud turule kõik tehnoloogiad, </w:t>
      </w:r>
      <w:r w:rsidR="00F52451" w:rsidRPr="00C50854">
        <w:rPr>
          <w:lang w:eastAsia="et-EE"/>
        </w:rPr>
        <w:t xml:space="preserve">mis võimaldavad ja </w:t>
      </w:r>
      <w:r w:rsidR="00D95E36" w:rsidRPr="00C50854">
        <w:rPr>
          <w:lang w:eastAsia="et-EE"/>
        </w:rPr>
        <w:t>paku</w:t>
      </w:r>
      <w:r w:rsidR="00F52451" w:rsidRPr="00C50854">
        <w:rPr>
          <w:lang w:eastAsia="et-EE"/>
        </w:rPr>
        <w:t>va</w:t>
      </w:r>
      <w:r w:rsidR="00D95E36" w:rsidRPr="00C50854">
        <w:rPr>
          <w:lang w:eastAsia="et-EE"/>
        </w:rPr>
        <w:t xml:space="preserve">d </w:t>
      </w:r>
      <w:r w:rsidR="001F0AE3" w:rsidRPr="00C50854">
        <w:rPr>
          <w:lang w:eastAsia="et-EE"/>
        </w:rPr>
        <w:t xml:space="preserve">lokaalset </w:t>
      </w:r>
      <w:r w:rsidR="00D95E36" w:rsidRPr="00C50854">
        <w:rPr>
          <w:lang w:eastAsia="et-EE"/>
        </w:rPr>
        <w:t>juurdepääsu elektroonilise side</w:t>
      </w:r>
      <w:r w:rsidR="00D23DCC" w:rsidRPr="00C50854">
        <w:rPr>
          <w:lang w:eastAsia="et-EE"/>
        </w:rPr>
        <w:t xml:space="preserve"> </w:t>
      </w:r>
      <w:r w:rsidR="00D95E36" w:rsidRPr="00C50854">
        <w:rPr>
          <w:lang w:eastAsia="et-EE"/>
        </w:rPr>
        <w:t>võrgule.</w:t>
      </w:r>
    </w:p>
    <w:p w14:paraId="7F175110" w14:textId="4447C873" w:rsidR="00D95E36" w:rsidRPr="00C50854" w:rsidRDefault="00D95E36" w:rsidP="00311E1F">
      <w:pPr>
        <w:numPr>
          <w:ilvl w:val="0"/>
          <w:numId w:val="13"/>
        </w:numPr>
        <w:suppressAutoHyphens w:val="0"/>
        <w:spacing w:before="120" w:after="120"/>
        <w:jc w:val="both"/>
        <w:rPr>
          <w:lang w:eastAsia="et-EE"/>
        </w:rPr>
      </w:pPr>
      <w:r w:rsidRPr="00C50854">
        <w:rPr>
          <w:lang w:eastAsia="et-EE"/>
        </w:rPr>
        <w:t>20</w:t>
      </w:r>
      <w:r w:rsidR="001F0AE3" w:rsidRPr="00C50854">
        <w:rPr>
          <w:lang w:eastAsia="et-EE"/>
        </w:rPr>
        <w:t>14</w:t>
      </w:r>
      <w:r w:rsidRPr="00C50854">
        <w:rPr>
          <w:lang w:eastAsia="et-EE"/>
        </w:rPr>
        <w:t xml:space="preserve">. aasta </w:t>
      </w:r>
      <w:r w:rsidRPr="00C50854">
        <w:rPr>
          <w:szCs w:val="28"/>
          <w:lang w:eastAsia="et-EE"/>
        </w:rPr>
        <w:t>toote- ja teenuseturgude</w:t>
      </w:r>
      <w:r w:rsidRPr="00C50854">
        <w:rPr>
          <w:lang w:eastAsia="et-EE"/>
        </w:rPr>
        <w:t xml:space="preserve"> soovituse lisa punkt</w:t>
      </w:r>
      <w:r w:rsidR="0054391D" w:rsidRPr="00C50854">
        <w:rPr>
          <w:lang w:eastAsia="et-EE"/>
        </w:rPr>
        <w:t>is</w:t>
      </w:r>
      <w:r w:rsidRPr="00C50854">
        <w:rPr>
          <w:lang w:eastAsia="et-EE"/>
        </w:rPr>
        <w:t> </w:t>
      </w:r>
      <w:r w:rsidR="00A36C74" w:rsidRPr="00C50854">
        <w:rPr>
          <w:lang w:eastAsia="et-EE"/>
        </w:rPr>
        <w:t>3.a</w:t>
      </w:r>
      <w:r w:rsidR="00F92DD6" w:rsidRPr="00C50854">
        <w:rPr>
          <w:lang w:eastAsia="et-EE"/>
        </w:rPr>
        <w:t xml:space="preserve"> </w:t>
      </w:r>
      <w:r w:rsidR="00A36C74" w:rsidRPr="00C50854">
        <w:rPr>
          <w:lang w:eastAsia="et-EE"/>
        </w:rPr>
        <w:t>„</w:t>
      </w:r>
      <w:r w:rsidR="000B5C35" w:rsidRPr="00C50854">
        <w:rPr>
          <w:lang w:eastAsia="et-EE"/>
        </w:rPr>
        <w:t>Kindlaksmääratud asukohas kohaliku juurdepääsu hulgiturul</w:t>
      </w:r>
      <w:r w:rsidR="00A36C74" w:rsidRPr="00C50854">
        <w:rPr>
          <w:lang w:eastAsia="et-EE"/>
        </w:rPr>
        <w:t>“</w:t>
      </w:r>
      <w:r w:rsidRPr="00C50854">
        <w:rPr>
          <w:lang w:eastAsia="et-EE"/>
        </w:rPr>
        <w:t xml:space="preserve"> vaadeldakse </w:t>
      </w:r>
      <w:r w:rsidR="000B5C35" w:rsidRPr="00C50854">
        <w:rPr>
          <w:lang w:eastAsia="et-EE"/>
        </w:rPr>
        <w:t>kõiki</w:t>
      </w:r>
      <w:r w:rsidRPr="00C50854">
        <w:rPr>
          <w:lang w:eastAsia="et-EE"/>
        </w:rPr>
        <w:t xml:space="preserve"> juurdepääsu tehnoloogiaid, mis oma olemuselt ja tehnilistelt võimalustelt oleksid asendusteenusteks </w:t>
      </w:r>
      <w:r w:rsidR="000B5C35" w:rsidRPr="00C50854">
        <w:rPr>
          <w:lang w:eastAsia="et-EE"/>
        </w:rPr>
        <w:t>kohaliku</w:t>
      </w:r>
      <w:r w:rsidRPr="00C50854">
        <w:rPr>
          <w:lang w:eastAsia="et-EE"/>
        </w:rPr>
        <w:t xml:space="preserve"> juurdepääsu hulgituru koosseisu kuuluvatele juurdepääsuteenustele.</w:t>
      </w:r>
    </w:p>
    <w:p w14:paraId="3C8DD231" w14:textId="296C1657" w:rsidR="00E42F9F" w:rsidRPr="00C50854" w:rsidRDefault="00D95E36" w:rsidP="00BD3868">
      <w:pPr>
        <w:pStyle w:val="Pealkiri3"/>
        <w:spacing w:after="120"/>
        <w:rPr>
          <w:rFonts w:cs="Times New Roman"/>
          <w:i/>
          <w:szCs w:val="24"/>
        </w:rPr>
      </w:pPr>
      <w:bookmarkStart w:id="128" w:name="_Toc211671275"/>
      <w:bookmarkStart w:id="129" w:name="_Toc211837234"/>
      <w:bookmarkStart w:id="130" w:name="_Toc215466473"/>
      <w:bookmarkStart w:id="131" w:name="_Toc310840854"/>
      <w:bookmarkStart w:id="132" w:name="_Toc464639327"/>
      <w:bookmarkStart w:id="133" w:name="_Toc42072435"/>
      <w:bookmarkEnd w:id="72"/>
      <w:r w:rsidRPr="00C50854">
        <w:rPr>
          <w:rFonts w:cs="Times New Roman"/>
          <w:i/>
          <w:szCs w:val="24"/>
        </w:rPr>
        <w:t>3.2.1</w:t>
      </w:r>
      <w:r w:rsidR="00A97078" w:rsidRPr="00C50854">
        <w:rPr>
          <w:rFonts w:cs="Times New Roman"/>
          <w:i/>
          <w:szCs w:val="24"/>
        </w:rPr>
        <w:t xml:space="preserve">. </w:t>
      </w:r>
      <w:bookmarkEnd w:id="128"/>
      <w:bookmarkEnd w:id="129"/>
      <w:bookmarkEnd w:id="130"/>
      <w:bookmarkEnd w:id="131"/>
      <w:r w:rsidR="00EF5166" w:rsidRPr="00C50854">
        <w:rPr>
          <w:rFonts w:cs="Times New Roman"/>
          <w:i/>
          <w:szCs w:val="24"/>
        </w:rPr>
        <w:t xml:space="preserve">Kohaliku </w:t>
      </w:r>
      <w:r w:rsidR="00A454DE" w:rsidRPr="00C50854">
        <w:rPr>
          <w:rFonts w:cs="Times New Roman"/>
          <w:i/>
          <w:szCs w:val="24"/>
        </w:rPr>
        <w:t xml:space="preserve">juurdepääsu hulgituru </w:t>
      </w:r>
      <w:r w:rsidRPr="00C50854">
        <w:rPr>
          <w:rFonts w:cs="Times New Roman"/>
          <w:i/>
          <w:szCs w:val="24"/>
        </w:rPr>
        <w:t>koosseisu kuuluvate juurdepääsuteenuste määratlemine</w:t>
      </w:r>
      <w:bookmarkEnd w:id="132"/>
      <w:bookmarkEnd w:id="133"/>
    </w:p>
    <w:p w14:paraId="27C5738D" w14:textId="44802B50" w:rsidR="00261A43" w:rsidRPr="00C50854" w:rsidRDefault="002A5D20" w:rsidP="00311E1F">
      <w:pPr>
        <w:numPr>
          <w:ilvl w:val="0"/>
          <w:numId w:val="13"/>
        </w:numPr>
        <w:suppressAutoHyphens w:val="0"/>
        <w:spacing w:before="120" w:after="120"/>
        <w:jc w:val="both"/>
        <w:rPr>
          <w:lang w:eastAsia="et-EE"/>
        </w:rPr>
      </w:pPr>
      <w:r w:rsidRPr="00C50854">
        <w:rPr>
          <w:lang w:eastAsia="et-EE"/>
        </w:rPr>
        <w:t>Elektroonilise side võrgule</w:t>
      </w:r>
      <w:r w:rsidRPr="00C50854" w:rsidDel="002A5D20">
        <w:rPr>
          <w:lang w:eastAsia="et-EE"/>
        </w:rPr>
        <w:t xml:space="preserve"> </w:t>
      </w:r>
      <w:r w:rsidR="00A454DE" w:rsidRPr="00C50854">
        <w:rPr>
          <w:lang w:eastAsia="et-EE"/>
        </w:rPr>
        <w:t xml:space="preserve">kindlaksmääratud asukohas kohaliku juurdepääsu </w:t>
      </w:r>
      <w:r w:rsidR="00D95E36" w:rsidRPr="00C50854">
        <w:rPr>
          <w:lang w:eastAsia="et-EE"/>
        </w:rPr>
        <w:t xml:space="preserve">hulgiturul pakutakse võrguteenust tarbivatele sideettevõtjatele </w:t>
      </w:r>
      <w:r w:rsidR="0007154A" w:rsidRPr="00C50854">
        <w:rPr>
          <w:lang w:eastAsia="et-EE"/>
        </w:rPr>
        <w:t xml:space="preserve">kohalikule sidevõrgule </w:t>
      </w:r>
      <w:r w:rsidR="00D95E36" w:rsidRPr="00C50854">
        <w:rPr>
          <w:lang w:eastAsia="et-EE"/>
        </w:rPr>
        <w:t>juurdepääsu, sh jagatud juurdepääsu teenuseid. Eestis on võimalik tarbida jagatud juurdepääsu teenust alates aastast 2004, kuid kuni käesoleva ajani ei ole nime</w:t>
      </w:r>
      <w:r w:rsidR="00261A43" w:rsidRPr="00C50854">
        <w:rPr>
          <w:lang w:eastAsia="et-EE"/>
        </w:rPr>
        <w:t xml:space="preserve">tatud teenust kasutatud. Seetõttu </w:t>
      </w:r>
      <w:r w:rsidR="00D95E36" w:rsidRPr="00C50854">
        <w:rPr>
          <w:lang w:eastAsia="et-EE"/>
        </w:rPr>
        <w:t>käesolevas analüüsis</w:t>
      </w:r>
      <w:r w:rsidR="00261A43" w:rsidRPr="00C50854">
        <w:rPr>
          <w:lang w:eastAsia="et-EE"/>
        </w:rPr>
        <w:t xml:space="preserve"> jagatud juurdepääsu teenust ei käsitleta.</w:t>
      </w:r>
    </w:p>
    <w:p w14:paraId="5CEEA237" w14:textId="26D07A23" w:rsidR="00D95E36" w:rsidRPr="00C50854" w:rsidRDefault="00D95E36" w:rsidP="00311E1F">
      <w:pPr>
        <w:numPr>
          <w:ilvl w:val="0"/>
          <w:numId w:val="13"/>
        </w:numPr>
        <w:suppressAutoHyphens w:val="0"/>
        <w:spacing w:before="120" w:after="120"/>
        <w:jc w:val="both"/>
        <w:rPr>
          <w:lang w:eastAsia="et-EE"/>
        </w:rPr>
      </w:pPr>
      <w:r w:rsidRPr="00C50854">
        <w:rPr>
          <w:lang w:eastAsia="et-EE"/>
        </w:rPr>
        <w:t xml:space="preserve">Lisaks hõlmab asjaomane hulgiturg ka juurdepääsu </w:t>
      </w:r>
      <w:r w:rsidR="0007154A" w:rsidRPr="00C50854">
        <w:rPr>
          <w:lang w:eastAsia="et-EE"/>
        </w:rPr>
        <w:t xml:space="preserve">kaablikanalisatsioonile ja </w:t>
      </w:r>
      <w:r w:rsidRPr="00C50854">
        <w:rPr>
          <w:lang w:eastAsia="et-EE"/>
        </w:rPr>
        <w:t>tugiteenustele. J</w:t>
      </w:r>
      <w:r w:rsidRPr="00C50854">
        <w:rPr>
          <w:bCs/>
          <w:lang w:eastAsia="et-EE"/>
        </w:rPr>
        <w:t xml:space="preserve">uurdepääsu tugiteenused seisnevad juurdepääsu võimaldamises </w:t>
      </w:r>
      <w:r w:rsidRPr="00C50854">
        <w:rPr>
          <w:lang w:eastAsia="et-EE"/>
        </w:rPr>
        <w:t>muudele sidevõrgu osadele, seadmetele ja teenustele (muu hulgas juurdepääsu seadmemajutuse</w:t>
      </w:r>
      <w:r w:rsidRPr="00C50854">
        <w:rPr>
          <w:vertAlign w:val="superscript"/>
          <w:lang w:eastAsia="et-EE"/>
        </w:rPr>
        <w:footnoteReference w:id="17"/>
      </w:r>
      <w:r w:rsidR="0007154A" w:rsidRPr="00C50854">
        <w:rPr>
          <w:lang w:eastAsia="et-EE"/>
        </w:rPr>
        <w:t xml:space="preserve"> teenusele</w:t>
      </w:r>
      <w:r w:rsidRPr="00C50854">
        <w:rPr>
          <w:lang w:eastAsia="et-EE"/>
        </w:rPr>
        <w:t xml:space="preserve"> ja hoonete ühiskasutusele), mis on teisele sideettevõtjale vajalikud juurdepääsu turu koosseisu kuuluvate hulgiteenuste kasutamiseks või oma sidevõrgu väljaehitamiseks.</w:t>
      </w:r>
    </w:p>
    <w:p w14:paraId="2315DF9C" w14:textId="37029FA6" w:rsidR="005D4F1C" w:rsidRPr="00C50854" w:rsidRDefault="00EF5166"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Kohaliku </w:t>
      </w:r>
      <w:r w:rsidR="00A454DE" w:rsidRPr="00C50854">
        <w:rPr>
          <w:lang w:eastAsia="et-EE"/>
        </w:rPr>
        <w:t xml:space="preserve">juurdepääsu hulgiturul </w:t>
      </w:r>
      <w:r w:rsidR="00D95E36" w:rsidRPr="00C50854">
        <w:rPr>
          <w:lang w:eastAsia="et-EE"/>
        </w:rPr>
        <w:t>toodetakse sisend</w:t>
      </w:r>
      <w:r w:rsidR="001375D6" w:rsidRPr="00C50854">
        <w:rPr>
          <w:lang w:eastAsia="et-EE"/>
        </w:rPr>
        <w:t>teenust(</w:t>
      </w:r>
      <w:proofErr w:type="spellStart"/>
      <w:r w:rsidR="001375D6" w:rsidRPr="00C50854">
        <w:rPr>
          <w:lang w:eastAsia="et-EE"/>
        </w:rPr>
        <w:t>eid</w:t>
      </w:r>
      <w:proofErr w:type="spellEnd"/>
      <w:r w:rsidR="001375D6" w:rsidRPr="00C50854">
        <w:rPr>
          <w:lang w:eastAsia="et-EE"/>
        </w:rPr>
        <w:t>)</w:t>
      </w:r>
      <w:r w:rsidR="00D95E36" w:rsidRPr="00C50854">
        <w:rPr>
          <w:lang w:eastAsia="et-EE"/>
        </w:rPr>
        <w:t xml:space="preserve"> peamiselt elektroonilise side</w:t>
      </w:r>
      <w:r w:rsidR="00D23DCC" w:rsidRPr="00C50854">
        <w:rPr>
          <w:lang w:eastAsia="et-EE"/>
        </w:rPr>
        <w:t xml:space="preserve"> </w:t>
      </w:r>
      <w:r w:rsidR="00D95E36" w:rsidRPr="00C50854">
        <w:rPr>
          <w:lang w:eastAsia="et-EE"/>
        </w:rPr>
        <w:t xml:space="preserve">teenuste jaeturgudele, st  juurdepääsu </w:t>
      </w:r>
      <w:r w:rsidR="0007154A" w:rsidRPr="00C50854">
        <w:rPr>
          <w:lang w:eastAsia="et-EE"/>
        </w:rPr>
        <w:t>hulgi</w:t>
      </w:r>
      <w:r w:rsidR="00D95E36" w:rsidRPr="00C50854">
        <w:rPr>
          <w:lang w:eastAsia="et-EE"/>
        </w:rPr>
        <w:t xml:space="preserve">teenused võimaldavad osutada elektroonilise side </w:t>
      </w:r>
      <w:r w:rsidR="0007154A" w:rsidRPr="00C50854">
        <w:rPr>
          <w:lang w:eastAsia="et-EE"/>
        </w:rPr>
        <w:t>jae</w:t>
      </w:r>
      <w:r w:rsidR="00D95E36" w:rsidRPr="00C50854">
        <w:rPr>
          <w:lang w:eastAsia="et-EE"/>
        </w:rPr>
        <w:t>teenuseid lõppkasutajatele.</w:t>
      </w:r>
      <w:r w:rsidR="00A132EC" w:rsidRPr="00C50854">
        <w:rPr>
          <w:lang w:eastAsia="et-EE"/>
        </w:rPr>
        <w:t xml:space="preserve"> </w:t>
      </w:r>
      <w:r w:rsidR="008E62BC" w:rsidRPr="00C50854">
        <w:rPr>
          <w:lang w:eastAsia="et-EE"/>
        </w:rPr>
        <w:t xml:space="preserve">Ajalooliselt on </w:t>
      </w:r>
      <w:r w:rsidR="00D95E36" w:rsidRPr="00C50854">
        <w:rPr>
          <w:lang w:eastAsia="et-EE"/>
        </w:rPr>
        <w:t>Eestis toimu</w:t>
      </w:r>
      <w:r w:rsidR="008E62BC" w:rsidRPr="00C50854">
        <w:rPr>
          <w:lang w:eastAsia="et-EE"/>
        </w:rPr>
        <w:t>nud</w:t>
      </w:r>
      <w:r w:rsidR="00D95E36" w:rsidRPr="00C50854">
        <w:rPr>
          <w:lang w:eastAsia="et-EE"/>
        </w:rPr>
        <w:t xml:space="preserve"> elektroonilise side</w:t>
      </w:r>
      <w:r w:rsidR="00D23DCC" w:rsidRPr="00C50854">
        <w:rPr>
          <w:lang w:eastAsia="et-EE"/>
        </w:rPr>
        <w:t xml:space="preserve"> </w:t>
      </w:r>
      <w:r w:rsidR="00D95E36" w:rsidRPr="00C50854">
        <w:rPr>
          <w:lang w:eastAsia="et-EE"/>
        </w:rPr>
        <w:t xml:space="preserve">teenuste osutamine lõppkasutajale </w:t>
      </w:r>
      <w:r w:rsidR="001375D6" w:rsidRPr="00C50854">
        <w:rPr>
          <w:lang w:eastAsia="et-EE"/>
        </w:rPr>
        <w:t xml:space="preserve">peamiselt </w:t>
      </w:r>
      <w:r w:rsidR="00D95E36" w:rsidRPr="00C50854">
        <w:rPr>
          <w:lang w:eastAsia="et-EE"/>
        </w:rPr>
        <w:t>üle vaskpaari</w:t>
      </w:r>
      <w:r w:rsidR="009E58C7" w:rsidRPr="00C50854">
        <w:rPr>
          <w:lang w:eastAsia="et-EE"/>
        </w:rPr>
        <w:t xml:space="preserve"> ning valguskaablil</w:t>
      </w:r>
      <w:r w:rsidR="00D95E36" w:rsidRPr="00C50854">
        <w:rPr>
          <w:lang w:eastAsia="et-EE"/>
        </w:rPr>
        <w:t xml:space="preserve"> põhineva </w:t>
      </w:r>
      <w:r w:rsidR="00D95E36" w:rsidRPr="00C50854">
        <w:rPr>
          <w:lang w:eastAsia="et-EE"/>
        </w:rPr>
        <w:lastRenderedPageBreak/>
        <w:t>juurdepääsuvõrgu</w:t>
      </w:r>
      <w:r w:rsidR="0007154A" w:rsidRPr="00C50854">
        <w:rPr>
          <w:lang w:eastAsia="et-EE"/>
        </w:rPr>
        <w:t xml:space="preserve"> (vt tabel nr 1)</w:t>
      </w:r>
      <w:r w:rsidR="00D95E36" w:rsidRPr="00C50854">
        <w:rPr>
          <w:lang w:eastAsia="et-EE"/>
        </w:rPr>
        <w:t xml:space="preserve">. </w:t>
      </w:r>
      <w:r w:rsidR="009E58C7" w:rsidRPr="00C50854">
        <w:rPr>
          <w:lang w:eastAsia="et-EE"/>
        </w:rPr>
        <w:t>Vaskpaari</w:t>
      </w:r>
      <w:r w:rsidR="00F92DD6" w:rsidRPr="00C50854">
        <w:rPr>
          <w:lang w:eastAsia="et-EE"/>
        </w:rPr>
        <w:t>-</w:t>
      </w:r>
      <w:r w:rsidR="00D95E36" w:rsidRPr="00C50854">
        <w:rPr>
          <w:lang w:eastAsia="et-EE"/>
        </w:rPr>
        <w:t xml:space="preserve">lahenduse puhul on juurdepääsuvõrku täiustatud </w:t>
      </w:r>
      <w:proofErr w:type="spellStart"/>
      <w:r w:rsidR="00D95E36" w:rsidRPr="00C50854">
        <w:rPr>
          <w:i/>
          <w:lang w:eastAsia="et-EE"/>
        </w:rPr>
        <w:t>xDSL</w:t>
      </w:r>
      <w:proofErr w:type="spellEnd"/>
      <w:r w:rsidR="00D95E36" w:rsidRPr="00C50854">
        <w:rPr>
          <w:i/>
          <w:vertAlign w:val="superscript"/>
          <w:lang w:eastAsia="et-EE"/>
        </w:rPr>
        <w:footnoteReference w:id="18"/>
      </w:r>
      <w:r w:rsidR="005D4F1C" w:rsidRPr="00C50854">
        <w:rPr>
          <w:i/>
          <w:lang w:eastAsia="et-EE"/>
        </w:rPr>
        <w:t xml:space="preserve">; </w:t>
      </w:r>
      <w:proofErr w:type="spellStart"/>
      <w:r w:rsidR="005D4F1C" w:rsidRPr="00C50854">
        <w:rPr>
          <w:i/>
        </w:rPr>
        <w:t>vectoring</w:t>
      </w:r>
      <w:proofErr w:type="spellEnd"/>
      <w:r w:rsidR="000A7B95" w:rsidRPr="00C50854">
        <w:rPr>
          <w:rStyle w:val="Allmrkuseviide"/>
          <w:i/>
        </w:rPr>
        <w:footnoteReference w:id="19"/>
      </w:r>
      <w:r w:rsidR="005D4F1C" w:rsidRPr="00C50854">
        <w:rPr>
          <w:i/>
        </w:rPr>
        <w:t xml:space="preserve">, </w:t>
      </w:r>
      <w:proofErr w:type="spellStart"/>
      <w:r w:rsidR="005D4F1C" w:rsidRPr="00C50854">
        <w:rPr>
          <w:i/>
        </w:rPr>
        <w:t>G</w:t>
      </w:r>
      <w:r w:rsidR="007770C8" w:rsidRPr="00C50854">
        <w:rPr>
          <w:i/>
        </w:rPr>
        <w:t>.</w:t>
      </w:r>
      <w:r w:rsidR="005D4F1C" w:rsidRPr="00C50854">
        <w:rPr>
          <w:i/>
        </w:rPr>
        <w:t>Fast</w:t>
      </w:r>
      <w:proofErr w:type="spellEnd"/>
      <w:r w:rsidR="000A7B95" w:rsidRPr="00C50854">
        <w:rPr>
          <w:rStyle w:val="Allmrkuseviide"/>
          <w:i/>
        </w:rPr>
        <w:footnoteReference w:id="20"/>
      </w:r>
      <w:r w:rsidR="005D4F1C" w:rsidRPr="00C50854">
        <w:rPr>
          <w:lang w:eastAsia="et-EE"/>
        </w:rPr>
        <w:t xml:space="preserve"> </w:t>
      </w:r>
      <w:r w:rsidR="00D95E36" w:rsidRPr="00C50854">
        <w:rPr>
          <w:lang w:eastAsia="et-EE"/>
        </w:rPr>
        <w:noBreakHyphen/>
        <w:t>tehnoloogiaga sedavõrd, et selle vahendusel saab pakkuda lairibateenuseid.</w:t>
      </w:r>
      <w:r w:rsidR="001375D6" w:rsidRPr="00C50854">
        <w:rPr>
          <w:lang w:eastAsia="et-EE"/>
        </w:rPr>
        <w:t xml:space="preserve"> </w:t>
      </w:r>
      <w:r w:rsidR="005D4F1C" w:rsidRPr="00C50854">
        <w:t xml:space="preserve">Selle tulemusena on vaskkaabli läbilaskevõime mitmekümnekordistunud. Paraku on tänaseks jõudnud areng sinnamaale, kus tulevad vastu vaskkaabli füüsikalised omadused ning vaskkaabli kaudu </w:t>
      </w:r>
      <w:r w:rsidR="002435F0" w:rsidRPr="00C50854">
        <w:t xml:space="preserve">andmesidekiirusi </w:t>
      </w:r>
      <w:r w:rsidR="005D4F1C" w:rsidRPr="00C50854">
        <w:t xml:space="preserve">kasvatada pikkadel vahemaadel ei ole </w:t>
      </w:r>
      <w:r w:rsidR="00D23DCC" w:rsidRPr="00C50854">
        <w:t>hetkel saada oleva tehnoloogia</w:t>
      </w:r>
      <w:r w:rsidR="002435F0" w:rsidRPr="00C50854">
        <w:t>ga</w:t>
      </w:r>
      <w:r w:rsidR="00D23DCC" w:rsidRPr="00C50854">
        <w:t xml:space="preserve"> </w:t>
      </w:r>
      <w:r w:rsidR="002435F0" w:rsidRPr="00C50854">
        <w:t xml:space="preserve">üle 500 m kaabliga </w:t>
      </w:r>
      <w:r w:rsidR="005D4F1C" w:rsidRPr="00C50854">
        <w:t>võimalik.</w:t>
      </w:r>
      <w:r w:rsidR="00135E6A" w:rsidRPr="00C50854">
        <w:t xml:space="preserve"> </w:t>
      </w:r>
    </w:p>
    <w:p w14:paraId="350F84A0" w14:textId="14001368" w:rsidR="00D76382" w:rsidRPr="00C50854" w:rsidRDefault="00D76382" w:rsidP="00D76382">
      <w:pPr>
        <w:suppressAutoHyphens w:val="0"/>
        <w:autoSpaceDE w:val="0"/>
        <w:autoSpaceDN w:val="0"/>
        <w:adjustRightInd w:val="0"/>
        <w:spacing w:before="120" w:after="120"/>
        <w:ind w:left="360"/>
        <w:jc w:val="both"/>
        <w:rPr>
          <w:lang w:eastAsia="et-EE"/>
        </w:rPr>
      </w:pPr>
      <w:r w:rsidRPr="00C50854">
        <w:rPr>
          <w:noProof/>
        </w:rPr>
        <w:drawing>
          <wp:inline distT="0" distB="0" distL="0" distR="0" wp14:anchorId="0570A3F9" wp14:editId="07ED5D90">
            <wp:extent cx="5609070" cy="2877820"/>
            <wp:effectExtent l="0" t="0" r="0" b="0"/>
            <wp:docPr id="62" name="Pil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7571" cy="2907835"/>
                    </a:xfrm>
                    <a:prstGeom prst="rect">
                      <a:avLst/>
                    </a:prstGeom>
                  </pic:spPr>
                </pic:pic>
              </a:graphicData>
            </a:graphic>
          </wp:inline>
        </w:drawing>
      </w:r>
    </w:p>
    <w:p w14:paraId="61F53F64" w14:textId="4ADBE470" w:rsidR="00D76382" w:rsidRPr="00C50854" w:rsidRDefault="00D76382" w:rsidP="00D76382">
      <w:pPr>
        <w:pStyle w:val="Pealdis"/>
        <w:rPr>
          <w:b w:val="0"/>
          <w:lang w:eastAsia="et-EE"/>
        </w:rPr>
      </w:pPr>
      <w:r w:rsidRPr="00C50854">
        <w:t xml:space="preserve">Joonis </w:t>
      </w:r>
      <w:fldSimple w:instr=" SEQ Joonis \* ARABIC ">
        <w:r w:rsidR="00AC345F" w:rsidRPr="00C50854">
          <w:rPr>
            <w:noProof/>
          </w:rPr>
          <w:t>1</w:t>
        </w:r>
      </w:fldSimple>
      <w:r w:rsidR="00C51076" w:rsidRPr="00C50854">
        <w:rPr>
          <w:noProof/>
        </w:rPr>
        <w:t>.</w:t>
      </w:r>
      <w:r w:rsidRPr="00C50854">
        <w:t xml:space="preserve"> </w:t>
      </w:r>
      <w:r w:rsidR="001044F1" w:rsidRPr="00C50854">
        <w:rPr>
          <w:b w:val="0"/>
        </w:rPr>
        <w:t>J</w:t>
      </w:r>
      <w:r w:rsidRPr="00C50854">
        <w:rPr>
          <w:b w:val="0"/>
        </w:rPr>
        <w:t>uurdepääsuliinide pikkus</w:t>
      </w:r>
      <w:r w:rsidRPr="00C50854">
        <w:t xml:space="preserve"> </w:t>
      </w:r>
      <w:r w:rsidRPr="00C50854">
        <w:rPr>
          <w:b w:val="0"/>
        </w:rPr>
        <w:t>erinevate tehnoloogiate puhul</w:t>
      </w:r>
    </w:p>
    <w:p w14:paraId="133B718F" w14:textId="4C7ED5D0" w:rsidR="006D3701" w:rsidRPr="00C50854" w:rsidRDefault="006D3701"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Olemasolevate vaskkaablite kasutamine kaasaegsete tehnoloogiatega VDSL2 ja </w:t>
      </w:r>
      <w:proofErr w:type="spellStart"/>
      <w:r w:rsidRPr="00C50854">
        <w:rPr>
          <w:lang w:eastAsia="et-EE"/>
        </w:rPr>
        <w:t>G.Fast</w:t>
      </w:r>
      <w:proofErr w:type="spellEnd"/>
      <w:r w:rsidRPr="00C50854">
        <w:rPr>
          <w:lang w:eastAsia="et-EE"/>
        </w:rPr>
        <w:t>. Tänu tehnoloogilistele arengutele on algselt vaid telefoniteenuse osutamiseks mõeldud vaskkaabli paarid leidnud laialdast kasutamist lairibateenuste osutamiseks. Nii on alates aastast 2000</w:t>
      </w:r>
      <w:r w:rsidR="00FD2701" w:rsidRPr="00C50854">
        <w:rPr>
          <w:lang w:eastAsia="et-EE"/>
        </w:rPr>
        <w:t>.</w:t>
      </w:r>
      <w:r w:rsidRPr="00C50854">
        <w:rPr>
          <w:lang w:eastAsia="et-EE"/>
        </w:rPr>
        <w:t xml:space="preserve"> Telia pakkunud ADSL, ADSL2 ja ADSL2+ põhiseid teenuseid. Viimasel paaril aastal on Eesti turule jõudnud uus vasetehnoloogia põlvkond VDSL2, millele aastal 2016</w:t>
      </w:r>
      <w:r w:rsidR="00FD2701" w:rsidRPr="00C50854">
        <w:rPr>
          <w:lang w:eastAsia="et-EE"/>
        </w:rPr>
        <w:t>.</w:t>
      </w:r>
      <w:r w:rsidRPr="00C50854">
        <w:rPr>
          <w:lang w:eastAsia="et-EE"/>
        </w:rPr>
        <w:t xml:space="preserve"> lisandus </w:t>
      </w:r>
      <w:proofErr w:type="spellStart"/>
      <w:r w:rsidRPr="00C50854">
        <w:rPr>
          <w:lang w:eastAsia="et-EE"/>
        </w:rPr>
        <w:t>G.Fast</w:t>
      </w:r>
      <w:proofErr w:type="spellEnd"/>
      <w:r w:rsidRPr="00C50854">
        <w:rPr>
          <w:lang w:eastAsia="et-EE"/>
        </w:rPr>
        <w:t xml:space="preserve">. Tänu mainitud uutele lairibatehnoloogiatele on võimalik olemasolevatel vaskkaabli ühendustel tõsta internetiühenduste kiirusi VDSL2 puhul tasemele 60/20 Mbit/s ja </w:t>
      </w:r>
      <w:proofErr w:type="spellStart"/>
      <w:r w:rsidRPr="00C50854">
        <w:rPr>
          <w:lang w:eastAsia="et-EE"/>
        </w:rPr>
        <w:t>G.Fast</w:t>
      </w:r>
      <w:proofErr w:type="spellEnd"/>
      <w:r w:rsidRPr="00C50854">
        <w:rPr>
          <w:lang w:eastAsia="et-EE"/>
        </w:rPr>
        <w:t xml:space="preserve"> puhul tasemele 200/100 Mbit/s ja enam. Määravaks saab antud juhul kliendiliini vasepaaride pikkus (VDSL2 eeldab liini &lt; 1 km; </w:t>
      </w:r>
      <w:proofErr w:type="spellStart"/>
      <w:r w:rsidRPr="00C50854">
        <w:rPr>
          <w:lang w:eastAsia="et-EE"/>
        </w:rPr>
        <w:t>G</w:t>
      </w:r>
      <w:r w:rsidR="00AC6F81" w:rsidRPr="00C50854">
        <w:rPr>
          <w:lang w:eastAsia="et-EE"/>
        </w:rPr>
        <w:t>.</w:t>
      </w:r>
      <w:r w:rsidRPr="00C50854">
        <w:rPr>
          <w:lang w:eastAsia="et-EE"/>
        </w:rPr>
        <w:t>Fast</w:t>
      </w:r>
      <w:proofErr w:type="spellEnd"/>
      <w:r w:rsidRPr="00C50854">
        <w:rPr>
          <w:lang w:eastAsia="et-EE"/>
        </w:rPr>
        <w:t xml:space="preserve"> liini &lt; </w:t>
      </w:r>
      <w:r w:rsidR="0038581E" w:rsidRPr="00C50854">
        <w:rPr>
          <w:lang w:eastAsia="et-EE"/>
        </w:rPr>
        <w:t>5</w:t>
      </w:r>
      <w:r w:rsidRPr="00C50854">
        <w:rPr>
          <w:lang w:eastAsia="et-EE"/>
        </w:rPr>
        <w:t>00 meetri). Mõlema tehnoloogia rakendamine</w:t>
      </w:r>
      <w:r w:rsidR="0038581E" w:rsidRPr="00C50854">
        <w:rPr>
          <w:lang w:eastAsia="et-EE"/>
        </w:rPr>
        <w:t xml:space="preserve"> </w:t>
      </w:r>
      <w:r w:rsidRPr="00C50854">
        <w:rPr>
          <w:lang w:eastAsia="et-EE"/>
        </w:rPr>
        <w:t>piirdub seadmete osalise vahetamisega teenusepakkuja võrgusõlmes ja kliendiseadme ruuteri vahetusega. Seega on tegemist odava, kuid siiski piiratud võimalustega võrgu uuend</w:t>
      </w:r>
      <w:r w:rsidR="00FD2701" w:rsidRPr="00C50854">
        <w:rPr>
          <w:lang w:eastAsia="et-EE"/>
        </w:rPr>
        <w:t>u</w:t>
      </w:r>
      <w:r w:rsidRPr="00C50854">
        <w:rPr>
          <w:lang w:eastAsia="et-EE"/>
        </w:rPr>
        <w:t>sega, tänu millele on võimalik tiheasustusega piirkondades internetiühenduste kiirusi tõsta. Selle eelduseks on siiski fiiberoptilise ühenduse jõudmine olemasolevasse sidesõlme</w:t>
      </w:r>
      <w:r w:rsidR="0071015A" w:rsidRPr="00C50854">
        <w:rPr>
          <w:lang w:eastAsia="et-EE"/>
        </w:rPr>
        <w:t xml:space="preserve"> või uutesse sidesõlmedesse</w:t>
      </w:r>
      <w:r w:rsidRPr="00C50854">
        <w:rPr>
          <w:lang w:eastAsia="et-EE"/>
        </w:rPr>
        <w:t xml:space="preserve">, millest edasi kulgevad vaskkaablid </w:t>
      </w:r>
      <w:r w:rsidR="002A5D20" w:rsidRPr="00C50854">
        <w:rPr>
          <w:lang w:eastAsia="et-EE"/>
        </w:rPr>
        <w:t>lõppkasutaja</w:t>
      </w:r>
      <w:r w:rsidRPr="00C50854">
        <w:rPr>
          <w:lang w:eastAsia="et-EE"/>
        </w:rPr>
        <w:t>ni. Arvestades tehnoloogia piiratud võimekus</w:t>
      </w:r>
      <w:r w:rsidR="00FD2701" w:rsidRPr="00C50854">
        <w:rPr>
          <w:lang w:eastAsia="et-EE"/>
        </w:rPr>
        <w:t>ega</w:t>
      </w:r>
      <w:r w:rsidRPr="00C50854">
        <w:rPr>
          <w:lang w:eastAsia="et-EE"/>
        </w:rPr>
        <w:t xml:space="preserve"> sobib selline lahendus pigem tiheasustatud </w:t>
      </w:r>
      <w:r w:rsidR="007770C8" w:rsidRPr="00C50854">
        <w:rPr>
          <w:lang w:eastAsia="et-EE"/>
        </w:rPr>
        <w:t>piirkonda</w:t>
      </w:r>
      <w:r w:rsidRPr="00C50854">
        <w:rPr>
          <w:lang w:eastAsia="et-EE"/>
        </w:rPr>
        <w:t>de</w:t>
      </w:r>
      <w:r w:rsidR="007770C8" w:rsidRPr="00C50854">
        <w:rPr>
          <w:lang w:eastAsia="et-EE"/>
        </w:rPr>
        <w:t>s</w:t>
      </w:r>
      <w:r w:rsidRPr="00C50854">
        <w:rPr>
          <w:lang w:eastAsia="et-EE"/>
        </w:rPr>
        <w:t xml:space="preserve"> </w:t>
      </w:r>
      <w:r w:rsidR="007770C8" w:rsidRPr="00C50854">
        <w:rPr>
          <w:lang w:eastAsia="et-EE"/>
        </w:rPr>
        <w:t xml:space="preserve">pakutavate teenuste </w:t>
      </w:r>
      <w:r w:rsidRPr="00C50854">
        <w:rPr>
          <w:lang w:eastAsia="et-EE"/>
        </w:rPr>
        <w:t>andmesidekiiruste parandamiseks.</w:t>
      </w:r>
      <w:r w:rsidR="00EC5511" w:rsidRPr="00C50854">
        <w:rPr>
          <w:rStyle w:val="Allmrkuseviide"/>
          <w:lang w:eastAsia="et-EE"/>
        </w:rPr>
        <w:footnoteReference w:id="21"/>
      </w:r>
    </w:p>
    <w:p w14:paraId="55810FE5" w14:textId="0E307EE8" w:rsidR="003A36F4" w:rsidRPr="00C50854" w:rsidRDefault="0054700C" w:rsidP="00311E1F">
      <w:pPr>
        <w:numPr>
          <w:ilvl w:val="0"/>
          <w:numId w:val="13"/>
        </w:numPr>
        <w:suppressAutoHyphens w:val="0"/>
        <w:autoSpaceDE w:val="0"/>
        <w:autoSpaceDN w:val="0"/>
        <w:adjustRightInd w:val="0"/>
        <w:spacing w:before="120" w:after="120"/>
        <w:jc w:val="both"/>
        <w:rPr>
          <w:lang w:eastAsia="et-EE"/>
        </w:rPr>
      </w:pPr>
      <w:proofErr w:type="spellStart"/>
      <w:r w:rsidRPr="00C50854">
        <w:t>G</w:t>
      </w:r>
      <w:r w:rsidR="007770C8" w:rsidRPr="00C50854">
        <w:t>.F</w:t>
      </w:r>
      <w:r w:rsidRPr="00C50854">
        <w:t>ast</w:t>
      </w:r>
      <w:proofErr w:type="spellEnd"/>
      <w:r w:rsidR="00B37401" w:rsidRPr="00C50854">
        <w:t xml:space="preserve"> tehnoloogiat</w:t>
      </w:r>
      <w:r w:rsidRPr="00C50854">
        <w:t xml:space="preserve"> peetakse uue põlvkonna DSL-tehnoloogiaks ja see hõlmab kõiki VDSL-i pakutavaid funktsioone, sealhulgas vektoriseerimist, mis hõlbustab </w:t>
      </w:r>
      <w:r w:rsidR="0095362D" w:rsidRPr="00C50854">
        <w:t xml:space="preserve">signaali </w:t>
      </w:r>
      <w:proofErr w:type="spellStart"/>
      <w:r w:rsidR="0095362D" w:rsidRPr="00C50854">
        <w:t>ülekos</w:t>
      </w:r>
      <w:r w:rsidR="00290F25" w:rsidRPr="00C50854">
        <w:t>tvuse</w:t>
      </w:r>
      <w:r w:rsidR="0095362D" w:rsidRPr="00C50854">
        <w:t>st</w:t>
      </w:r>
      <w:proofErr w:type="spellEnd"/>
      <w:r w:rsidR="0095362D" w:rsidRPr="00C50854">
        <w:t xml:space="preserve"> </w:t>
      </w:r>
      <w:r w:rsidRPr="00C50854">
        <w:t>(</w:t>
      </w:r>
      <w:r w:rsidRPr="00C50854">
        <w:rPr>
          <w:i/>
        </w:rPr>
        <w:t>FEXT</w:t>
      </w:r>
      <w:r w:rsidR="0095362D" w:rsidRPr="00C50854">
        <w:t xml:space="preserve"> </w:t>
      </w:r>
      <w:proofErr w:type="spellStart"/>
      <w:r w:rsidR="0095362D" w:rsidRPr="00C50854">
        <w:rPr>
          <w:i/>
        </w:rPr>
        <w:t>far</w:t>
      </w:r>
      <w:proofErr w:type="spellEnd"/>
      <w:r w:rsidR="0095362D" w:rsidRPr="00C50854">
        <w:rPr>
          <w:i/>
        </w:rPr>
        <w:t xml:space="preserve"> end </w:t>
      </w:r>
      <w:proofErr w:type="spellStart"/>
      <w:r w:rsidR="0095362D" w:rsidRPr="00C50854">
        <w:rPr>
          <w:i/>
        </w:rPr>
        <w:t>crosstalk</w:t>
      </w:r>
      <w:proofErr w:type="spellEnd"/>
      <w:r w:rsidR="0095362D" w:rsidRPr="00C50854">
        <w:t xml:space="preserve"> </w:t>
      </w:r>
      <w:r w:rsidR="006B4C33" w:rsidRPr="00C50854">
        <w:rPr>
          <w:rStyle w:val="Allmrkuseviide"/>
        </w:rPr>
        <w:footnoteReference w:id="22"/>
      </w:r>
      <w:r w:rsidRPr="00C50854">
        <w:t>) põhjustatud häirete leevendamist.</w:t>
      </w:r>
      <w:r w:rsidR="005505C0" w:rsidRPr="00C50854">
        <w:rPr>
          <w:rStyle w:val="Allmrkuseviide"/>
        </w:rPr>
        <w:footnoteReference w:id="23"/>
      </w:r>
      <w:r w:rsidRPr="00C50854">
        <w:t xml:space="preserve"> </w:t>
      </w:r>
    </w:p>
    <w:p w14:paraId="6A46E0C3" w14:textId="68895B48" w:rsidR="007D5F35" w:rsidRPr="00C50854" w:rsidRDefault="00D71D9C"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 xml:space="preserve">Kiudoptiline </w:t>
      </w:r>
      <w:r w:rsidR="00B37401" w:rsidRPr="00C50854">
        <w:rPr>
          <w:lang w:eastAsia="et-EE"/>
        </w:rPr>
        <w:t xml:space="preserve">liin </w:t>
      </w:r>
      <w:r w:rsidRPr="00C50854">
        <w:rPr>
          <w:lang w:eastAsia="et-EE"/>
        </w:rPr>
        <w:t>või muu tagasiühendustehnoloogia pakub kiiret andmesideühendust DSLAM-iga ja juurdepääsukaabli üksikud juhtmepaarid pakuvad otsest ühendust üksikute kodudega. Digitaalse abonendiliini juurdepääsu multiplekser (DSLAM) võib asuda keskuses (CO) või</w:t>
      </w:r>
      <w:r w:rsidR="005A68FC" w:rsidRPr="00C50854">
        <w:rPr>
          <w:lang w:eastAsia="et-EE"/>
        </w:rPr>
        <w:t xml:space="preserve"> tänavasõlme kapis</w:t>
      </w:r>
      <w:r w:rsidR="00717843" w:rsidRPr="00C50854" w:rsidDel="00717843">
        <w:rPr>
          <w:lang w:eastAsia="et-EE"/>
        </w:rPr>
        <w:t xml:space="preserve"> </w:t>
      </w:r>
      <w:r w:rsidR="005A68FC" w:rsidRPr="00C50854">
        <w:rPr>
          <w:lang w:eastAsia="et-EE"/>
        </w:rPr>
        <w:t>(</w:t>
      </w:r>
      <w:proofErr w:type="spellStart"/>
      <w:r w:rsidRPr="00C50854">
        <w:rPr>
          <w:i/>
          <w:lang w:eastAsia="et-EE"/>
        </w:rPr>
        <w:t>street</w:t>
      </w:r>
      <w:proofErr w:type="spellEnd"/>
      <w:r w:rsidRPr="00C50854">
        <w:rPr>
          <w:i/>
          <w:lang w:eastAsia="et-EE"/>
        </w:rPr>
        <w:t xml:space="preserve"> </w:t>
      </w:r>
      <w:proofErr w:type="spellStart"/>
      <w:r w:rsidRPr="00C50854">
        <w:rPr>
          <w:i/>
          <w:lang w:eastAsia="et-EE"/>
        </w:rPr>
        <w:t>cabinetis</w:t>
      </w:r>
      <w:proofErr w:type="spellEnd"/>
      <w:r w:rsidR="005A68FC" w:rsidRPr="00C50854">
        <w:rPr>
          <w:i/>
          <w:lang w:eastAsia="et-EE"/>
        </w:rPr>
        <w:t>)</w:t>
      </w:r>
      <w:r w:rsidRPr="00C50854">
        <w:rPr>
          <w:lang w:eastAsia="et-EE"/>
        </w:rPr>
        <w:t xml:space="preserve">. Kui kiudoptiline </w:t>
      </w:r>
      <w:r w:rsidR="00794560" w:rsidRPr="00C50854">
        <w:rPr>
          <w:lang w:eastAsia="et-EE"/>
        </w:rPr>
        <w:t xml:space="preserve">liin </w:t>
      </w:r>
      <w:r w:rsidRPr="00C50854">
        <w:rPr>
          <w:lang w:eastAsia="et-EE"/>
        </w:rPr>
        <w:t xml:space="preserve">tagab andmeühenduse DSLAM-iga ja see asub </w:t>
      </w:r>
      <w:r w:rsidR="005A68FC" w:rsidRPr="00C50854">
        <w:rPr>
          <w:lang w:eastAsia="et-EE"/>
        </w:rPr>
        <w:t>tänavasõlme kapis</w:t>
      </w:r>
      <w:r w:rsidRPr="00C50854">
        <w:rPr>
          <w:lang w:eastAsia="et-EE"/>
        </w:rPr>
        <w:t>, nimetatakse seda fiiber</w:t>
      </w:r>
      <w:r w:rsidR="00717843" w:rsidRPr="00C50854">
        <w:rPr>
          <w:lang w:eastAsia="et-EE"/>
        </w:rPr>
        <w:t xml:space="preserve"> võrgusõlmeni (</w:t>
      </w:r>
      <w:r w:rsidRPr="00C50854">
        <w:rPr>
          <w:lang w:eastAsia="et-EE"/>
        </w:rPr>
        <w:t>FTTN) või fiiber</w:t>
      </w:r>
      <w:r w:rsidR="00717843" w:rsidRPr="00C50854">
        <w:rPr>
          <w:lang w:eastAsia="et-EE"/>
        </w:rPr>
        <w:t xml:space="preserve"> tänavajaotuskapini</w:t>
      </w:r>
      <w:r w:rsidR="00717843" w:rsidRPr="00C50854" w:rsidDel="00717843">
        <w:rPr>
          <w:lang w:eastAsia="et-EE"/>
        </w:rPr>
        <w:t xml:space="preserve"> </w:t>
      </w:r>
      <w:r w:rsidRPr="00C50854">
        <w:rPr>
          <w:lang w:eastAsia="et-EE"/>
        </w:rPr>
        <w:t xml:space="preserve">(FTTC); kui see asub hoones, viidatakse sellele kui ehitisele (FTTB). Lisaks VDSL2-le võivad kaablis olla ka muud signaalid, näiteks ADSL2, </w:t>
      </w:r>
      <w:r w:rsidR="00717843" w:rsidRPr="00C50854">
        <w:rPr>
          <w:lang w:eastAsia="et-EE"/>
        </w:rPr>
        <w:t xml:space="preserve">ADSL2+ </w:t>
      </w:r>
      <w:r w:rsidR="00716C32" w:rsidRPr="00C50854">
        <w:rPr>
          <w:lang w:eastAsia="et-EE"/>
        </w:rPr>
        <w:t xml:space="preserve">või </w:t>
      </w:r>
      <w:r w:rsidRPr="00C50854">
        <w:rPr>
          <w:lang w:eastAsia="et-EE"/>
        </w:rPr>
        <w:t xml:space="preserve">SHDSL. Need VDSL2-välised signaalid tekitavad vektorjoonte suhtes võõraid </w:t>
      </w:r>
      <w:proofErr w:type="spellStart"/>
      <w:r w:rsidR="00196E84" w:rsidRPr="00C50854">
        <w:rPr>
          <w:lang w:eastAsia="et-EE"/>
        </w:rPr>
        <w:t>üle</w:t>
      </w:r>
      <w:r w:rsidR="007A3ACB" w:rsidRPr="00C50854">
        <w:rPr>
          <w:lang w:eastAsia="et-EE"/>
        </w:rPr>
        <w:t>kostvusi</w:t>
      </w:r>
      <w:proofErr w:type="spellEnd"/>
      <w:r w:rsidRPr="00C50854">
        <w:rPr>
          <w:lang w:eastAsia="et-EE"/>
        </w:rPr>
        <w:t>.</w:t>
      </w:r>
      <w:r w:rsidR="007A3ACB" w:rsidRPr="00C50854">
        <w:rPr>
          <w:lang w:eastAsia="et-EE"/>
        </w:rPr>
        <w:t xml:space="preserve">  </w:t>
      </w:r>
      <w:proofErr w:type="spellStart"/>
      <w:r w:rsidR="00196E84" w:rsidRPr="00C50854">
        <w:rPr>
          <w:lang w:eastAsia="et-EE"/>
        </w:rPr>
        <w:t>Üle</w:t>
      </w:r>
      <w:r w:rsidR="007A3ACB" w:rsidRPr="00C50854">
        <w:rPr>
          <w:lang w:eastAsia="et-EE"/>
        </w:rPr>
        <w:t>kostvuste</w:t>
      </w:r>
      <w:proofErr w:type="spellEnd"/>
      <w:r w:rsidR="007A3ACB" w:rsidRPr="00C50854">
        <w:rPr>
          <w:lang w:eastAsia="et-EE"/>
        </w:rPr>
        <w:t xml:space="preserve"> taset ja jõudlust saab parandada müra summutamisega, mille puhul vasta</w:t>
      </w:r>
      <w:r w:rsidR="00794560" w:rsidRPr="00C50854">
        <w:rPr>
          <w:lang w:eastAsia="et-EE"/>
        </w:rPr>
        <w:t>nd</w:t>
      </w:r>
      <w:r w:rsidR="007A3ACB" w:rsidRPr="00C50854">
        <w:rPr>
          <w:lang w:eastAsia="et-EE"/>
        </w:rPr>
        <w:t xml:space="preserve">faasist antakse signaal, mis vähendab müra efekti. Süsteemis saab kasutada ainult ühtse sagedusega signaali, sest mida rohkem on erinevaid sagedusi, seda rohkem on häireid ehk </w:t>
      </w:r>
      <w:proofErr w:type="spellStart"/>
      <w:r w:rsidR="00196E84" w:rsidRPr="00C50854">
        <w:rPr>
          <w:lang w:eastAsia="et-EE"/>
        </w:rPr>
        <w:t>üle</w:t>
      </w:r>
      <w:r w:rsidR="007A3ACB" w:rsidRPr="00C50854">
        <w:rPr>
          <w:lang w:eastAsia="et-EE"/>
        </w:rPr>
        <w:t>kostvust</w:t>
      </w:r>
      <w:proofErr w:type="spellEnd"/>
      <w:r w:rsidR="007A3ACB" w:rsidRPr="00C50854">
        <w:rPr>
          <w:lang w:eastAsia="et-EE"/>
        </w:rPr>
        <w:t xml:space="preserve">. Kõige enam mõjutab see kõrge sagedusega signaale. Sellest tulenevalt ei sobi nimetatud tehnoloogia jagatud vaskpaar </w:t>
      </w:r>
      <w:r w:rsidR="007A3ACB" w:rsidRPr="00C50854">
        <w:rPr>
          <w:i/>
          <w:lang w:eastAsia="et-EE"/>
        </w:rPr>
        <w:t>(</w:t>
      </w:r>
      <w:proofErr w:type="spellStart"/>
      <w:r w:rsidR="007A3ACB" w:rsidRPr="00C50854">
        <w:rPr>
          <w:i/>
          <w:lang w:eastAsia="et-EE"/>
        </w:rPr>
        <w:t>Local</w:t>
      </w:r>
      <w:proofErr w:type="spellEnd"/>
      <w:r w:rsidR="007A3ACB" w:rsidRPr="00C50854">
        <w:rPr>
          <w:i/>
          <w:lang w:eastAsia="et-EE"/>
        </w:rPr>
        <w:t xml:space="preserve">-loop </w:t>
      </w:r>
      <w:proofErr w:type="spellStart"/>
      <w:r w:rsidR="007A3ACB" w:rsidRPr="00C50854">
        <w:rPr>
          <w:i/>
          <w:lang w:eastAsia="et-EE"/>
        </w:rPr>
        <w:t>unbundling</w:t>
      </w:r>
      <w:proofErr w:type="spellEnd"/>
      <w:r w:rsidR="007A3ACB" w:rsidRPr="00C50854">
        <w:rPr>
          <w:i/>
          <w:lang w:eastAsia="et-EE"/>
        </w:rPr>
        <w:t>)</w:t>
      </w:r>
      <w:r w:rsidR="007A3ACB" w:rsidRPr="00C50854">
        <w:rPr>
          <w:lang w:eastAsia="et-EE"/>
        </w:rPr>
        <w:t xml:space="preserve"> liinide puhul.</w:t>
      </w:r>
    </w:p>
    <w:p w14:paraId="6598356D" w14:textId="07B0A1F2" w:rsidR="00166DB9" w:rsidRPr="00C50854" w:rsidRDefault="00CC59E7"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Kuna tehniliselt saab </w:t>
      </w:r>
      <w:r w:rsidR="009A39F8" w:rsidRPr="00C50854">
        <w:rPr>
          <w:lang w:eastAsia="et-EE"/>
        </w:rPr>
        <w:t xml:space="preserve">sideettevõte </w:t>
      </w:r>
      <w:r w:rsidRPr="00C50854">
        <w:rPr>
          <w:lang w:eastAsia="et-EE"/>
        </w:rPr>
        <w:t xml:space="preserve">mõõta ja elimineerida kaablite </w:t>
      </w:r>
      <w:proofErr w:type="spellStart"/>
      <w:r w:rsidR="00196E84" w:rsidRPr="00C50854">
        <w:rPr>
          <w:lang w:eastAsia="et-EE"/>
        </w:rPr>
        <w:t>üle</w:t>
      </w:r>
      <w:r w:rsidRPr="00C50854">
        <w:rPr>
          <w:lang w:eastAsia="et-EE"/>
        </w:rPr>
        <w:t>kostvust</w:t>
      </w:r>
      <w:proofErr w:type="spellEnd"/>
      <w:r w:rsidRPr="00C50854">
        <w:rPr>
          <w:lang w:eastAsia="et-EE"/>
        </w:rPr>
        <w:t xml:space="preserve"> üksnes enda kasutuses olevate vaskkaablipaaride osas, pole võimalik </w:t>
      </w:r>
      <w:proofErr w:type="spellStart"/>
      <w:r w:rsidRPr="00C50854">
        <w:rPr>
          <w:i/>
          <w:iCs/>
          <w:lang w:eastAsia="et-EE"/>
        </w:rPr>
        <w:t>ve</w:t>
      </w:r>
      <w:r w:rsidR="005620AA" w:rsidRPr="00C50854">
        <w:rPr>
          <w:i/>
          <w:iCs/>
          <w:lang w:eastAsia="et-EE"/>
        </w:rPr>
        <w:t>c</w:t>
      </w:r>
      <w:r w:rsidRPr="00C50854">
        <w:rPr>
          <w:i/>
          <w:iCs/>
          <w:lang w:eastAsia="et-EE"/>
        </w:rPr>
        <w:t>toring</w:t>
      </w:r>
      <w:proofErr w:type="spellEnd"/>
      <w:r w:rsidRPr="00C50854">
        <w:rPr>
          <w:lang w:eastAsia="et-EE"/>
        </w:rPr>
        <w:t xml:space="preserve"> tehnoloogia kasutusele võtmise järgselt vasepaare enam välja rentida (välja saaks rentida üksnes vaskpaare, mida kasutatakse häälkõneks). Seega toob </w:t>
      </w:r>
      <w:proofErr w:type="spellStart"/>
      <w:r w:rsidR="00794560" w:rsidRPr="00C50854">
        <w:rPr>
          <w:i/>
          <w:iCs/>
          <w:lang w:eastAsia="et-EE"/>
        </w:rPr>
        <w:t>vectoring</w:t>
      </w:r>
      <w:proofErr w:type="spellEnd"/>
      <w:r w:rsidR="00794560" w:rsidRPr="00C50854">
        <w:rPr>
          <w:lang w:eastAsia="et-EE"/>
        </w:rPr>
        <w:t xml:space="preserve"> tehnoloogia </w:t>
      </w:r>
      <w:r w:rsidRPr="00C50854">
        <w:rPr>
          <w:lang w:eastAsia="et-EE"/>
        </w:rPr>
        <w:t xml:space="preserve">kasutuselevõtt paratamatult kaasa teiste side-ettevõtjate poolt vastavates võrgusõlmedes vasepaaride rentimise lõpetamise. Kui </w:t>
      </w:r>
      <w:r w:rsidR="002A5D20" w:rsidRPr="00C50854">
        <w:rPr>
          <w:lang w:eastAsia="et-EE"/>
        </w:rPr>
        <w:t>sideettevõte</w:t>
      </w:r>
      <w:r w:rsidRPr="00C50854">
        <w:rPr>
          <w:lang w:eastAsia="et-EE"/>
        </w:rPr>
        <w:t xml:space="preserve"> lülitaks võrgusõlme </w:t>
      </w:r>
      <w:r w:rsidR="007C30C8" w:rsidRPr="00C50854">
        <w:rPr>
          <w:lang w:eastAsia="et-EE"/>
        </w:rPr>
        <w:t>VDSL</w:t>
      </w:r>
      <w:r w:rsidR="007C30C8" w:rsidRPr="00C50854">
        <w:rPr>
          <w:i/>
          <w:lang w:eastAsia="et-EE"/>
        </w:rPr>
        <w:t xml:space="preserve"> </w:t>
      </w:r>
      <w:proofErr w:type="spellStart"/>
      <w:r w:rsidRPr="00C50854">
        <w:rPr>
          <w:i/>
          <w:lang w:eastAsia="et-EE"/>
        </w:rPr>
        <w:t>ve</w:t>
      </w:r>
      <w:r w:rsidR="007C30C8" w:rsidRPr="00C50854">
        <w:rPr>
          <w:i/>
          <w:lang w:eastAsia="et-EE"/>
        </w:rPr>
        <w:t>c</w:t>
      </w:r>
      <w:r w:rsidRPr="00C50854">
        <w:rPr>
          <w:i/>
          <w:lang w:eastAsia="et-EE"/>
        </w:rPr>
        <w:t>toring</w:t>
      </w:r>
      <w:proofErr w:type="spellEnd"/>
      <w:r w:rsidR="000F37A2" w:rsidRPr="00C50854">
        <w:rPr>
          <w:lang w:eastAsia="et-EE"/>
        </w:rPr>
        <w:t xml:space="preserve"> tehnoloogia </w:t>
      </w:r>
      <w:r w:rsidRPr="00C50854">
        <w:rPr>
          <w:lang w:eastAsia="et-EE"/>
        </w:rPr>
        <w:t xml:space="preserve">režiimi ja jätaks aktiivseks võõraste signaalidega </w:t>
      </w:r>
      <w:proofErr w:type="spellStart"/>
      <w:r w:rsidRPr="00C50854">
        <w:rPr>
          <w:lang w:eastAsia="et-EE"/>
        </w:rPr>
        <w:t>ülekostvus</w:t>
      </w:r>
      <w:proofErr w:type="spellEnd"/>
      <w:r w:rsidR="007770C8" w:rsidRPr="00C50854">
        <w:rPr>
          <w:lang w:eastAsia="et-EE"/>
        </w:rPr>
        <w:t>-</w:t>
      </w:r>
      <w:r w:rsidRPr="00C50854">
        <w:rPr>
          <w:lang w:eastAsia="et-EE"/>
        </w:rPr>
        <w:t xml:space="preserve">kontrollile mittealluvad vaskpaarid, siis osutuks võimatuks pakkuda kasutajatele </w:t>
      </w:r>
      <w:r w:rsidR="002435F0" w:rsidRPr="00C50854">
        <w:rPr>
          <w:lang w:eastAsia="et-EE"/>
        </w:rPr>
        <w:t xml:space="preserve">suuremate </w:t>
      </w:r>
      <w:r w:rsidRPr="00C50854">
        <w:rPr>
          <w:lang w:eastAsia="et-EE"/>
        </w:rPr>
        <w:t>andme</w:t>
      </w:r>
      <w:r w:rsidR="007770C8" w:rsidRPr="00C50854">
        <w:rPr>
          <w:lang w:eastAsia="et-EE"/>
        </w:rPr>
        <w:t>-</w:t>
      </w:r>
      <w:r w:rsidRPr="00C50854">
        <w:rPr>
          <w:lang w:eastAsia="et-EE"/>
        </w:rPr>
        <w:t>edastuskiirustega teenuseid.</w:t>
      </w:r>
    </w:p>
    <w:p w14:paraId="1076207E" w14:textId="47881699" w:rsidR="00477B2E" w:rsidRPr="00C50854" w:rsidRDefault="001375D6"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Valguskaabel juurdepääsuvõrk võimaldab </w:t>
      </w:r>
      <w:r w:rsidR="00F57059" w:rsidRPr="00C50854">
        <w:rPr>
          <w:lang w:eastAsia="et-EE"/>
        </w:rPr>
        <w:t>lõppkasutaja</w:t>
      </w:r>
      <w:r w:rsidRPr="00C50854">
        <w:rPr>
          <w:lang w:eastAsia="et-EE"/>
        </w:rPr>
        <w:t xml:space="preserve">tel tarbida suure kiirusega lairibateenuseid. </w:t>
      </w:r>
    </w:p>
    <w:p w14:paraId="1EC93C25" w14:textId="60D2EDE5" w:rsidR="00477B2E" w:rsidRPr="00C50854" w:rsidRDefault="00477B2E" w:rsidP="00311E1F">
      <w:pPr>
        <w:numPr>
          <w:ilvl w:val="0"/>
          <w:numId w:val="13"/>
        </w:numPr>
        <w:suppressAutoHyphens w:val="0"/>
        <w:spacing w:before="120" w:after="120"/>
        <w:rPr>
          <w:lang w:eastAsia="et-EE"/>
        </w:rPr>
      </w:pPr>
      <w:r w:rsidRPr="00C50854">
        <w:rPr>
          <w:lang w:eastAsia="et-EE"/>
        </w:rPr>
        <w:t xml:space="preserve"> Lisaks vaskpaaril ning valguskaablil põhinevale juurdepääsuvõrgule eksisteerib veel terve hulk alternatiivseid lokaalset juurdepääsu võimaldavaid sidevõrgu tehnoloogiaid:</w:t>
      </w:r>
    </w:p>
    <w:p w14:paraId="29151E07" w14:textId="77777777" w:rsidR="00477B2E" w:rsidRPr="00C50854" w:rsidRDefault="00477B2E" w:rsidP="00477B2E">
      <w:pPr>
        <w:numPr>
          <w:ilvl w:val="0"/>
          <w:numId w:val="3"/>
        </w:numPr>
        <w:suppressAutoHyphens w:val="0"/>
        <w:rPr>
          <w:lang w:eastAsia="et-EE"/>
        </w:rPr>
      </w:pPr>
      <w:r w:rsidRPr="00C50854">
        <w:rPr>
          <w:lang w:eastAsia="et-EE"/>
        </w:rPr>
        <w:t>kaabellevivõrk;</w:t>
      </w:r>
    </w:p>
    <w:p w14:paraId="2A2DAA11" w14:textId="77777777" w:rsidR="00477B2E" w:rsidRPr="00C50854" w:rsidRDefault="00477B2E" w:rsidP="00477B2E">
      <w:pPr>
        <w:numPr>
          <w:ilvl w:val="0"/>
          <w:numId w:val="3"/>
        </w:numPr>
        <w:suppressAutoHyphens w:val="0"/>
        <w:rPr>
          <w:lang w:eastAsia="et-EE"/>
        </w:rPr>
      </w:pPr>
      <w:r w:rsidRPr="00C50854">
        <w:rPr>
          <w:lang w:eastAsia="et-EE"/>
        </w:rPr>
        <w:t xml:space="preserve">raadiosidel põhinev juurdepääsuvõrk (FWA – </w:t>
      </w:r>
      <w:proofErr w:type="spellStart"/>
      <w:r w:rsidRPr="00C50854">
        <w:rPr>
          <w:i/>
          <w:lang w:eastAsia="et-EE"/>
        </w:rPr>
        <w:t>Fixed</w:t>
      </w:r>
      <w:proofErr w:type="spellEnd"/>
      <w:r w:rsidRPr="00C50854">
        <w:rPr>
          <w:i/>
          <w:lang w:eastAsia="et-EE"/>
        </w:rPr>
        <w:t xml:space="preserve"> </w:t>
      </w:r>
      <w:proofErr w:type="spellStart"/>
      <w:r w:rsidRPr="00C50854">
        <w:rPr>
          <w:i/>
          <w:lang w:eastAsia="et-EE"/>
        </w:rPr>
        <w:t>Wireless</w:t>
      </w:r>
      <w:proofErr w:type="spellEnd"/>
      <w:r w:rsidRPr="00C50854">
        <w:rPr>
          <w:i/>
          <w:lang w:eastAsia="et-EE"/>
        </w:rPr>
        <w:t xml:space="preserve"> Access</w:t>
      </w:r>
      <w:r w:rsidRPr="00C50854">
        <w:rPr>
          <w:lang w:eastAsia="et-EE"/>
        </w:rPr>
        <w:t>);</w:t>
      </w:r>
    </w:p>
    <w:p w14:paraId="34E21881" w14:textId="16FD4CA6" w:rsidR="00477B2E" w:rsidRPr="00C50854" w:rsidRDefault="00477B2E" w:rsidP="00477B2E">
      <w:pPr>
        <w:numPr>
          <w:ilvl w:val="0"/>
          <w:numId w:val="3"/>
        </w:numPr>
        <w:suppressAutoHyphens w:val="0"/>
        <w:rPr>
          <w:lang w:eastAsia="et-EE"/>
        </w:rPr>
      </w:pPr>
      <w:r w:rsidRPr="00C50854">
        <w:rPr>
          <w:lang w:eastAsia="et-EE"/>
        </w:rPr>
        <w:t>mobiiltelefonivõrk.</w:t>
      </w:r>
    </w:p>
    <w:p w14:paraId="0E7249B5" w14:textId="77777777" w:rsidR="00477B2E" w:rsidRPr="00C50854" w:rsidRDefault="00477B2E" w:rsidP="00477B2E">
      <w:pPr>
        <w:suppressAutoHyphens w:val="0"/>
        <w:ind w:left="720"/>
        <w:rPr>
          <w:lang w:eastAsia="et-EE"/>
        </w:rPr>
      </w:pPr>
    </w:p>
    <w:tbl>
      <w:tblPr>
        <w:tblW w:w="9129" w:type="dxa"/>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86"/>
        <w:gridCol w:w="1124"/>
        <w:gridCol w:w="1134"/>
        <w:gridCol w:w="1134"/>
        <w:gridCol w:w="1275"/>
        <w:gridCol w:w="1276"/>
      </w:tblGrid>
      <w:tr w:rsidR="00494562" w:rsidRPr="00C50854" w14:paraId="4946E76A" w14:textId="77777777" w:rsidTr="00BD3868">
        <w:trPr>
          <w:trHeight w:val="293"/>
        </w:trPr>
        <w:tc>
          <w:tcPr>
            <w:tcW w:w="3186" w:type="dxa"/>
            <w:shd w:val="clear" w:color="auto" w:fill="CCFFCC"/>
            <w:noWrap/>
            <w:vAlign w:val="center"/>
            <w:hideMark/>
          </w:tcPr>
          <w:p w14:paraId="199AEFE8" w14:textId="77777777" w:rsidR="00494562" w:rsidRPr="00C50854" w:rsidRDefault="00494562" w:rsidP="00494562">
            <w:pPr>
              <w:suppressAutoHyphens w:val="0"/>
              <w:spacing w:before="40" w:after="40"/>
              <w:ind w:left="180" w:hanging="180"/>
              <w:jc w:val="center"/>
              <w:rPr>
                <w:b/>
                <w:sz w:val="20"/>
                <w:szCs w:val="20"/>
                <w:lang w:eastAsia="et-EE"/>
              </w:rPr>
            </w:pPr>
            <w:r w:rsidRPr="00C50854">
              <w:rPr>
                <w:b/>
                <w:sz w:val="20"/>
                <w:szCs w:val="20"/>
                <w:lang w:eastAsia="et-EE"/>
              </w:rPr>
              <w:t>Juurdepääsuvõrgu tehnoloogia</w:t>
            </w:r>
          </w:p>
        </w:tc>
        <w:tc>
          <w:tcPr>
            <w:tcW w:w="1124" w:type="dxa"/>
            <w:shd w:val="clear" w:color="auto" w:fill="CCFFCC"/>
            <w:noWrap/>
            <w:hideMark/>
          </w:tcPr>
          <w:p w14:paraId="67F25FBC" w14:textId="2BF111B5" w:rsidR="00494562" w:rsidRPr="00C50854" w:rsidRDefault="00494562" w:rsidP="00494562">
            <w:pPr>
              <w:suppressAutoHyphens w:val="0"/>
              <w:spacing w:before="40" w:after="40"/>
              <w:ind w:left="180" w:hanging="180"/>
              <w:jc w:val="center"/>
              <w:rPr>
                <w:b/>
                <w:sz w:val="20"/>
                <w:szCs w:val="20"/>
                <w:lang w:eastAsia="et-EE"/>
              </w:rPr>
            </w:pPr>
            <w:r w:rsidRPr="00C50854">
              <w:rPr>
                <w:b/>
                <w:sz w:val="20"/>
                <w:szCs w:val="20"/>
                <w:lang w:eastAsia="et-EE"/>
              </w:rPr>
              <w:t>2015</w:t>
            </w:r>
          </w:p>
        </w:tc>
        <w:tc>
          <w:tcPr>
            <w:tcW w:w="1134" w:type="dxa"/>
            <w:shd w:val="clear" w:color="auto" w:fill="CCFFCC"/>
            <w:noWrap/>
            <w:hideMark/>
          </w:tcPr>
          <w:p w14:paraId="584FA1F0" w14:textId="0C05D9D9" w:rsidR="00494562" w:rsidRPr="00C50854" w:rsidRDefault="00494562" w:rsidP="00494562">
            <w:pPr>
              <w:suppressAutoHyphens w:val="0"/>
              <w:spacing w:before="40" w:after="40"/>
              <w:ind w:left="180" w:hanging="180"/>
              <w:jc w:val="center"/>
              <w:rPr>
                <w:b/>
                <w:sz w:val="20"/>
                <w:szCs w:val="20"/>
                <w:lang w:eastAsia="et-EE"/>
              </w:rPr>
            </w:pPr>
            <w:r w:rsidRPr="00C50854">
              <w:rPr>
                <w:b/>
                <w:sz w:val="20"/>
                <w:szCs w:val="20"/>
                <w:lang w:eastAsia="et-EE"/>
              </w:rPr>
              <w:t>2016</w:t>
            </w:r>
          </w:p>
        </w:tc>
        <w:tc>
          <w:tcPr>
            <w:tcW w:w="1134" w:type="dxa"/>
            <w:shd w:val="clear" w:color="auto" w:fill="CCFFCC"/>
            <w:noWrap/>
            <w:hideMark/>
          </w:tcPr>
          <w:p w14:paraId="02044A95" w14:textId="5B6E4CAD" w:rsidR="00494562" w:rsidRPr="00C50854" w:rsidRDefault="00494562" w:rsidP="00494562">
            <w:pPr>
              <w:suppressAutoHyphens w:val="0"/>
              <w:spacing w:before="40" w:after="40"/>
              <w:ind w:left="180" w:hanging="180"/>
              <w:jc w:val="center"/>
              <w:rPr>
                <w:b/>
                <w:sz w:val="20"/>
                <w:szCs w:val="20"/>
                <w:lang w:eastAsia="et-EE"/>
              </w:rPr>
            </w:pPr>
            <w:r w:rsidRPr="00C50854">
              <w:rPr>
                <w:b/>
                <w:sz w:val="20"/>
                <w:szCs w:val="20"/>
                <w:lang w:eastAsia="et-EE"/>
              </w:rPr>
              <w:t>2017</w:t>
            </w:r>
          </w:p>
        </w:tc>
        <w:tc>
          <w:tcPr>
            <w:tcW w:w="1275" w:type="dxa"/>
            <w:shd w:val="clear" w:color="auto" w:fill="CCFFCC"/>
            <w:noWrap/>
            <w:hideMark/>
          </w:tcPr>
          <w:p w14:paraId="79ADFA29" w14:textId="29F15696" w:rsidR="00494562" w:rsidRPr="00C50854" w:rsidRDefault="00494562" w:rsidP="00494562">
            <w:pPr>
              <w:suppressAutoHyphens w:val="0"/>
              <w:spacing w:before="40" w:after="40"/>
              <w:ind w:left="180" w:hanging="180"/>
              <w:jc w:val="center"/>
              <w:rPr>
                <w:b/>
                <w:sz w:val="20"/>
                <w:szCs w:val="20"/>
                <w:lang w:eastAsia="et-EE"/>
              </w:rPr>
            </w:pPr>
            <w:r w:rsidRPr="00C50854">
              <w:rPr>
                <w:b/>
                <w:sz w:val="20"/>
                <w:szCs w:val="20"/>
                <w:lang w:eastAsia="et-EE"/>
              </w:rPr>
              <w:t>2018</w:t>
            </w:r>
          </w:p>
        </w:tc>
        <w:tc>
          <w:tcPr>
            <w:tcW w:w="1276" w:type="dxa"/>
            <w:shd w:val="clear" w:color="auto" w:fill="CCFFCC"/>
            <w:noWrap/>
            <w:hideMark/>
          </w:tcPr>
          <w:p w14:paraId="2262F467" w14:textId="095B3251" w:rsidR="00494562" w:rsidRPr="00C50854" w:rsidRDefault="000D5B0F" w:rsidP="00494562">
            <w:pPr>
              <w:suppressAutoHyphens w:val="0"/>
              <w:spacing w:before="40" w:after="40"/>
              <w:ind w:left="180" w:hanging="180"/>
              <w:jc w:val="center"/>
              <w:rPr>
                <w:b/>
                <w:sz w:val="20"/>
                <w:szCs w:val="20"/>
                <w:lang w:eastAsia="et-EE"/>
              </w:rPr>
            </w:pPr>
            <w:r w:rsidRPr="00C50854">
              <w:rPr>
                <w:b/>
                <w:sz w:val="20"/>
                <w:szCs w:val="20"/>
                <w:lang w:eastAsia="et-EE"/>
              </w:rPr>
              <w:t xml:space="preserve">I </w:t>
            </w:r>
            <w:proofErr w:type="spellStart"/>
            <w:r w:rsidRPr="00C50854">
              <w:rPr>
                <w:b/>
                <w:sz w:val="20"/>
                <w:szCs w:val="20"/>
                <w:lang w:eastAsia="et-EE"/>
              </w:rPr>
              <w:t>pa</w:t>
            </w:r>
            <w:proofErr w:type="spellEnd"/>
            <w:r w:rsidRPr="00C50854">
              <w:rPr>
                <w:b/>
                <w:sz w:val="20"/>
                <w:szCs w:val="20"/>
                <w:lang w:eastAsia="et-EE"/>
              </w:rPr>
              <w:t xml:space="preserve"> </w:t>
            </w:r>
            <w:r w:rsidR="00494562" w:rsidRPr="00C50854">
              <w:rPr>
                <w:b/>
                <w:sz w:val="20"/>
                <w:szCs w:val="20"/>
                <w:lang w:eastAsia="et-EE"/>
              </w:rPr>
              <w:t xml:space="preserve">2019 </w:t>
            </w:r>
          </w:p>
        </w:tc>
      </w:tr>
      <w:tr w:rsidR="002251E3" w:rsidRPr="00C50854" w14:paraId="1AD0B1F8" w14:textId="77777777" w:rsidTr="00BD3868">
        <w:trPr>
          <w:trHeight w:val="353"/>
        </w:trPr>
        <w:tc>
          <w:tcPr>
            <w:tcW w:w="3186" w:type="dxa"/>
            <w:noWrap/>
            <w:hideMark/>
          </w:tcPr>
          <w:p w14:paraId="402898BC" w14:textId="77777777" w:rsidR="002251E3" w:rsidRPr="00C50854" w:rsidRDefault="002251E3" w:rsidP="002251E3">
            <w:pPr>
              <w:suppressAutoHyphens w:val="0"/>
              <w:spacing w:before="40" w:after="40"/>
              <w:ind w:left="180" w:hanging="180"/>
              <w:rPr>
                <w:b/>
                <w:sz w:val="20"/>
                <w:szCs w:val="20"/>
                <w:lang w:eastAsia="et-EE"/>
              </w:rPr>
            </w:pPr>
            <w:r w:rsidRPr="00C50854">
              <w:rPr>
                <w:b/>
                <w:sz w:val="20"/>
                <w:szCs w:val="20"/>
                <w:lang w:eastAsia="et-EE"/>
              </w:rPr>
              <w:t>xDSL (vaskpaaril põhinev võrk)</w:t>
            </w:r>
          </w:p>
        </w:tc>
        <w:tc>
          <w:tcPr>
            <w:tcW w:w="1124" w:type="dxa"/>
            <w:noWrap/>
            <w:hideMark/>
          </w:tcPr>
          <w:p w14:paraId="70784C38" w14:textId="17AFD511" w:rsidR="002251E3" w:rsidRPr="00C50854" w:rsidRDefault="002251E3" w:rsidP="002251E3">
            <w:pPr>
              <w:jc w:val="center"/>
              <w:rPr>
                <w:sz w:val="20"/>
                <w:szCs w:val="20"/>
                <w:lang w:eastAsia="et-EE"/>
              </w:rPr>
            </w:pPr>
            <w:r w:rsidRPr="00C50854">
              <w:rPr>
                <w:sz w:val="20"/>
                <w:szCs w:val="20"/>
              </w:rPr>
              <w:t>37%</w:t>
            </w:r>
          </w:p>
        </w:tc>
        <w:tc>
          <w:tcPr>
            <w:tcW w:w="1134" w:type="dxa"/>
            <w:noWrap/>
            <w:hideMark/>
          </w:tcPr>
          <w:p w14:paraId="5210FE13" w14:textId="4F8DB269" w:rsidR="002251E3" w:rsidRPr="00C50854" w:rsidRDefault="002251E3" w:rsidP="002251E3">
            <w:pPr>
              <w:jc w:val="center"/>
              <w:rPr>
                <w:sz w:val="20"/>
                <w:szCs w:val="20"/>
                <w:lang w:eastAsia="et-EE"/>
              </w:rPr>
            </w:pPr>
            <w:r w:rsidRPr="00C50854">
              <w:rPr>
                <w:sz w:val="20"/>
                <w:szCs w:val="20"/>
              </w:rPr>
              <w:t>36%</w:t>
            </w:r>
          </w:p>
        </w:tc>
        <w:tc>
          <w:tcPr>
            <w:tcW w:w="1134" w:type="dxa"/>
            <w:noWrap/>
            <w:hideMark/>
          </w:tcPr>
          <w:p w14:paraId="70EFF0F2" w14:textId="0A0239B1" w:rsidR="002251E3" w:rsidRPr="00C50854" w:rsidRDefault="002251E3" w:rsidP="002251E3">
            <w:pPr>
              <w:jc w:val="center"/>
              <w:rPr>
                <w:sz w:val="20"/>
                <w:szCs w:val="20"/>
                <w:lang w:eastAsia="et-EE"/>
              </w:rPr>
            </w:pPr>
            <w:r w:rsidRPr="00C50854">
              <w:rPr>
                <w:sz w:val="20"/>
                <w:szCs w:val="20"/>
              </w:rPr>
              <w:t>36%</w:t>
            </w:r>
          </w:p>
        </w:tc>
        <w:tc>
          <w:tcPr>
            <w:tcW w:w="1275" w:type="dxa"/>
            <w:noWrap/>
            <w:hideMark/>
          </w:tcPr>
          <w:p w14:paraId="3FFB7025" w14:textId="126C0316" w:rsidR="002251E3" w:rsidRPr="00C50854" w:rsidRDefault="002251E3" w:rsidP="002251E3">
            <w:pPr>
              <w:jc w:val="center"/>
              <w:rPr>
                <w:sz w:val="20"/>
                <w:szCs w:val="20"/>
                <w:lang w:eastAsia="et-EE"/>
              </w:rPr>
            </w:pPr>
            <w:r w:rsidRPr="00C50854">
              <w:rPr>
                <w:sz w:val="20"/>
                <w:szCs w:val="20"/>
              </w:rPr>
              <w:t>33%</w:t>
            </w:r>
          </w:p>
        </w:tc>
        <w:tc>
          <w:tcPr>
            <w:tcW w:w="1276" w:type="dxa"/>
            <w:noWrap/>
            <w:hideMark/>
          </w:tcPr>
          <w:p w14:paraId="2C0A1B93" w14:textId="54BF16EB" w:rsidR="002251E3" w:rsidRPr="00C50854" w:rsidRDefault="002251E3" w:rsidP="002251E3">
            <w:pPr>
              <w:jc w:val="center"/>
              <w:rPr>
                <w:sz w:val="20"/>
                <w:szCs w:val="20"/>
              </w:rPr>
            </w:pPr>
            <w:r w:rsidRPr="00C50854">
              <w:rPr>
                <w:sz w:val="20"/>
                <w:szCs w:val="20"/>
              </w:rPr>
              <w:t>24%</w:t>
            </w:r>
          </w:p>
        </w:tc>
      </w:tr>
      <w:tr w:rsidR="002251E3" w:rsidRPr="00C50854" w14:paraId="3EDA4DB9" w14:textId="77777777" w:rsidTr="00BD3868">
        <w:trPr>
          <w:trHeight w:val="293"/>
        </w:trPr>
        <w:tc>
          <w:tcPr>
            <w:tcW w:w="3186" w:type="dxa"/>
            <w:noWrap/>
            <w:hideMark/>
          </w:tcPr>
          <w:p w14:paraId="53482938" w14:textId="795E42C9" w:rsidR="002251E3" w:rsidRPr="00C50854" w:rsidRDefault="004F26FF" w:rsidP="002251E3">
            <w:pPr>
              <w:suppressAutoHyphens w:val="0"/>
              <w:spacing w:before="40" w:after="40"/>
              <w:rPr>
                <w:b/>
                <w:sz w:val="20"/>
                <w:szCs w:val="20"/>
                <w:lang w:eastAsia="et-EE"/>
              </w:rPr>
            </w:pPr>
            <w:r w:rsidRPr="00C50854">
              <w:rPr>
                <w:b/>
                <w:sz w:val="20"/>
                <w:szCs w:val="20"/>
                <w:lang w:eastAsia="et-EE"/>
              </w:rPr>
              <w:t>VDSL</w:t>
            </w:r>
            <w:r w:rsidRPr="00C50854">
              <w:rPr>
                <w:b/>
                <w:i/>
                <w:sz w:val="20"/>
                <w:szCs w:val="20"/>
                <w:lang w:eastAsia="et-EE"/>
              </w:rPr>
              <w:t xml:space="preserve"> </w:t>
            </w:r>
            <w:proofErr w:type="spellStart"/>
            <w:r w:rsidRPr="00C50854">
              <w:rPr>
                <w:b/>
                <w:i/>
                <w:sz w:val="20"/>
                <w:szCs w:val="20"/>
                <w:lang w:eastAsia="et-EE"/>
              </w:rPr>
              <w:t>Vectoring</w:t>
            </w:r>
            <w:proofErr w:type="spellEnd"/>
          </w:p>
        </w:tc>
        <w:tc>
          <w:tcPr>
            <w:tcW w:w="1124" w:type="dxa"/>
            <w:noWrap/>
            <w:hideMark/>
          </w:tcPr>
          <w:p w14:paraId="1262370B" w14:textId="557011A0" w:rsidR="002251E3" w:rsidRPr="00C50854" w:rsidRDefault="002251E3" w:rsidP="002251E3">
            <w:pPr>
              <w:jc w:val="center"/>
              <w:rPr>
                <w:sz w:val="20"/>
                <w:szCs w:val="20"/>
                <w:lang w:eastAsia="et-EE"/>
              </w:rPr>
            </w:pPr>
          </w:p>
        </w:tc>
        <w:tc>
          <w:tcPr>
            <w:tcW w:w="1134" w:type="dxa"/>
            <w:noWrap/>
            <w:hideMark/>
          </w:tcPr>
          <w:p w14:paraId="5CE65179" w14:textId="47611379" w:rsidR="002251E3" w:rsidRPr="00C50854" w:rsidRDefault="002251E3" w:rsidP="002251E3">
            <w:pPr>
              <w:jc w:val="center"/>
              <w:rPr>
                <w:sz w:val="20"/>
                <w:szCs w:val="20"/>
                <w:lang w:eastAsia="et-EE"/>
              </w:rPr>
            </w:pPr>
          </w:p>
        </w:tc>
        <w:tc>
          <w:tcPr>
            <w:tcW w:w="1134" w:type="dxa"/>
            <w:noWrap/>
            <w:hideMark/>
          </w:tcPr>
          <w:p w14:paraId="0AD07CCE" w14:textId="7234D575" w:rsidR="002251E3" w:rsidRPr="00C50854" w:rsidRDefault="002251E3" w:rsidP="002251E3">
            <w:pPr>
              <w:jc w:val="center"/>
              <w:rPr>
                <w:sz w:val="20"/>
                <w:szCs w:val="20"/>
                <w:lang w:eastAsia="et-EE"/>
              </w:rPr>
            </w:pPr>
          </w:p>
        </w:tc>
        <w:tc>
          <w:tcPr>
            <w:tcW w:w="1275" w:type="dxa"/>
            <w:noWrap/>
            <w:hideMark/>
          </w:tcPr>
          <w:p w14:paraId="7B50A93F" w14:textId="6FEDD4CC" w:rsidR="002251E3" w:rsidRPr="00C50854" w:rsidRDefault="002251E3" w:rsidP="002251E3">
            <w:pPr>
              <w:jc w:val="center"/>
              <w:rPr>
                <w:sz w:val="20"/>
                <w:szCs w:val="20"/>
                <w:lang w:eastAsia="et-EE"/>
              </w:rPr>
            </w:pPr>
          </w:p>
        </w:tc>
        <w:tc>
          <w:tcPr>
            <w:tcW w:w="1276" w:type="dxa"/>
            <w:noWrap/>
            <w:hideMark/>
          </w:tcPr>
          <w:p w14:paraId="6079E1DA" w14:textId="41DF0A7D" w:rsidR="002251E3" w:rsidRPr="00C50854" w:rsidRDefault="002251E3" w:rsidP="002251E3">
            <w:pPr>
              <w:jc w:val="center"/>
              <w:rPr>
                <w:sz w:val="20"/>
                <w:szCs w:val="20"/>
              </w:rPr>
            </w:pPr>
            <w:r w:rsidRPr="00C50854">
              <w:rPr>
                <w:sz w:val="20"/>
                <w:szCs w:val="20"/>
              </w:rPr>
              <w:t>8%</w:t>
            </w:r>
          </w:p>
        </w:tc>
      </w:tr>
      <w:tr w:rsidR="002251E3" w:rsidRPr="00C50854" w14:paraId="7D8C2909" w14:textId="77777777" w:rsidTr="00BD3868">
        <w:trPr>
          <w:trHeight w:val="293"/>
        </w:trPr>
        <w:tc>
          <w:tcPr>
            <w:tcW w:w="3186" w:type="dxa"/>
            <w:noWrap/>
            <w:hideMark/>
          </w:tcPr>
          <w:p w14:paraId="57E490C4" w14:textId="16C9B9C6" w:rsidR="002251E3" w:rsidRPr="00C50854" w:rsidRDefault="002251E3" w:rsidP="002251E3">
            <w:pPr>
              <w:suppressAutoHyphens w:val="0"/>
              <w:spacing w:before="40" w:after="40"/>
              <w:ind w:left="180" w:hanging="180"/>
              <w:rPr>
                <w:b/>
                <w:sz w:val="20"/>
                <w:szCs w:val="20"/>
                <w:lang w:eastAsia="et-EE"/>
              </w:rPr>
            </w:pPr>
            <w:r w:rsidRPr="00C50854">
              <w:rPr>
                <w:b/>
                <w:sz w:val="20"/>
                <w:szCs w:val="20"/>
                <w:lang w:eastAsia="et-EE"/>
              </w:rPr>
              <w:t>Valguskaabel</w:t>
            </w:r>
          </w:p>
        </w:tc>
        <w:tc>
          <w:tcPr>
            <w:tcW w:w="1124" w:type="dxa"/>
            <w:noWrap/>
            <w:hideMark/>
          </w:tcPr>
          <w:p w14:paraId="769291E1" w14:textId="24A24470" w:rsidR="002251E3" w:rsidRPr="00C50854" w:rsidRDefault="002251E3" w:rsidP="002251E3">
            <w:pPr>
              <w:jc w:val="center"/>
              <w:rPr>
                <w:sz w:val="20"/>
                <w:szCs w:val="20"/>
                <w:lang w:eastAsia="et-EE"/>
              </w:rPr>
            </w:pPr>
            <w:r w:rsidRPr="00C50854">
              <w:rPr>
                <w:sz w:val="20"/>
                <w:szCs w:val="20"/>
              </w:rPr>
              <w:t>34%</w:t>
            </w:r>
          </w:p>
        </w:tc>
        <w:tc>
          <w:tcPr>
            <w:tcW w:w="1134" w:type="dxa"/>
            <w:noWrap/>
            <w:hideMark/>
          </w:tcPr>
          <w:p w14:paraId="6FF36D68" w14:textId="00284D2A" w:rsidR="002251E3" w:rsidRPr="00C50854" w:rsidRDefault="002251E3" w:rsidP="002251E3">
            <w:pPr>
              <w:jc w:val="center"/>
              <w:rPr>
                <w:sz w:val="20"/>
                <w:szCs w:val="20"/>
                <w:lang w:eastAsia="et-EE"/>
              </w:rPr>
            </w:pPr>
            <w:r w:rsidRPr="00C50854">
              <w:rPr>
                <w:sz w:val="20"/>
                <w:szCs w:val="20"/>
              </w:rPr>
              <w:t>36%</w:t>
            </w:r>
          </w:p>
        </w:tc>
        <w:tc>
          <w:tcPr>
            <w:tcW w:w="1134" w:type="dxa"/>
            <w:noWrap/>
            <w:hideMark/>
          </w:tcPr>
          <w:p w14:paraId="68B9149B" w14:textId="2524FAE2" w:rsidR="002251E3" w:rsidRPr="00C50854" w:rsidRDefault="002251E3" w:rsidP="002251E3">
            <w:pPr>
              <w:jc w:val="center"/>
              <w:rPr>
                <w:sz w:val="20"/>
                <w:szCs w:val="20"/>
                <w:lang w:eastAsia="et-EE"/>
              </w:rPr>
            </w:pPr>
            <w:r w:rsidRPr="00C50854">
              <w:rPr>
                <w:sz w:val="20"/>
                <w:szCs w:val="20"/>
              </w:rPr>
              <w:t>38%</w:t>
            </w:r>
          </w:p>
        </w:tc>
        <w:tc>
          <w:tcPr>
            <w:tcW w:w="1275" w:type="dxa"/>
            <w:noWrap/>
            <w:hideMark/>
          </w:tcPr>
          <w:p w14:paraId="1F5878D2" w14:textId="16B9738B" w:rsidR="002251E3" w:rsidRPr="00C50854" w:rsidRDefault="002251E3" w:rsidP="002251E3">
            <w:pPr>
              <w:jc w:val="center"/>
              <w:rPr>
                <w:sz w:val="20"/>
                <w:szCs w:val="20"/>
                <w:lang w:eastAsia="et-EE"/>
              </w:rPr>
            </w:pPr>
            <w:r w:rsidRPr="00C50854">
              <w:rPr>
                <w:sz w:val="20"/>
                <w:szCs w:val="20"/>
              </w:rPr>
              <w:t>41%</w:t>
            </w:r>
          </w:p>
        </w:tc>
        <w:tc>
          <w:tcPr>
            <w:tcW w:w="1276" w:type="dxa"/>
            <w:noWrap/>
            <w:hideMark/>
          </w:tcPr>
          <w:p w14:paraId="201FC318" w14:textId="63924947" w:rsidR="002251E3" w:rsidRPr="00C50854" w:rsidRDefault="002251E3" w:rsidP="002251E3">
            <w:pPr>
              <w:jc w:val="center"/>
              <w:rPr>
                <w:sz w:val="20"/>
                <w:szCs w:val="20"/>
              </w:rPr>
            </w:pPr>
            <w:r w:rsidRPr="00C50854">
              <w:rPr>
                <w:sz w:val="20"/>
                <w:szCs w:val="20"/>
              </w:rPr>
              <w:t>43%</w:t>
            </w:r>
          </w:p>
        </w:tc>
      </w:tr>
      <w:tr w:rsidR="002251E3" w:rsidRPr="00C50854" w14:paraId="5F122E82" w14:textId="77777777" w:rsidTr="00BD3868">
        <w:trPr>
          <w:trHeight w:val="293"/>
        </w:trPr>
        <w:tc>
          <w:tcPr>
            <w:tcW w:w="3186" w:type="dxa"/>
            <w:noWrap/>
            <w:hideMark/>
          </w:tcPr>
          <w:p w14:paraId="050F3CC1" w14:textId="1C306FDA" w:rsidR="002251E3" w:rsidRPr="00C50854" w:rsidRDefault="002251E3" w:rsidP="002251E3">
            <w:pPr>
              <w:suppressAutoHyphens w:val="0"/>
              <w:spacing w:before="40" w:after="40"/>
              <w:ind w:left="180" w:hanging="180"/>
              <w:rPr>
                <w:b/>
                <w:sz w:val="20"/>
                <w:szCs w:val="20"/>
                <w:lang w:eastAsia="et-EE"/>
              </w:rPr>
            </w:pPr>
            <w:r w:rsidRPr="00C50854">
              <w:rPr>
                <w:b/>
                <w:sz w:val="20"/>
                <w:szCs w:val="20"/>
                <w:lang w:eastAsia="et-EE"/>
              </w:rPr>
              <w:t>Kaabellevivõrk</w:t>
            </w:r>
          </w:p>
        </w:tc>
        <w:tc>
          <w:tcPr>
            <w:tcW w:w="1124" w:type="dxa"/>
            <w:noWrap/>
            <w:hideMark/>
          </w:tcPr>
          <w:p w14:paraId="349A5C9B" w14:textId="7E1201F4" w:rsidR="002251E3" w:rsidRPr="00C50854" w:rsidRDefault="002251E3" w:rsidP="002251E3">
            <w:pPr>
              <w:jc w:val="center"/>
              <w:rPr>
                <w:sz w:val="20"/>
                <w:szCs w:val="20"/>
                <w:lang w:eastAsia="et-EE"/>
              </w:rPr>
            </w:pPr>
            <w:r w:rsidRPr="00C50854">
              <w:rPr>
                <w:sz w:val="20"/>
                <w:szCs w:val="20"/>
              </w:rPr>
              <w:t>23%</w:t>
            </w:r>
          </w:p>
        </w:tc>
        <w:tc>
          <w:tcPr>
            <w:tcW w:w="1134" w:type="dxa"/>
            <w:noWrap/>
            <w:hideMark/>
          </w:tcPr>
          <w:p w14:paraId="20DF6B65" w14:textId="13E1F3B1" w:rsidR="002251E3" w:rsidRPr="00C50854" w:rsidRDefault="002251E3" w:rsidP="002251E3">
            <w:pPr>
              <w:jc w:val="center"/>
              <w:rPr>
                <w:sz w:val="20"/>
                <w:szCs w:val="20"/>
                <w:lang w:eastAsia="et-EE"/>
              </w:rPr>
            </w:pPr>
            <w:r w:rsidRPr="00C50854">
              <w:rPr>
                <w:sz w:val="20"/>
                <w:szCs w:val="20"/>
              </w:rPr>
              <w:t>24%</w:t>
            </w:r>
          </w:p>
        </w:tc>
        <w:tc>
          <w:tcPr>
            <w:tcW w:w="1134" w:type="dxa"/>
            <w:noWrap/>
            <w:hideMark/>
          </w:tcPr>
          <w:p w14:paraId="3627C74D" w14:textId="5E4E7F20" w:rsidR="002251E3" w:rsidRPr="00C50854" w:rsidRDefault="002251E3" w:rsidP="002251E3">
            <w:pPr>
              <w:jc w:val="center"/>
              <w:rPr>
                <w:sz w:val="20"/>
                <w:szCs w:val="20"/>
                <w:lang w:eastAsia="et-EE"/>
              </w:rPr>
            </w:pPr>
            <w:r w:rsidRPr="00C50854">
              <w:rPr>
                <w:sz w:val="20"/>
                <w:szCs w:val="20"/>
              </w:rPr>
              <w:t>24%</w:t>
            </w:r>
          </w:p>
        </w:tc>
        <w:tc>
          <w:tcPr>
            <w:tcW w:w="1275" w:type="dxa"/>
            <w:noWrap/>
            <w:hideMark/>
          </w:tcPr>
          <w:p w14:paraId="2F15A4FF" w14:textId="046FE6D0" w:rsidR="002251E3" w:rsidRPr="00C50854" w:rsidRDefault="002251E3" w:rsidP="002251E3">
            <w:pPr>
              <w:jc w:val="center"/>
              <w:rPr>
                <w:sz w:val="20"/>
                <w:szCs w:val="20"/>
                <w:lang w:eastAsia="et-EE"/>
              </w:rPr>
            </w:pPr>
            <w:r w:rsidRPr="00C50854">
              <w:rPr>
                <w:sz w:val="20"/>
                <w:szCs w:val="20"/>
              </w:rPr>
              <w:t>25%</w:t>
            </w:r>
          </w:p>
        </w:tc>
        <w:tc>
          <w:tcPr>
            <w:tcW w:w="1276" w:type="dxa"/>
            <w:noWrap/>
            <w:hideMark/>
          </w:tcPr>
          <w:p w14:paraId="6C67A42C" w14:textId="53F67A86" w:rsidR="002251E3" w:rsidRPr="00C50854" w:rsidRDefault="002251E3" w:rsidP="002251E3">
            <w:pPr>
              <w:jc w:val="center"/>
              <w:rPr>
                <w:sz w:val="20"/>
                <w:szCs w:val="20"/>
              </w:rPr>
            </w:pPr>
            <w:r w:rsidRPr="00C50854">
              <w:rPr>
                <w:sz w:val="20"/>
                <w:szCs w:val="20"/>
              </w:rPr>
              <w:t>23%</w:t>
            </w:r>
          </w:p>
        </w:tc>
      </w:tr>
      <w:tr w:rsidR="002251E3" w:rsidRPr="00C50854" w14:paraId="6C6A609D" w14:textId="77777777" w:rsidTr="00BD3868">
        <w:trPr>
          <w:trHeight w:val="293"/>
        </w:trPr>
        <w:tc>
          <w:tcPr>
            <w:tcW w:w="3186" w:type="dxa"/>
            <w:noWrap/>
          </w:tcPr>
          <w:p w14:paraId="04EA8769" w14:textId="093FCA40" w:rsidR="002251E3" w:rsidRPr="00C50854" w:rsidRDefault="002251E3" w:rsidP="002251E3">
            <w:pPr>
              <w:suppressAutoHyphens w:val="0"/>
              <w:spacing w:before="40" w:after="40"/>
              <w:ind w:left="180" w:hanging="180"/>
              <w:rPr>
                <w:b/>
                <w:sz w:val="20"/>
                <w:szCs w:val="20"/>
                <w:lang w:eastAsia="et-EE"/>
              </w:rPr>
            </w:pPr>
            <w:r w:rsidRPr="00C50854">
              <w:rPr>
                <w:b/>
                <w:sz w:val="20"/>
                <w:szCs w:val="20"/>
                <w:lang w:eastAsia="et-EE"/>
              </w:rPr>
              <w:t xml:space="preserve">FWA </w:t>
            </w:r>
          </w:p>
        </w:tc>
        <w:tc>
          <w:tcPr>
            <w:tcW w:w="1124" w:type="dxa"/>
            <w:noWrap/>
          </w:tcPr>
          <w:p w14:paraId="345988B5" w14:textId="31C75307" w:rsidR="002251E3" w:rsidRPr="00C50854" w:rsidRDefault="002251E3" w:rsidP="002251E3">
            <w:pPr>
              <w:jc w:val="center"/>
              <w:rPr>
                <w:sz w:val="20"/>
                <w:szCs w:val="20"/>
                <w:lang w:eastAsia="et-EE"/>
              </w:rPr>
            </w:pPr>
            <w:r w:rsidRPr="00C50854">
              <w:rPr>
                <w:sz w:val="20"/>
                <w:szCs w:val="20"/>
              </w:rPr>
              <w:t>5%</w:t>
            </w:r>
          </w:p>
        </w:tc>
        <w:tc>
          <w:tcPr>
            <w:tcW w:w="1134" w:type="dxa"/>
            <w:noWrap/>
          </w:tcPr>
          <w:p w14:paraId="69DE5F1E" w14:textId="46C9000B" w:rsidR="002251E3" w:rsidRPr="00C50854" w:rsidRDefault="002251E3" w:rsidP="002251E3">
            <w:pPr>
              <w:jc w:val="center"/>
              <w:rPr>
                <w:sz w:val="20"/>
                <w:szCs w:val="20"/>
                <w:lang w:eastAsia="et-EE"/>
              </w:rPr>
            </w:pPr>
            <w:r w:rsidRPr="00C50854">
              <w:rPr>
                <w:sz w:val="20"/>
                <w:szCs w:val="20"/>
              </w:rPr>
              <w:t>5%</w:t>
            </w:r>
          </w:p>
        </w:tc>
        <w:tc>
          <w:tcPr>
            <w:tcW w:w="1134" w:type="dxa"/>
            <w:noWrap/>
          </w:tcPr>
          <w:p w14:paraId="12F3FA29" w14:textId="2813914C" w:rsidR="002251E3" w:rsidRPr="00C50854" w:rsidRDefault="002251E3" w:rsidP="002251E3">
            <w:pPr>
              <w:jc w:val="center"/>
              <w:rPr>
                <w:sz w:val="20"/>
                <w:szCs w:val="20"/>
                <w:lang w:eastAsia="et-EE"/>
              </w:rPr>
            </w:pPr>
            <w:r w:rsidRPr="00C50854">
              <w:rPr>
                <w:sz w:val="20"/>
                <w:szCs w:val="20"/>
              </w:rPr>
              <w:t>1%</w:t>
            </w:r>
          </w:p>
        </w:tc>
        <w:tc>
          <w:tcPr>
            <w:tcW w:w="1275" w:type="dxa"/>
            <w:noWrap/>
          </w:tcPr>
          <w:p w14:paraId="34D0BED4" w14:textId="11B9C849" w:rsidR="002251E3" w:rsidRPr="00C50854" w:rsidRDefault="002251E3" w:rsidP="002251E3">
            <w:pPr>
              <w:jc w:val="center"/>
              <w:rPr>
                <w:sz w:val="20"/>
                <w:szCs w:val="20"/>
                <w:lang w:eastAsia="et-EE"/>
              </w:rPr>
            </w:pPr>
            <w:r w:rsidRPr="00C50854">
              <w:rPr>
                <w:sz w:val="20"/>
                <w:szCs w:val="20"/>
              </w:rPr>
              <w:t>1%</w:t>
            </w:r>
          </w:p>
        </w:tc>
        <w:tc>
          <w:tcPr>
            <w:tcW w:w="1276" w:type="dxa"/>
            <w:noWrap/>
          </w:tcPr>
          <w:p w14:paraId="47358CE1" w14:textId="1F454A6D" w:rsidR="002251E3" w:rsidRPr="00C50854" w:rsidRDefault="002251E3" w:rsidP="002251E3">
            <w:pPr>
              <w:jc w:val="center"/>
              <w:rPr>
                <w:sz w:val="20"/>
                <w:szCs w:val="20"/>
              </w:rPr>
            </w:pPr>
            <w:r w:rsidRPr="00C50854">
              <w:rPr>
                <w:sz w:val="20"/>
                <w:szCs w:val="20"/>
              </w:rPr>
              <w:t>1%</w:t>
            </w:r>
          </w:p>
        </w:tc>
      </w:tr>
      <w:tr w:rsidR="002251E3" w:rsidRPr="00C50854" w14:paraId="17201C22" w14:textId="77777777" w:rsidTr="00BD3868">
        <w:trPr>
          <w:trHeight w:val="293"/>
        </w:trPr>
        <w:tc>
          <w:tcPr>
            <w:tcW w:w="3186" w:type="dxa"/>
            <w:noWrap/>
            <w:hideMark/>
          </w:tcPr>
          <w:p w14:paraId="578F1B40" w14:textId="77777777" w:rsidR="002251E3" w:rsidRPr="00C50854" w:rsidRDefault="002251E3" w:rsidP="002251E3">
            <w:pPr>
              <w:suppressAutoHyphens w:val="0"/>
              <w:spacing w:before="40" w:after="40"/>
              <w:ind w:left="180" w:hanging="180"/>
              <w:rPr>
                <w:b/>
                <w:sz w:val="20"/>
                <w:szCs w:val="20"/>
                <w:lang w:eastAsia="et-EE"/>
              </w:rPr>
            </w:pPr>
            <w:r w:rsidRPr="00C50854">
              <w:rPr>
                <w:b/>
                <w:sz w:val="20"/>
                <w:szCs w:val="20"/>
                <w:lang w:eastAsia="et-EE"/>
              </w:rPr>
              <w:t>Teised lahendused</w:t>
            </w:r>
          </w:p>
        </w:tc>
        <w:tc>
          <w:tcPr>
            <w:tcW w:w="1124" w:type="dxa"/>
            <w:noWrap/>
            <w:hideMark/>
          </w:tcPr>
          <w:p w14:paraId="281540EA" w14:textId="4044EA06" w:rsidR="002251E3" w:rsidRPr="00C50854" w:rsidRDefault="002251E3" w:rsidP="002251E3">
            <w:pPr>
              <w:jc w:val="center"/>
              <w:rPr>
                <w:sz w:val="20"/>
                <w:szCs w:val="20"/>
                <w:lang w:eastAsia="et-EE"/>
              </w:rPr>
            </w:pPr>
            <w:r w:rsidRPr="00C50854">
              <w:rPr>
                <w:sz w:val="20"/>
                <w:szCs w:val="20"/>
              </w:rPr>
              <w:t>1%</w:t>
            </w:r>
          </w:p>
        </w:tc>
        <w:tc>
          <w:tcPr>
            <w:tcW w:w="1134" w:type="dxa"/>
            <w:noWrap/>
            <w:hideMark/>
          </w:tcPr>
          <w:p w14:paraId="5268229B" w14:textId="2ED2CB63" w:rsidR="002251E3" w:rsidRPr="00C50854" w:rsidRDefault="002251E3" w:rsidP="002251E3">
            <w:pPr>
              <w:jc w:val="center"/>
              <w:rPr>
                <w:sz w:val="20"/>
                <w:szCs w:val="20"/>
                <w:lang w:eastAsia="et-EE"/>
              </w:rPr>
            </w:pPr>
            <w:r w:rsidRPr="00C50854">
              <w:rPr>
                <w:sz w:val="20"/>
                <w:szCs w:val="20"/>
              </w:rPr>
              <w:t>2%</w:t>
            </w:r>
          </w:p>
        </w:tc>
        <w:tc>
          <w:tcPr>
            <w:tcW w:w="1134" w:type="dxa"/>
            <w:noWrap/>
            <w:hideMark/>
          </w:tcPr>
          <w:p w14:paraId="000466BC" w14:textId="67D15B52" w:rsidR="002251E3" w:rsidRPr="00C50854" w:rsidRDefault="002251E3" w:rsidP="002251E3">
            <w:pPr>
              <w:jc w:val="center"/>
              <w:rPr>
                <w:sz w:val="20"/>
                <w:szCs w:val="20"/>
                <w:lang w:eastAsia="et-EE"/>
              </w:rPr>
            </w:pPr>
            <w:r w:rsidRPr="00C50854">
              <w:rPr>
                <w:sz w:val="20"/>
                <w:szCs w:val="20"/>
              </w:rPr>
              <w:t>1%</w:t>
            </w:r>
          </w:p>
        </w:tc>
        <w:tc>
          <w:tcPr>
            <w:tcW w:w="1275" w:type="dxa"/>
            <w:noWrap/>
            <w:hideMark/>
          </w:tcPr>
          <w:p w14:paraId="43E5E648" w14:textId="65A94821" w:rsidR="002251E3" w:rsidRPr="00C50854" w:rsidRDefault="002251E3" w:rsidP="002251E3">
            <w:pPr>
              <w:jc w:val="center"/>
              <w:rPr>
                <w:sz w:val="20"/>
                <w:szCs w:val="20"/>
                <w:lang w:eastAsia="et-EE"/>
              </w:rPr>
            </w:pPr>
            <w:r w:rsidRPr="00C50854">
              <w:rPr>
                <w:sz w:val="20"/>
                <w:szCs w:val="20"/>
              </w:rPr>
              <w:t>1%</w:t>
            </w:r>
          </w:p>
        </w:tc>
        <w:tc>
          <w:tcPr>
            <w:tcW w:w="1276" w:type="dxa"/>
            <w:noWrap/>
            <w:hideMark/>
          </w:tcPr>
          <w:p w14:paraId="65C02389" w14:textId="2A41170C" w:rsidR="002251E3" w:rsidRPr="00C50854" w:rsidRDefault="002251E3" w:rsidP="002251E3">
            <w:pPr>
              <w:jc w:val="center"/>
              <w:rPr>
                <w:sz w:val="20"/>
                <w:szCs w:val="20"/>
              </w:rPr>
            </w:pPr>
            <w:r w:rsidRPr="00C50854">
              <w:rPr>
                <w:sz w:val="20"/>
                <w:szCs w:val="20"/>
              </w:rPr>
              <w:t>1%</w:t>
            </w:r>
          </w:p>
        </w:tc>
      </w:tr>
      <w:tr w:rsidR="00CA35FA" w:rsidRPr="00C50854" w14:paraId="390B1597" w14:textId="77777777" w:rsidTr="00BD3868">
        <w:trPr>
          <w:trHeight w:val="293"/>
        </w:trPr>
        <w:tc>
          <w:tcPr>
            <w:tcW w:w="3186" w:type="dxa"/>
            <w:noWrap/>
            <w:hideMark/>
          </w:tcPr>
          <w:p w14:paraId="45E40444" w14:textId="77777777" w:rsidR="00CA35FA" w:rsidRPr="00C50854" w:rsidRDefault="00CA35FA" w:rsidP="00630F0F">
            <w:pPr>
              <w:suppressAutoHyphens w:val="0"/>
              <w:spacing w:before="40" w:after="40"/>
              <w:ind w:left="180" w:hanging="180"/>
              <w:rPr>
                <w:b/>
                <w:sz w:val="20"/>
                <w:szCs w:val="20"/>
                <w:lang w:eastAsia="et-EE"/>
              </w:rPr>
            </w:pPr>
            <w:r w:rsidRPr="00C50854">
              <w:rPr>
                <w:b/>
                <w:sz w:val="20"/>
                <w:szCs w:val="20"/>
                <w:lang w:eastAsia="et-EE"/>
              </w:rPr>
              <w:t>KOKKU</w:t>
            </w:r>
          </w:p>
        </w:tc>
        <w:tc>
          <w:tcPr>
            <w:tcW w:w="1124" w:type="dxa"/>
            <w:noWrap/>
            <w:hideMark/>
          </w:tcPr>
          <w:p w14:paraId="57847C38" w14:textId="7A20A16B" w:rsidR="00CA35FA" w:rsidRPr="00C50854" w:rsidRDefault="00CA35FA" w:rsidP="00BD3868">
            <w:pPr>
              <w:suppressAutoHyphens w:val="0"/>
              <w:spacing w:before="40" w:after="40"/>
              <w:jc w:val="center"/>
              <w:rPr>
                <w:b/>
                <w:sz w:val="20"/>
                <w:szCs w:val="20"/>
                <w:lang w:eastAsia="et-EE"/>
              </w:rPr>
            </w:pPr>
            <w:r w:rsidRPr="00C50854">
              <w:rPr>
                <w:b/>
                <w:sz w:val="20"/>
                <w:szCs w:val="20"/>
                <w:lang w:eastAsia="et-EE"/>
              </w:rPr>
              <w:t>100%</w:t>
            </w:r>
          </w:p>
        </w:tc>
        <w:tc>
          <w:tcPr>
            <w:tcW w:w="1134" w:type="dxa"/>
            <w:noWrap/>
            <w:vAlign w:val="bottom"/>
            <w:hideMark/>
          </w:tcPr>
          <w:p w14:paraId="109E502E" w14:textId="77777777" w:rsidR="00CA35FA" w:rsidRPr="00C50854" w:rsidRDefault="00CA35FA" w:rsidP="00BD3868">
            <w:pPr>
              <w:suppressAutoHyphens w:val="0"/>
              <w:spacing w:before="40" w:after="40"/>
              <w:jc w:val="center"/>
              <w:rPr>
                <w:b/>
                <w:sz w:val="20"/>
                <w:szCs w:val="20"/>
                <w:lang w:eastAsia="et-EE"/>
              </w:rPr>
            </w:pPr>
            <w:r w:rsidRPr="00C50854">
              <w:rPr>
                <w:b/>
                <w:sz w:val="20"/>
                <w:szCs w:val="20"/>
                <w:lang w:eastAsia="et-EE"/>
              </w:rPr>
              <w:t>100%</w:t>
            </w:r>
          </w:p>
        </w:tc>
        <w:tc>
          <w:tcPr>
            <w:tcW w:w="1134" w:type="dxa"/>
            <w:noWrap/>
            <w:vAlign w:val="bottom"/>
            <w:hideMark/>
          </w:tcPr>
          <w:p w14:paraId="2476B467" w14:textId="77777777" w:rsidR="00CA35FA" w:rsidRPr="00C50854" w:rsidRDefault="00CA35FA" w:rsidP="00BD3868">
            <w:pPr>
              <w:suppressAutoHyphens w:val="0"/>
              <w:spacing w:before="40" w:after="40"/>
              <w:jc w:val="center"/>
              <w:rPr>
                <w:b/>
                <w:sz w:val="20"/>
                <w:szCs w:val="20"/>
                <w:lang w:eastAsia="et-EE"/>
              </w:rPr>
            </w:pPr>
            <w:r w:rsidRPr="00C50854">
              <w:rPr>
                <w:b/>
                <w:sz w:val="20"/>
                <w:szCs w:val="20"/>
                <w:lang w:eastAsia="et-EE"/>
              </w:rPr>
              <w:t>100%</w:t>
            </w:r>
          </w:p>
        </w:tc>
        <w:tc>
          <w:tcPr>
            <w:tcW w:w="1275" w:type="dxa"/>
            <w:noWrap/>
            <w:vAlign w:val="bottom"/>
            <w:hideMark/>
          </w:tcPr>
          <w:p w14:paraId="78F39607" w14:textId="77777777" w:rsidR="00CA35FA" w:rsidRPr="00C50854" w:rsidRDefault="00CA35FA" w:rsidP="00BD3868">
            <w:pPr>
              <w:suppressAutoHyphens w:val="0"/>
              <w:spacing w:before="40" w:after="40"/>
              <w:jc w:val="center"/>
              <w:rPr>
                <w:b/>
                <w:sz w:val="20"/>
                <w:szCs w:val="20"/>
                <w:lang w:eastAsia="et-EE"/>
              </w:rPr>
            </w:pPr>
            <w:r w:rsidRPr="00C50854">
              <w:rPr>
                <w:b/>
                <w:sz w:val="20"/>
                <w:szCs w:val="20"/>
                <w:lang w:eastAsia="et-EE"/>
              </w:rPr>
              <w:t>100%</w:t>
            </w:r>
          </w:p>
        </w:tc>
        <w:tc>
          <w:tcPr>
            <w:tcW w:w="1276" w:type="dxa"/>
            <w:noWrap/>
            <w:vAlign w:val="bottom"/>
            <w:hideMark/>
          </w:tcPr>
          <w:p w14:paraId="33CF76BE" w14:textId="77777777" w:rsidR="00CA35FA" w:rsidRPr="00C50854" w:rsidRDefault="00CA35FA" w:rsidP="00BD3868">
            <w:pPr>
              <w:suppressAutoHyphens w:val="0"/>
              <w:spacing w:before="40" w:after="40"/>
              <w:jc w:val="center"/>
              <w:rPr>
                <w:b/>
                <w:sz w:val="20"/>
                <w:szCs w:val="20"/>
                <w:lang w:eastAsia="et-EE"/>
              </w:rPr>
            </w:pPr>
            <w:r w:rsidRPr="00C50854">
              <w:rPr>
                <w:b/>
                <w:sz w:val="20"/>
                <w:szCs w:val="20"/>
                <w:lang w:eastAsia="et-EE"/>
              </w:rPr>
              <w:t>100%</w:t>
            </w:r>
          </w:p>
        </w:tc>
      </w:tr>
    </w:tbl>
    <w:p w14:paraId="79480F07" w14:textId="14D05BF4" w:rsidR="00D95E36" w:rsidRPr="00C50854" w:rsidRDefault="00D95E36" w:rsidP="00D95E36">
      <w:pPr>
        <w:keepNext/>
        <w:suppressAutoHyphens w:val="0"/>
        <w:spacing w:before="120" w:after="120"/>
        <w:rPr>
          <w:sz w:val="20"/>
          <w:szCs w:val="20"/>
          <w:lang w:eastAsia="et-EE"/>
        </w:rPr>
      </w:pPr>
      <w:bookmarkStart w:id="134" w:name="_Ref460231538"/>
      <w:r w:rsidRPr="00C50854">
        <w:rPr>
          <w:b/>
          <w:sz w:val="20"/>
          <w:szCs w:val="20"/>
          <w:lang w:eastAsia="et-EE"/>
        </w:rPr>
        <w:t xml:space="preserve">Tabel </w:t>
      </w:r>
      <w:r w:rsidR="00341D2F" w:rsidRPr="00C50854">
        <w:rPr>
          <w:b/>
          <w:sz w:val="20"/>
          <w:szCs w:val="20"/>
          <w:lang w:eastAsia="et-EE"/>
        </w:rPr>
        <w:fldChar w:fldCharType="begin"/>
      </w:r>
      <w:r w:rsidR="00341D2F" w:rsidRPr="00C50854">
        <w:rPr>
          <w:b/>
          <w:sz w:val="20"/>
          <w:szCs w:val="20"/>
          <w:lang w:eastAsia="et-EE"/>
        </w:rPr>
        <w:instrText xml:space="preserve"> SEQ Tabel \* ARABIC </w:instrText>
      </w:r>
      <w:r w:rsidR="00341D2F" w:rsidRPr="00C50854">
        <w:rPr>
          <w:b/>
          <w:sz w:val="20"/>
          <w:szCs w:val="20"/>
          <w:lang w:eastAsia="et-EE"/>
        </w:rPr>
        <w:fldChar w:fldCharType="separate"/>
      </w:r>
      <w:r w:rsidR="00D24389" w:rsidRPr="00C50854">
        <w:rPr>
          <w:b/>
          <w:noProof/>
          <w:sz w:val="20"/>
          <w:szCs w:val="20"/>
          <w:lang w:eastAsia="et-EE"/>
        </w:rPr>
        <w:t>1</w:t>
      </w:r>
      <w:r w:rsidR="00341D2F" w:rsidRPr="00C50854">
        <w:rPr>
          <w:b/>
          <w:sz w:val="20"/>
          <w:szCs w:val="20"/>
          <w:lang w:eastAsia="et-EE"/>
        </w:rPr>
        <w:fldChar w:fldCharType="end"/>
      </w:r>
      <w:bookmarkEnd w:id="134"/>
      <w:r w:rsidRPr="00C50854">
        <w:rPr>
          <w:sz w:val="20"/>
          <w:szCs w:val="20"/>
          <w:lang w:eastAsia="et-EE"/>
        </w:rPr>
        <w:t>. Lairibateenuse lõppkasutajate jaotus juurdepääsuvõrgu tehnoloogia alusel</w:t>
      </w:r>
      <w:r w:rsidR="00D323AA" w:rsidRPr="00C50854">
        <w:rPr>
          <w:sz w:val="20"/>
          <w:szCs w:val="20"/>
          <w:lang w:eastAsia="et-EE"/>
        </w:rPr>
        <w:t xml:space="preserve"> 201</w:t>
      </w:r>
      <w:r w:rsidR="000D5B0F" w:rsidRPr="00C50854">
        <w:rPr>
          <w:sz w:val="20"/>
          <w:szCs w:val="20"/>
          <w:lang w:eastAsia="et-EE"/>
        </w:rPr>
        <w:t>5</w:t>
      </w:r>
      <w:r w:rsidR="0007154A" w:rsidRPr="00C50854">
        <w:rPr>
          <w:sz w:val="20"/>
          <w:szCs w:val="20"/>
          <w:lang w:eastAsia="et-EE"/>
        </w:rPr>
        <w:t xml:space="preserve"> </w:t>
      </w:r>
      <w:r w:rsidR="00D323AA" w:rsidRPr="00C50854">
        <w:rPr>
          <w:sz w:val="20"/>
          <w:szCs w:val="20"/>
          <w:lang w:eastAsia="et-EE"/>
        </w:rPr>
        <w:t>-</w:t>
      </w:r>
      <w:r w:rsidR="00D323AA" w:rsidRPr="00C50854">
        <w:t xml:space="preserve"> </w:t>
      </w:r>
      <w:r w:rsidR="00D323AA" w:rsidRPr="00C50854">
        <w:rPr>
          <w:sz w:val="20"/>
          <w:szCs w:val="20"/>
          <w:lang w:eastAsia="et-EE"/>
        </w:rPr>
        <w:t xml:space="preserve">I </w:t>
      </w:r>
      <w:proofErr w:type="spellStart"/>
      <w:r w:rsidR="000D5B0F" w:rsidRPr="00C50854">
        <w:rPr>
          <w:sz w:val="20"/>
          <w:szCs w:val="20"/>
          <w:lang w:eastAsia="et-EE"/>
        </w:rPr>
        <w:t>pa</w:t>
      </w:r>
      <w:proofErr w:type="spellEnd"/>
      <w:r w:rsidR="00D323AA" w:rsidRPr="00C50854">
        <w:rPr>
          <w:sz w:val="20"/>
          <w:szCs w:val="20"/>
          <w:lang w:eastAsia="et-EE"/>
        </w:rPr>
        <w:t xml:space="preserve"> 201</w:t>
      </w:r>
      <w:r w:rsidR="000D5B0F" w:rsidRPr="00C50854">
        <w:rPr>
          <w:sz w:val="20"/>
          <w:szCs w:val="20"/>
          <w:lang w:eastAsia="et-EE"/>
        </w:rPr>
        <w:t>9</w:t>
      </w:r>
    </w:p>
    <w:p w14:paraId="1D5F5B17" w14:textId="1028FCE1" w:rsidR="00731D12" w:rsidRPr="00C50854" w:rsidRDefault="00731D12" w:rsidP="00842A83">
      <w:pPr>
        <w:rPr>
          <w:lang w:eastAsia="et-EE"/>
        </w:rPr>
      </w:pPr>
    </w:p>
    <w:p w14:paraId="01BCC2C9" w14:textId="1B0350A8" w:rsidR="00842A83" w:rsidRPr="00C50854" w:rsidRDefault="00D95E36" w:rsidP="00311E1F">
      <w:pPr>
        <w:pStyle w:val="Loendilik"/>
        <w:numPr>
          <w:ilvl w:val="0"/>
          <w:numId w:val="13"/>
        </w:numPr>
        <w:suppressAutoHyphens w:val="0"/>
        <w:rPr>
          <w:lang w:eastAsia="et-EE"/>
        </w:rPr>
      </w:pPr>
      <w:r w:rsidRPr="00C50854">
        <w:rPr>
          <w:lang w:eastAsia="et-EE"/>
        </w:rPr>
        <w:t>Alljärgneval joonisel</w:t>
      </w:r>
      <w:r w:rsidR="00413B15" w:rsidRPr="00C50854">
        <w:rPr>
          <w:lang w:eastAsia="et-EE"/>
        </w:rPr>
        <w:t xml:space="preserve"> 2</w:t>
      </w:r>
      <w:r w:rsidRPr="00C50854">
        <w:rPr>
          <w:lang w:eastAsia="et-EE"/>
        </w:rPr>
        <w:t xml:space="preserve"> </w:t>
      </w:r>
      <w:r w:rsidR="00506897" w:rsidRPr="00C50854">
        <w:rPr>
          <w:lang w:eastAsia="et-EE"/>
        </w:rPr>
        <w:t xml:space="preserve">on </w:t>
      </w:r>
      <w:r w:rsidRPr="00C50854">
        <w:rPr>
          <w:lang w:eastAsia="et-EE"/>
        </w:rPr>
        <w:t>selgitat</w:t>
      </w:r>
      <w:r w:rsidR="002E5F81" w:rsidRPr="00C50854">
        <w:rPr>
          <w:lang w:eastAsia="et-EE"/>
        </w:rPr>
        <w:t>ud</w:t>
      </w:r>
      <w:r w:rsidR="00D831B1" w:rsidRPr="00C50854">
        <w:rPr>
          <w:lang w:eastAsia="et-EE"/>
        </w:rPr>
        <w:t xml:space="preserve"> vaskpaaril ja valguskaablil põhineva</w:t>
      </w:r>
      <w:r w:rsidR="002E5F81" w:rsidRPr="00C50854">
        <w:rPr>
          <w:lang w:eastAsia="et-EE"/>
        </w:rPr>
        <w:t xml:space="preserve"> juurdepääsuvõrgu ülesehitust</w:t>
      </w:r>
      <w:r w:rsidR="00506897" w:rsidRPr="00C50854">
        <w:rPr>
          <w:lang w:eastAsia="et-EE"/>
        </w:rPr>
        <w:t>.</w:t>
      </w:r>
      <w:r w:rsidR="0092489D" w:rsidRPr="00C50854">
        <w:t xml:space="preserve"> </w:t>
      </w:r>
    </w:p>
    <w:p w14:paraId="23737BE9" w14:textId="4278AD1F" w:rsidR="00D95E36" w:rsidRPr="00C50854" w:rsidRDefault="000F5E1B" w:rsidP="00842A83">
      <w:pPr>
        <w:suppressAutoHyphens w:val="0"/>
        <w:rPr>
          <w:b/>
          <w:lang w:eastAsia="et-EE"/>
        </w:rPr>
      </w:pPr>
      <w:r w:rsidRPr="00C50854">
        <w:rPr>
          <w:b/>
          <w:noProof/>
          <w:lang w:eastAsia="et-EE"/>
        </w:rPr>
        <w:lastRenderedPageBreak/>
        <w:drawing>
          <wp:inline distT="0" distB="0" distL="0" distR="0" wp14:anchorId="3D0FE50D" wp14:editId="74F1E436">
            <wp:extent cx="6297930" cy="4819650"/>
            <wp:effectExtent l="0" t="0" r="762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7930" cy="4819650"/>
                    </a:xfrm>
                    <a:prstGeom prst="rect">
                      <a:avLst/>
                    </a:prstGeom>
                    <a:noFill/>
                  </pic:spPr>
                </pic:pic>
              </a:graphicData>
            </a:graphic>
          </wp:inline>
        </w:drawing>
      </w:r>
    </w:p>
    <w:p w14:paraId="20656BB1" w14:textId="7C874213" w:rsidR="00D95E36" w:rsidRPr="00C50854" w:rsidRDefault="00534E20" w:rsidP="00534E20">
      <w:pPr>
        <w:pStyle w:val="Pealdis"/>
        <w:rPr>
          <w:bCs w:val="0"/>
          <w:lang w:eastAsia="et-EE"/>
        </w:rPr>
      </w:pPr>
      <w:r w:rsidRPr="00C50854">
        <w:t xml:space="preserve">Joonis </w:t>
      </w:r>
      <w:fldSimple w:instr=" SEQ Joonis \* ARABIC ">
        <w:r w:rsidR="002A07B5" w:rsidRPr="00C50854">
          <w:rPr>
            <w:noProof/>
          </w:rPr>
          <w:t>2</w:t>
        </w:r>
      </w:fldSimple>
      <w:r w:rsidR="00D95E36" w:rsidRPr="00C50854">
        <w:rPr>
          <w:b w:val="0"/>
          <w:bCs w:val="0"/>
          <w:lang w:eastAsia="et-EE"/>
        </w:rPr>
        <w:t xml:space="preserve">. </w:t>
      </w:r>
      <w:r w:rsidR="004D356F" w:rsidRPr="00C50854">
        <w:rPr>
          <w:b w:val="0"/>
          <w:bCs w:val="0"/>
          <w:lang w:eastAsia="et-EE"/>
        </w:rPr>
        <w:t xml:space="preserve">Kohaliku </w:t>
      </w:r>
      <w:r w:rsidR="00D95E36" w:rsidRPr="00C50854">
        <w:rPr>
          <w:b w:val="0"/>
          <w:bCs w:val="0"/>
          <w:lang w:eastAsia="et-EE"/>
        </w:rPr>
        <w:t xml:space="preserve"> juurdepääsuvõrgu skeem</w:t>
      </w:r>
    </w:p>
    <w:p w14:paraId="47AEDDEB" w14:textId="19B6CB19" w:rsidR="005D4F1C" w:rsidRPr="00C50854" w:rsidRDefault="005D4F1C" w:rsidP="00D95E36">
      <w:pPr>
        <w:suppressAutoHyphens w:val="0"/>
        <w:spacing w:before="120" w:after="120"/>
        <w:rPr>
          <w:bCs/>
          <w:sz w:val="20"/>
          <w:szCs w:val="20"/>
          <w:lang w:eastAsia="et-EE"/>
        </w:rPr>
      </w:pPr>
    </w:p>
    <w:p w14:paraId="383F0B44" w14:textId="4B7C2386" w:rsidR="000E5214" w:rsidRPr="00C50854" w:rsidRDefault="000E5214" w:rsidP="00311E1F">
      <w:pPr>
        <w:pStyle w:val="Loendilik"/>
        <w:numPr>
          <w:ilvl w:val="0"/>
          <w:numId w:val="13"/>
        </w:numPr>
        <w:suppressAutoHyphens w:val="0"/>
        <w:rPr>
          <w:lang w:eastAsia="et-EE"/>
        </w:rPr>
      </w:pPr>
      <w:r w:rsidRPr="00C50854">
        <w:t>Nagu jooniselt näha võib</w:t>
      </w:r>
      <w:r w:rsidR="009E7AC3" w:rsidRPr="00C50854">
        <w:t>,</w:t>
      </w:r>
      <w:r w:rsidRPr="00C50854">
        <w:t xml:space="preserve"> lüheneb vaskkaablil põhinev osa ja liigub kliendile lähemale (kuni 500 m), samuti suureneb DSLAM-</w:t>
      </w:r>
      <w:proofErr w:type="spellStart"/>
      <w:r w:rsidRPr="00C50854">
        <w:t>ide</w:t>
      </w:r>
      <w:proofErr w:type="spellEnd"/>
      <w:r w:rsidRPr="00C50854">
        <w:t xml:space="preserve"> </w:t>
      </w:r>
      <w:r w:rsidR="00534E20" w:rsidRPr="00C50854">
        <w:t>arv.</w:t>
      </w:r>
      <w:r w:rsidRPr="00C50854">
        <w:t xml:space="preserve"> </w:t>
      </w:r>
    </w:p>
    <w:p w14:paraId="74A7C09A" w14:textId="77777777" w:rsidR="00D95E36" w:rsidRPr="00C50854" w:rsidRDefault="00D95E36" w:rsidP="00311E1F">
      <w:pPr>
        <w:numPr>
          <w:ilvl w:val="0"/>
          <w:numId w:val="13"/>
        </w:numPr>
        <w:suppressAutoHyphens w:val="0"/>
        <w:autoSpaceDE w:val="0"/>
        <w:autoSpaceDN w:val="0"/>
        <w:adjustRightInd w:val="0"/>
        <w:spacing w:before="120" w:after="120"/>
        <w:rPr>
          <w:lang w:eastAsia="et-EE"/>
        </w:rPr>
      </w:pPr>
      <w:r w:rsidRPr="00C50854">
        <w:rPr>
          <w:lang w:eastAsia="et-EE"/>
        </w:rPr>
        <w:t>Vastavalt ESS § 2 punktidele 14 ja 15 on:</w:t>
      </w:r>
    </w:p>
    <w:p w14:paraId="6294C802" w14:textId="56C38ED4" w:rsidR="00D95E36" w:rsidRPr="00C50854" w:rsidRDefault="00E637E1" w:rsidP="00E637E1">
      <w:pPr>
        <w:suppressAutoHyphens w:val="0"/>
        <w:spacing w:before="120" w:after="120"/>
        <w:ind w:left="360"/>
        <w:contextualSpacing/>
        <w:jc w:val="both"/>
        <w:rPr>
          <w:lang w:eastAsia="et-EE"/>
        </w:rPr>
      </w:pPr>
      <w:r w:rsidRPr="00C50854">
        <w:rPr>
          <w:bCs/>
          <w:lang w:eastAsia="et-EE"/>
        </w:rPr>
        <w:t>a)</w:t>
      </w:r>
      <w:r w:rsidRPr="00C50854">
        <w:rPr>
          <w:b/>
          <w:bCs/>
          <w:lang w:eastAsia="et-EE"/>
        </w:rPr>
        <w:t xml:space="preserve"> </w:t>
      </w:r>
      <w:r w:rsidR="00D95E36" w:rsidRPr="00C50854">
        <w:rPr>
          <w:b/>
          <w:bCs/>
          <w:lang w:eastAsia="et-EE"/>
        </w:rPr>
        <w:t>kliendiliin</w:t>
      </w:r>
      <w:r w:rsidR="00D95E36" w:rsidRPr="00C50854">
        <w:rPr>
          <w:lang w:eastAsia="et-EE"/>
        </w:rPr>
        <w:t xml:space="preserve"> (</w:t>
      </w:r>
      <w:proofErr w:type="spellStart"/>
      <w:r w:rsidR="00D95E36" w:rsidRPr="00C50854">
        <w:rPr>
          <w:i/>
          <w:iCs/>
          <w:lang w:eastAsia="et-EE"/>
        </w:rPr>
        <w:t>local</w:t>
      </w:r>
      <w:proofErr w:type="spellEnd"/>
      <w:r w:rsidR="00D95E36" w:rsidRPr="00C50854">
        <w:rPr>
          <w:i/>
          <w:iCs/>
          <w:lang w:eastAsia="et-EE"/>
        </w:rPr>
        <w:t xml:space="preserve"> loop</w:t>
      </w:r>
      <w:r w:rsidR="00D95E36" w:rsidRPr="00C50854">
        <w:rPr>
          <w:lang w:eastAsia="et-EE"/>
        </w:rPr>
        <w:t>)</w:t>
      </w:r>
      <w:r w:rsidR="00733093" w:rsidRPr="00C50854">
        <w:rPr>
          <w:lang w:eastAsia="et-EE"/>
        </w:rPr>
        <w:t xml:space="preserve"> -</w:t>
      </w:r>
      <w:r w:rsidR="00D95E36" w:rsidRPr="00C50854">
        <w:rPr>
          <w:lang w:eastAsia="et-EE"/>
        </w:rPr>
        <w:t xml:space="preserve"> fikseeritud elektroonilise side võrgu lõpp-punkti ja peajaotaja või muu vastava seadme vaheline füüsiline ühendus;</w:t>
      </w:r>
    </w:p>
    <w:p w14:paraId="00C9DC82" w14:textId="5FEE967C" w:rsidR="00D95E36" w:rsidRPr="00C50854" w:rsidRDefault="00E637E1" w:rsidP="00E637E1">
      <w:pPr>
        <w:suppressAutoHyphens w:val="0"/>
        <w:spacing w:before="120" w:after="120"/>
        <w:ind w:left="360"/>
        <w:contextualSpacing/>
        <w:jc w:val="both"/>
        <w:rPr>
          <w:lang w:eastAsia="et-EE"/>
        </w:rPr>
      </w:pPr>
      <w:r w:rsidRPr="00C50854">
        <w:rPr>
          <w:bCs/>
          <w:lang w:eastAsia="et-EE"/>
        </w:rPr>
        <w:t>b)</w:t>
      </w:r>
      <w:r w:rsidRPr="00C50854">
        <w:rPr>
          <w:b/>
          <w:bCs/>
          <w:lang w:eastAsia="et-EE"/>
        </w:rPr>
        <w:t xml:space="preserve"> </w:t>
      </w:r>
      <w:r w:rsidR="00D95E36" w:rsidRPr="00C50854">
        <w:rPr>
          <w:b/>
          <w:bCs/>
          <w:lang w:eastAsia="et-EE"/>
        </w:rPr>
        <w:t>klient</w:t>
      </w:r>
      <w:r w:rsidR="00733093" w:rsidRPr="00C50854">
        <w:rPr>
          <w:b/>
          <w:bCs/>
          <w:lang w:eastAsia="et-EE"/>
        </w:rPr>
        <w:t xml:space="preserve"> -</w:t>
      </w:r>
      <w:r w:rsidR="00D95E36" w:rsidRPr="00C50854">
        <w:rPr>
          <w:lang w:eastAsia="et-EE"/>
        </w:rPr>
        <w:t xml:space="preserve"> üldkasutatavat elektroonilise side teenust kasutav isik, kellel on üldkasutatava elektroonilise side teenuse kasutamiseks leping sideettevõtjaga.</w:t>
      </w:r>
    </w:p>
    <w:p w14:paraId="5B1D0A4B" w14:textId="77777777" w:rsidR="00D95E36" w:rsidRPr="00C50854" w:rsidRDefault="00D95E36" w:rsidP="00D95E36">
      <w:pPr>
        <w:suppressAutoHyphens w:val="0"/>
        <w:spacing w:before="120" w:after="120"/>
        <w:ind w:left="900"/>
        <w:contextualSpacing/>
        <w:rPr>
          <w:lang w:eastAsia="et-EE"/>
        </w:rPr>
      </w:pPr>
    </w:p>
    <w:p w14:paraId="0420B964" w14:textId="68B353BE" w:rsidR="00D95E36" w:rsidRPr="00C50854" w:rsidRDefault="00987543" w:rsidP="00311E1F">
      <w:pPr>
        <w:numPr>
          <w:ilvl w:val="0"/>
          <w:numId w:val="13"/>
        </w:numPr>
        <w:suppressAutoHyphens w:val="0"/>
        <w:spacing w:before="120" w:after="120"/>
        <w:jc w:val="both"/>
        <w:rPr>
          <w:lang w:eastAsia="et-EE"/>
        </w:rPr>
      </w:pPr>
      <w:r w:rsidRPr="00C50854">
        <w:rPr>
          <w:bCs/>
          <w:lang w:eastAsia="et-EE"/>
        </w:rPr>
        <w:t>Otsuses</w:t>
      </w:r>
      <w:r w:rsidR="00D95E36" w:rsidRPr="00C50854">
        <w:rPr>
          <w:bCs/>
          <w:lang w:eastAsia="et-EE"/>
        </w:rPr>
        <w:t xml:space="preserve"> kasutatakse mõisteid </w:t>
      </w:r>
      <w:r w:rsidR="00D95E36" w:rsidRPr="00C50854">
        <w:rPr>
          <w:lang w:eastAsia="et-EE"/>
        </w:rPr>
        <w:t>ESS</w:t>
      </w:r>
      <w:r w:rsidR="00D95E36" w:rsidRPr="00C50854">
        <w:rPr>
          <w:bCs/>
          <w:lang w:eastAsia="et-EE"/>
        </w:rPr>
        <w:t>-</w:t>
      </w:r>
      <w:r w:rsidR="00694EDD" w:rsidRPr="00C50854">
        <w:rPr>
          <w:bCs/>
          <w:lang w:eastAsia="et-EE"/>
        </w:rPr>
        <w:t>i</w:t>
      </w:r>
      <w:r w:rsidR="00D95E36" w:rsidRPr="00C50854">
        <w:rPr>
          <w:bCs/>
          <w:lang w:eastAsia="et-EE"/>
        </w:rPr>
        <w:t xml:space="preserve">s sätestatud tähenduses. Mõisteid, mida </w:t>
      </w:r>
      <w:r w:rsidR="00694EDD" w:rsidRPr="00C50854">
        <w:rPr>
          <w:bCs/>
          <w:lang w:eastAsia="et-EE"/>
        </w:rPr>
        <w:t>ESS-is</w:t>
      </w:r>
      <w:r w:rsidR="00D95E36" w:rsidRPr="00C50854">
        <w:rPr>
          <w:bCs/>
          <w:lang w:eastAsia="et-EE"/>
        </w:rPr>
        <w:t xml:space="preserve"> defineeritud ei ole, kasutatakse järgmises tähenduses:</w:t>
      </w:r>
    </w:p>
    <w:p w14:paraId="7674DD9C" w14:textId="77777777" w:rsidR="00D95E36" w:rsidRPr="00C50854" w:rsidRDefault="00D95E36" w:rsidP="00E536EA">
      <w:pPr>
        <w:pStyle w:val="Pealdis"/>
        <w:rPr>
          <w:sz w:val="24"/>
          <w:szCs w:val="24"/>
          <w:lang w:eastAsia="et-EE"/>
        </w:rPr>
      </w:pPr>
      <w:bookmarkStart w:id="135" w:name="_Toc346810122"/>
      <w:r w:rsidRPr="00C50854">
        <w:rPr>
          <w:sz w:val="24"/>
          <w:szCs w:val="24"/>
          <w:lang w:eastAsia="et-EE"/>
        </w:rPr>
        <w:t>Mõisted</w:t>
      </w:r>
      <w:bookmarkEnd w:id="135"/>
    </w:p>
    <w:p w14:paraId="0ED0ED1C" w14:textId="37C88468" w:rsidR="00D95E36" w:rsidRPr="00C50854" w:rsidRDefault="00D95E36" w:rsidP="00D67E10">
      <w:pPr>
        <w:pStyle w:val="Loendilik"/>
        <w:numPr>
          <w:ilvl w:val="0"/>
          <w:numId w:val="16"/>
        </w:numPr>
        <w:suppressAutoHyphens w:val="0"/>
        <w:autoSpaceDE w:val="0"/>
        <w:autoSpaceDN w:val="0"/>
        <w:adjustRightInd w:val="0"/>
        <w:spacing w:before="120" w:after="120"/>
        <w:jc w:val="both"/>
        <w:rPr>
          <w:lang w:eastAsia="et-EE"/>
        </w:rPr>
      </w:pPr>
      <w:r w:rsidRPr="00C50854">
        <w:rPr>
          <w:b/>
          <w:i/>
          <w:lang w:eastAsia="et-EE"/>
        </w:rPr>
        <w:t>DSLAM -</w:t>
      </w:r>
      <w:r w:rsidR="005540B9" w:rsidRPr="00C50854">
        <w:rPr>
          <w:b/>
          <w:i/>
          <w:lang w:eastAsia="et-EE"/>
        </w:rPr>
        <w:t xml:space="preserve"> </w:t>
      </w:r>
      <w:r w:rsidRPr="00C50854">
        <w:rPr>
          <w:lang w:eastAsia="et-EE"/>
        </w:rPr>
        <w:t>(</w:t>
      </w:r>
      <w:r w:rsidRPr="00C50854">
        <w:rPr>
          <w:i/>
          <w:lang w:eastAsia="et-EE"/>
        </w:rPr>
        <w:t xml:space="preserve">Digital </w:t>
      </w:r>
      <w:proofErr w:type="spellStart"/>
      <w:r w:rsidRPr="00C50854">
        <w:rPr>
          <w:i/>
          <w:lang w:eastAsia="et-EE"/>
        </w:rPr>
        <w:t>Subscriber</w:t>
      </w:r>
      <w:proofErr w:type="spellEnd"/>
      <w:r w:rsidRPr="00C50854">
        <w:rPr>
          <w:i/>
          <w:lang w:eastAsia="et-EE"/>
        </w:rPr>
        <w:t xml:space="preserve"> Line Access </w:t>
      </w:r>
      <w:proofErr w:type="spellStart"/>
      <w:r w:rsidRPr="00C50854">
        <w:rPr>
          <w:i/>
          <w:lang w:eastAsia="et-EE"/>
        </w:rPr>
        <w:t>Multiplexer</w:t>
      </w:r>
      <w:proofErr w:type="spellEnd"/>
      <w:r w:rsidRPr="00C50854">
        <w:rPr>
          <w:lang w:eastAsia="et-EE"/>
        </w:rPr>
        <w:t xml:space="preserve">) – vaskpaaridel </w:t>
      </w:r>
      <w:r w:rsidRPr="00C50854">
        <w:rPr>
          <w:i/>
          <w:lang w:eastAsia="et-EE"/>
        </w:rPr>
        <w:t>DSL</w:t>
      </w:r>
      <w:r w:rsidRPr="00C50854">
        <w:rPr>
          <w:lang w:eastAsia="et-EE"/>
        </w:rPr>
        <w:noBreakHyphen/>
        <w:t>lairibaühenduste pakkumiseks kasutatav seade (kommutaator), mis ühtpidi kontsentreerib selle külge ühendatud vaskpaaride andmeside</w:t>
      </w:r>
      <w:r w:rsidR="00780862" w:rsidRPr="00C50854">
        <w:rPr>
          <w:lang w:eastAsia="et-EE"/>
        </w:rPr>
        <w:t xml:space="preserve"> </w:t>
      </w:r>
      <w:r w:rsidRPr="00C50854">
        <w:rPr>
          <w:lang w:eastAsia="et-EE"/>
        </w:rPr>
        <w:t xml:space="preserve">liiklust </w:t>
      </w:r>
      <w:r w:rsidRPr="00C50854">
        <w:rPr>
          <w:spacing w:val="-2"/>
          <w:lang w:eastAsia="et-EE"/>
        </w:rPr>
        <w:t xml:space="preserve">ja suunab need vastavasse sidevõrgu liidesesse ning </w:t>
      </w:r>
      <w:r w:rsidRPr="00C50854">
        <w:rPr>
          <w:spacing w:val="-3"/>
          <w:lang w:eastAsia="et-EE"/>
        </w:rPr>
        <w:t xml:space="preserve">teistpidi eraldab sidevõrgu signaalid ühe kliendi kohasteks lairiba signaalideks ning </w:t>
      </w:r>
      <w:r w:rsidRPr="00C50854">
        <w:rPr>
          <w:lang w:eastAsia="et-EE"/>
        </w:rPr>
        <w:t>suunab need vastavatesse ühenduspunktidesse;</w:t>
      </w:r>
    </w:p>
    <w:p w14:paraId="105653A8" w14:textId="7875F339" w:rsidR="00731D12" w:rsidRPr="00C50854" w:rsidRDefault="00731D12" w:rsidP="00D67E10">
      <w:pPr>
        <w:pStyle w:val="Loendilik"/>
        <w:numPr>
          <w:ilvl w:val="0"/>
          <w:numId w:val="16"/>
        </w:numPr>
      </w:pPr>
      <w:proofErr w:type="spellStart"/>
      <w:r w:rsidRPr="00C50854">
        <w:rPr>
          <w:b/>
          <w:i/>
        </w:rPr>
        <w:t>xDSL</w:t>
      </w:r>
      <w:proofErr w:type="spellEnd"/>
      <w:r w:rsidR="00733093" w:rsidRPr="00C50854">
        <w:rPr>
          <w:b/>
          <w:i/>
        </w:rPr>
        <w:t xml:space="preserve"> </w:t>
      </w:r>
      <w:r w:rsidRPr="00C50854">
        <w:t>- (</w:t>
      </w:r>
      <w:r w:rsidRPr="00C50854">
        <w:rPr>
          <w:i/>
        </w:rPr>
        <w:t xml:space="preserve">Digital </w:t>
      </w:r>
      <w:proofErr w:type="spellStart"/>
      <w:r w:rsidRPr="00C50854">
        <w:rPr>
          <w:i/>
        </w:rPr>
        <w:t>Subscriber</w:t>
      </w:r>
      <w:proofErr w:type="spellEnd"/>
      <w:r w:rsidRPr="00C50854">
        <w:rPr>
          <w:i/>
        </w:rPr>
        <w:t xml:space="preserve"> Line</w:t>
      </w:r>
      <w:r w:rsidRPr="00C50854">
        <w:t>) põhiliseks vaskpaar</w:t>
      </w:r>
      <w:r w:rsidR="00B009CF" w:rsidRPr="00C50854">
        <w:t xml:space="preserve">e kasutavaks </w:t>
      </w:r>
      <w:r w:rsidRPr="00C50854">
        <w:t xml:space="preserve"> </w:t>
      </w:r>
      <w:r w:rsidR="00B009CF" w:rsidRPr="00C50854">
        <w:t xml:space="preserve">lairiba </w:t>
      </w:r>
      <w:r w:rsidRPr="00C50854">
        <w:t>tehnoloogia</w:t>
      </w:r>
      <w:r w:rsidR="00B009CF" w:rsidRPr="00C50854">
        <w:t>ks;</w:t>
      </w:r>
    </w:p>
    <w:p w14:paraId="114DEDA1" w14:textId="5F0FEC96" w:rsidR="00731D12" w:rsidRPr="00C50854" w:rsidRDefault="00731D12" w:rsidP="00D67E10">
      <w:pPr>
        <w:pStyle w:val="Loendilik"/>
        <w:numPr>
          <w:ilvl w:val="0"/>
          <w:numId w:val="16"/>
        </w:numPr>
      </w:pPr>
      <w:r w:rsidRPr="00C50854">
        <w:rPr>
          <w:b/>
          <w:i/>
        </w:rPr>
        <w:t>Ethernet</w:t>
      </w:r>
      <w:r w:rsidR="00733093" w:rsidRPr="00C50854">
        <w:rPr>
          <w:b/>
          <w:i/>
        </w:rPr>
        <w:t xml:space="preserve"> </w:t>
      </w:r>
      <w:r w:rsidRPr="00C50854">
        <w:t xml:space="preserve">-  on </w:t>
      </w:r>
      <w:r w:rsidR="0050489D" w:rsidRPr="00C50854">
        <w:t xml:space="preserve">ülikiire läbilaskevõimega </w:t>
      </w:r>
      <w:r w:rsidRPr="00C50854">
        <w:t xml:space="preserve">lairiba </w:t>
      </w:r>
      <w:r w:rsidR="007C707A" w:rsidRPr="00C50854">
        <w:t>side</w:t>
      </w:r>
      <w:r w:rsidRPr="00C50854">
        <w:t>võrkude tehnoloog</w:t>
      </w:r>
      <w:r w:rsidR="001A35D2" w:rsidRPr="00C50854">
        <w:t>ia</w:t>
      </w:r>
      <w:r w:rsidR="001B4750" w:rsidRPr="00C50854">
        <w:t>;</w:t>
      </w:r>
    </w:p>
    <w:p w14:paraId="00250326" w14:textId="22079041" w:rsidR="00D95E36" w:rsidRPr="00C50854" w:rsidRDefault="00731D12" w:rsidP="00D95E36">
      <w:pPr>
        <w:suppressAutoHyphens w:val="0"/>
        <w:autoSpaceDE w:val="0"/>
        <w:autoSpaceDN w:val="0"/>
        <w:adjustRightInd w:val="0"/>
        <w:spacing w:before="120" w:after="120"/>
        <w:ind w:left="708" w:hanging="348"/>
        <w:jc w:val="both"/>
        <w:rPr>
          <w:lang w:eastAsia="et-EE"/>
        </w:rPr>
      </w:pPr>
      <w:r w:rsidRPr="00C50854">
        <w:rPr>
          <w:lang w:eastAsia="et-EE"/>
        </w:rPr>
        <w:t>d</w:t>
      </w:r>
      <w:r w:rsidR="00D95E36" w:rsidRPr="00C50854">
        <w:rPr>
          <w:lang w:eastAsia="et-EE"/>
        </w:rPr>
        <w:t>)</w:t>
      </w:r>
      <w:r w:rsidR="00D95E36" w:rsidRPr="00C50854">
        <w:rPr>
          <w:lang w:eastAsia="et-EE"/>
        </w:rPr>
        <w:tab/>
      </w:r>
      <w:r w:rsidR="00D95E36" w:rsidRPr="00C50854">
        <w:rPr>
          <w:b/>
          <w:i/>
          <w:lang w:eastAsia="et-EE"/>
        </w:rPr>
        <w:t>juurdepääsuvõrk</w:t>
      </w:r>
      <w:r w:rsidR="00D95E36" w:rsidRPr="00C50854">
        <w:rPr>
          <w:lang w:eastAsia="et-EE"/>
        </w:rPr>
        <w:t xml:space="preserve"> – kliendiliinidest koosnev sidevõrgu osa, mille kaudu on klientidel võimalik saada juurdep</w:t>
      </w:r>
      <w:r w:rsidR="005540B9" w:rsidRPr="00C50854">
        <w:rPr>
          <w:lang w:eastAsia="et-EE"/>
        </w:rPr>
        <w:t>ääs elektroonilise side võrgule;</w:t>
      </w:r>
    </w:p>
    <w:p w14:paraId="470A43C4" w14:textId="183CFF60" w:rsidR="0009329B" w:rsidRPr="00C50854" w:rsidRDefault="00731D12" w:rsidP="00D95E36">
      <w:pPr>
        <w:suppressAutoHyphens w:val="0"/>
        <w:autoSpaceDE w:val="0"/>
        <w:autoSpaceDN w:val="0"/>
        <w:adjustRightInd w:val="0"/>
        <w:spacing w:before="120" w:after="120"/>
        <w:ind w:left="708" w:hanging="348"/>
        <w:jc w:val="both"/>
        <w:rPr>
          <w:lang w:eastAsia="et-EE"/>
        </w:rPr>
      </w:pPr>
      <w:r w:rsidRPr="00C50854">
        <w:rPr>
          <w:lang w:eastAsia="et-EE"/>
        </w:rPr>
        <w:lastRenderedPageBreak/>
        <w:t>e</w:t>
      </w:r>
      <w:r w:rsidR="00330371" w:rsidRPr="00C50854">
        <w:rPr>
          <w:lang w:eastAsia="et-EE"/>
        </w:rPr>
        <w:t xml:space="preserve">) </w:t>
      </w:r>
      <w:r w:rsidR="00330371" w:rsidRPr="00C50854">
        <w:rPr>
          <w:b/>
          <w:i/>
          <w:lang w:eastAsia="et-EE"/>
        </w:rPr>
        <w:t>P2P</w:t>
      </w:r>
      <w:r w:rsidR="00330371" w:rsidRPr="00C50854">
        <w:rPr>
          <w:lang w:eastAsia="et-EE"/>
        </w:rPr>
        <w:t xml:space="preserve"> – (</w:t>
      </w:r>
      <w:proofErr w:type="spellStart"/>
      <w:r w:rsidR="0009329B" w:rsidRPr="00C50854">
        <w:rPr>
          <w:i/>
          <w:lang w:eastAsia="et-EE"/>
        </w:rPr>
        <w:t>P</w:t>
      </w:r>
      <w:r w:rsidR="00330371" w:rsidRPr="00C50854">
        <w:rPr>
          <w:i/>
          <w:lang w:eastAsia="et-EE"/>
        </w:rPr>
        <w:t>oint</w:t>
      </w:r>
      <w:proofErr w:type="spellEnd"/>
      <w:r w:rsidR="00330371" w:rsidRPr="00C50854">
        <w:rPr>
          <w:i/>
          <w:lang w:eastAsia="et-EE"/>
        </w:rPr>
        <w:t xml:space="preserve"> </w:t>
      </w:r>
      <w:proofErr w:type="spellStart"/>
      <w:r w:rsidR="00330371" w:rsidRPr="00C50854">
        <w:rPr>
          <w:i/>
          <w:lang w:eastAsia="et-EE"/>
        </w:rPr>
        <w:t>to</w:t>
      </w:r>
      <w:proofErr w:type="spellEnd"/>
      <w:r w:rsidR="00330371" w:rsidRPr="00C50854">
        <w:rPr>
          <w:i/>
          <w:lang w:eastAsia="et-EE"/>
        </w:rPr>
        <w:t xml:space="preserve"> </w:t>
      </w:r>
      <w:proofErr w:type="spellStart"/>
      <w:r w:rsidR="0009329B" w:rsidRPr="00C50854">
        <w:rPr>
          <w:i/>
          <w:lang w:eastAsia="et-EE"/>
        </w:rPr>
        <w:t>P</w:t>
      </w:r>
      <w:r w:rsidR="00330371" w:rsidRPr="00C50854">
        <w:rPr>
          <w:i/>
          <w:lang w:eastAsia="et-EE"/>
        </w:rPr>
        <w:t>oint</w:t>
      </w:r>
      <w:proofErr w:type="spellEnd"/>
      <w:r w:rsidR="00323BD8" w:rsidRPr="00C50854">
        <w:rPr>
          <w:lang w:eastAsia="et-EE"/>
        </w:rPr>
        <w:t xml:space="preserve">) </w:t>
      </w:r>
      <w:r w:rsidR="00042A56" w:rsidRPr="00C50854">
        <w:rPr>
          <w:lang w:eastAsia="et-EE"/>
        </w:rPr>
        <w:t>punktist-punkti sideliini kanalikihi</w:t>
      </w:r>
      <w:r w:rsidR="006C0D85" w:rsidRPr="00C50854">
        <w:rPr>
          <w:lang w:eastAsia="et-EE"/>
        </w:rPr>
        <w:t xml:space="preserve"> </w:t>
      </w:r>
      <w:r w:rsidR="00042A56" w:rsidRPr="00C50854">
        <w:rPr>
          <w:lang w:eastAsia="et-EE"/>
        </w:rPr>
        <w:t>protokoll andmete edastamiseks;</w:t>
      </w:r>
    </w:p>
    <w:p w14:paraId="384BF7DA" w14:textId="371D378D" w:rsidR="00042A56" w:rsidRPr="00C50854" w:rsidRDefault="00731D12" w:rsidP="00D95E36">
      <w:pPr>
        <w:suppressAutoHyphens w:val="0"/>
        <w:autoSpaceDE w:val="0"/>
        <w:autoSpaceDN w:val="0"/>
        <w:adjustRightInd w:val="0"/>
        <w:spacing w:before="120" w:after="120"/>
        <w:ind w:left="708" w:hanging="348"/>
        <w:jc w:val="both"/>
      </w:pPr>
      <w:r w:rsidRPr="00C50854">
        <w:rPr>
          <w:lang w:eastAsia="et-EE"/>
        </w:rPr>
        <w:t>f</w:t>
      </w:r>
      <w:r w:rsidR="00042A56" w:rsidRPr="00C50854">
        <w:rPr>
          <w:lang w:eastAsia="et-EE"/>
        </w:rPr>
        <w:t>)</w:t>
      </w:r>
      <w:r w:rsidR="00042A56" w:rsidRPr="00C50854">
        <w:t xml:space="preserve"> </w:t>
      </w:r>
      <w:proofErr w:type="spellStart"/>
      <w:r w:rsidR="000443BB" w:rsidRPr="00C50854">
        <w:rPr>
          <w:b/>
          <w:i/>
          <w:lang w:eastAsia="et-EE"/>
        </w:rPr>
        <w:t>FTTx</w:t>
      </w:r>
      <w:proofErr w:type="spellEnd"/>
      <w:r w:rsidR="004370AC" w:rsidRPr="00C50854">
        <w:rPr>
          <w:b/>
          <w:i/>
          <w:lang w:eastAsia="et-EE"/>
        </w:rPr>
        <w:t xml:space="preserve"> </w:t>
      </w:r>
      <w:r w:rsidR="00042A56" w:rsidRPr="00C50854">
        <w:rPr>
          <w:lang w:eastAsia="et-EE"/>
        </w:rPr>
        <w:t>-</w:t>
      </w:r>
      <w:r w:rsidR="00042A56" w:rsidRPr="00C50854">
        <w:t xml:space="preserve"> </w:t>
      </w:r>
      <w:r w:rsidR="000443BB" w:rsidRPr="00C50854">
        <w:t>(</w:t>
      </w:r>
      <w:proofErr w:type="spellStart"/>
      <w:r w:rsidR="000443BB" w:rsidRPr="00C50854">
        <w:rPr>
          <w:i/>
        </w:rPr>
        <w:t>Fiber</w:t>
      </w:r>
      <w:proofErr w:type="spellEnd"/>
      <w:r w:rsidR="000443BB" w:rsidRPr="00C50854">
        <w:rPr>
          <w:i/>
        </w:rPr>
        <w:t>-</w:t>
      </w:r>
      <w:proofErr w:type="spellStart"/>
      <w:r w:rsidR="000443BB" w:rsidRPr="00C50854">
        <w:rPr>
          <w:i/>
        </w:rPr>
        <w:t>to</w:t>
      </w:r>
      <w:proofErr w:type="spellEnd"/>
      <w:r w:rsidR="000443BB" w:rsidRPr="00C50854">
        <w:rPr>
          <w:i/>
        </w:rPr>
        <w:t>-</w:t>
      </w:r>
      <w:proofErr w:type="spellStart"/>
      <w:r w:rsidR="000443BB" w:rsidRPr="00C50854">
        <w:rPr>
          <w:i/>
        </w:rPr>
        <w:t>the</w:t>
      </w:r>
      <w:proofErr w:type="spellEnd"/>
      <w:r w:rsidR="000443BB" w:rsidRPr="00C50854">
        <w:rPr>
          <w:i/>
        </w:rPr>
        <w:t>-x</w:t>
      </w:r>
      <w:r w:rsidR="000443BB" w:rsidRPr="00C50854">
        <w:t>), valguskaabel erinevad variandid:</w:t>
      </w:r>
    </w:p>
    <w:p w14:paraId="45571095" w14:textId="3CF4D5B6" w:rsidR="000443BB" w:rsidRPr="00C50854" w:rsidRDefault="000443BB" w:rsidP="00731D12">
      <w:pPr>
        <w:suppressAutoHyphens w:val="0"/>
        <w:autoSpaceDE w:val="0"/>
        <w:autoSpaceDN w:val="0"/>
        <w:adjustRightInd w:val="0"/>
        <w:spacing w:before="120" w:after="120"/>
        <w:ind w:left="360" w:firstLine="348"/>
        <w:jc w:val="both"/>
        <w:rPr>
          <w:lang w:eastAsia="et-EE"/>
        </w:rPr>
      </w:pPr>
      <w:r w:rsidRPr="00C50854">
        <w:rPr>
          <w:i/>
          <w:lang w:eastAsia="et-EE"/>
        </w:rPr>
        <w:t>FTTH (</w:t>
      </w:r>
      <w:proofErr w:type="spellStart"/>
      <w:r w:rsidRPr="00C50854">
        <w:rPr>
          <w:i/>
          <w:lang w:eastAsia="et-EE"/>
        </w:rPr>
        <w:t>Fiber</w:t>
      </w:r>
      <w:proofErr w:type="spellEnd"/>
      <w:r w:rsidRPr="00C50854">
        <w:rPr>
          <w:i/>
          <w:lang w:eastAsia="et-EE"/>
        </w:rPr>
        <w:t>-</w:t>
      </w:r>
      <w:proofErr w:type="spellStart"/>
      <w:r w:rsidRPr="00C50854">
        <w:rPr>
          <w:i/>
          <w:lang w:eastAsia="et-EE"/>
        </w:rPr>
        <w:t>to</w:t>
      </w:r>
      <w:proofErr w:type="spellEnd"/>
      <w:r w:rsidRPr="00C50854">
        <w:rPr>
          <w:i/>
          <w:lang w:eastAsia="et-EE"/>
        </w:rPr>
        <w:t>-</w:t>
      </w:r>
      <w:proofErr w:type="spellStart"/>
      <w:r w:rsidRPr="00C50854">
        <w:rPr>
          <w:i/>
          <w:lang w:eastAsia="et-EE"/>
        </w:rPr>
        <w:t>the</w:t>
      </w:r>
      <w:proofErr w:type="spellEnd"/>
      <w:r w:rsidRPr="00C50854">
        <w:rPr>
          <w:i/>
          <w:lang w:eastAsia="et-EE"/>
        </w:rPr>
        <w:t>-Home</w:t>
      </w:r>
      <w:r w:rsidRPr="00C50854">
        <w:rPr>
          <w:lang w:eastAsia="et-EE"/>
        </w:rPr>
        <w:t>), on optiline kaabel koduni (eramajani või korterini)</w:t>
      </w:r>
      <w:r w:rsidR="00941B7D" w:rsidRPr="00C50854">
        <w:rPr>
          <w:lang w:eastAsia="et-EE"/>
        </w:rPr>
        <w:t>;</w:t>
      </w:r>
      <w:r w:rsidRPr="00C50854">
        <w:rPr>
          <w:lang w:eastAsia="et-EE"/>
        </w:rPr>
        <w:t xml:space="preserve"> </w:t>
      </w:r>
    </w:p>
    <w:p w14:paraId="76A19234" w14:textId="17B78947" w:rsidR="000443BB" w:rsidRPr="00C50854" w:rsidRDefault="000443BB" w:rsidP="00731D12">
      <w:pPr>
        <w:suppressAutoHyphens w:val="0"/>
        <w:autoSpaceDE w:val="0"/>
        <w:autoSpaceDN w:val="0"/>
        <w:adjustRightInd w:val="0"/>
        <w:spacing w:before="120" w:after="120"/>
        <w:ind w:left="360" w:firstLine="348"/>
        <w:jc w:val="both"/>
        <w:rPr>
          <w:lang w:eastAsia="et-EE"/>
        </w:rPr>
      </w:pPr>
      <w:r w:rsidRPr="00C50854">
        <w:rPr>
          <w:i/>
          <w:lang w:eastAsia="et-EE"/>
        </w:rPr>
        <w:t>FTTB (</w:t>
      </w:r>
      <w:proofErr w:type="spellStart"/>
      <w:r w:rsidRPr="00C50854">
        <w:rPr>
          <w:i/>
          <w:lang w:eastAsia="et-EE"/>
        </w:rPr>
        <w:t>Fiber</w:t>
      </w:r>
      <w:proofErr w:type="spellEnd"/>
      <w:r w:rsidRPr="00C50854">
        <w:rPr>
          <w:i/>
          <w:lang w:eastAsia="et-EE"/>
        </w:rPr>
        <w:t>-</w:t>
      </w:r>
      <w:proofErr w:type="spellStart"/>
      <w:r w:rsidRPr="00C50854">
        <w:rPr>
          <w:i/>
          <w:lang w:eastAsia="et-EE"/>
        </w:rPr>
        <w:t>to</w:t>
      </w:r>
      <w:proofErr w:type="spellEnd"/>
      <w:r w:rsidRPr="00C50854">
        <w:rPr>
          <w:i/>
          <w:lang w:eastAsia="et-EE"/>
        </w:rPr>
        <w:t>-</w:t>
      </w:r>
      <w:proofErr w:type="spellStart"/>
      <w:r w:rsidRPr="00C50854">
        <w:rPr>
          <w:i/>
          <w:lang w:eastAsia="et-EE"/>
        </w:rPr>
        <w:t>the</w:t>
      </w:r>
      <w:proofErr w:type="spellEnd"/>
      <w:r w:rsidRPr="00C50854">
        <w:rPr>
          <w:i/>
          <w:lang w:eastAsia="et-EE"/>
        </w:rPr>
        <w:t>-Buildin</w:t>
      </w:r>
      <w:r w:rsidRPr="00C50854">
        <w:rPr>
          <w:lang w:eastAsia="et-EE"/>
        </w:rPr>
        <w:t>g), optiline kaabel majani (seda nii kortermaja või ärihooneni)</w:t>
      </w:r>
      <w:r w:rsidR="00941B7D" w:rsidRPr="00C50854">
        <w:rPr>
          <w:lang w:eastAsia="et-EE"/>
        </w:rPr>
        <w:t>;</w:t>
      </w:r>
      <w:r w:rsidRPr="00C50854">
        <w:rPr>
          <w:lang w:eastAsia="et-EE"/>
        </w:rPr>
        <w:t xml:space="preserve"> </w:t>
      </w:r>
    </w:p>
    <w:p w14:paraId="6117D512" w14:textId="3EACE9EE" w:rsidR="000443BB" w:rsidRPr="00C50854" w:rsidRDefault="000443BB" w:rsidP="00731D12">
      <w:pPr>
        <w:suppressAutoHyphens w:val="0"/>
        <w:autoSpaceDE w:val="0"/>
        <w:autoSpaceDN w:val="0"/>
        <w:adjustRightInd w:val="0"/>
        <w:spacing w:before="120" w:after="120"/>
        <w:ind w:left="708"/>
        <w:jc w:val="both"/>
        <w:rPr>
          <w:lang w:eastAsia="et-EE"/>
        </w:rPr>
      </w:pPr>
      <w:r w:rsidRPr="00C50854">
        <w:rPr>
          <w:i/>
          <w:lang w:eastAsia="et-EE"/>
        </w:rPr>
        <w:t>FTTN (</w:t>
      </w:r>
      <w:proofErr w:type="spellStart"/>
      <w:r w:rsidRPr="00C50854">
        <w:rPr>
          <w:i/>
          <w:lang w:eastAsia="et-EE"/>
        </w:rPr>
        <w:t>Fiber-to-the-Node</w:t>
      </w:r>
      <w:proofErr w:type="spellEnd"/>
      <w:r w:rsidRPr="00C50854">
        <w:rPr>
          <w:i/>
          <w:lang w:eastAsia="et-EE"/>
        </w:rPr>
        <w:t>/</w:t>
      </w:r>
      <w:proofErr w:type="spellStart"/>
      <w:r w:rsidRPr="00C50854">
        <w:rPr>
          <w:i/>
          <w:lang w:eastAsia="et-EE"/>
        </w:rPr>
        <w:t>Neighborhood</w:t>
      </w:r>
      <w:proofErr w:type="spellEnd"/>
      <w:r w:rsidRPr="00C50854">
        <w:rPr>
          <w:i/>
          <w:lang w:eastAsia="et-EE"/>
        </w:rPr>
        <w:t>)</w:t>
      </w:r>
      <w:r w:rsidR="00733093" w:rsidRPr="00C50854">
        <w:rPr>
          <w:i/>
          <w:lang w:eastAsia="et-EE"/>
        </w:rPr>
        <w:t xml:space="preserve"> </w:t>
      </w:r>
      <w:r w:rsidRPr="00C50854">
        <w:rPr>
          <w:lang w:eastAsia="et-EE"/>
        </w:rPr>
        <w:t>- optiline kaabel vahejaotuspunktini ehk tänavajaotuskapini</w:t>
      </w:r>
      <w:r w:rsidR="00941B7D" w:rsidRPr="00C50854">
        <w:rPr>
          <w:lang w:eastAsia="et-EE"/>
        </w:rPr>
        <w:t>;</w:t>
      </w:r>
    </w:p>
    <w:p w14:paraId="1A48CA20" w14:textId="0A972E40" w:rsidR="000443BB" w:rsidRPr="00C50854" w:rsidRDefault="000443BB" w:rsidP="00731D12">
      <w:pPr>
        <w:suppressAutoHyphens w:val="0"/>
        <w:autoSpaceDE w:val="0"/>
        <w:autoSpaceDN w:val="0"/>
        <w:adjustRightInd w:val="0"/>
        <w:spacing w:before="120" w:after="120"/>
        <w:ind w:left="708"/>
        <w:jc w:val="both"/>
        <w:rPr>
          <w:lang w:eastAsia="et-EE"/>
        </w:rPr>
      </w:pPr>
      <w:r w:rsidRPr="00C50854">
        <w:rPr>
          <w:i/>
          <w:lang w:eastAsia="et-EE"/>
        </w:rPr>
        <w:t>FTTC</w:t>
      </w:r>
      <w:r w:rsidRPr="00C50854">
        <w:rPr>
          <w:lang w:eastAsia="et-EE"/>
        </w:rPr>
        <w:t xml:space="preserve"> (</w:t>
      </w:r>
      <w:proofErr w:type="spellStart"/>
      <w:r w:rsidRPr="00C50854">
        <w:rPr>
          <w:i/>
          <w:lang w:eastAsia="et-EE"/>
        </w:rPr>
        <w:t>Fiber-to-the-Curb</w:t>
      </w:r>
      <w:proofErr w:type="spellEnd"/>
      <w:r w:rsidRPr="00C50854">
        <w:rPr>
          <w:lang w:eastAsia="et-EE"/>
        </w:rPr>
        <w:t>)</w:t>
      </w:r>
      <w:r w:rsidR="00733093" w:rsidRPr="00C50854">
        <w:rPr>
          <w:lang w:eastAsia="et-EE"/>
        </w:rPr>
        <w:t xml:space="preserve"> </w:t>
      </w:r>
      <w:r w:rsidRPr="00C50854">
        <w:rPr>
          <w:lang w:eastAsia="et-EE"/>
        </w:rPr>
        <w:t xml:space="preserve">-  optiline kaabel lõpp-punkti (lõpp punkt asub eraomandi piiril ning on võimalus vastavast punktist tagada eramajadele juurdepääs sidevõrgule); </w:t>
      </w:r>
    </w:p>
    <w:p w14:paraId="26F67038" w14:textId="55EB18A4" w:rsidR="00D95E36" w:rsidRPr="00C50854" w:rsidRDefault="00731D12" w:rsidP="0066290E">
      <w:pPr>
        <w:suppressAutoHyphens w:val="0"/>
        <w:autoSpaceDE w:val="0"/>
        <w:autoSpaceDN w:val="0"/>
        <w:adjustRightInd w:val="0"/>
        <w:spacing w:before="120" w:after="120"/>
        <w:ind w:left="708" w:hanging="348"/>
        <w:jc w:val="both"/>
        <w:rPr>
          <w:lang w:eastAsia="et-EE"/>
        </w:rPr>
      </w:pPr>
      <w:r w:rsidRPr="00C50854">
        <w:rPr>
          <w:lang w:eastAsia="et-EE"/>
        </w:rPr>
        <w:t>g</w:t>
      </w:r>
      <w:r w:rsidR="0066290E" w:rsidRPr="00C50854">
        <w:rPr>
          <w:lang w:eastAsia="et-EE"/>
        </w:rPr>
        <w:t>)</w:t>
      </w:r>
      <w:r w:rsidR="0066290E" w:rsidRPr="00C50854">
        <w:rPr>
          <w:lang w:eastAsia="et-EE"/>
        </w:rPr>
        <w:tab/>
      </w:r>
      <w:r w:rsidR="00330371" w:rsidRPr="00C50854">
        <w:rPr>
          <w:b/>
          <w:i/>
          <w:lang w:eastAsia="et-EE"/>
        </w:rPr>
        <w:t>PON</w:t>
      </w:r>
      <w:r w:rsidR="004370AC" w:rsidRPr="00C50854">
        <w:rPr>
          <w:b/>
          <w:i/>
          <w:lang w:eastAsia="et-EE"/>
        </w:rPr>
        <w:t xml:space="preserve"> </w:t>
      </w:r>
      <w:r w:rsidR="00D95E36" w:rsidRPr="00C50854">
        <w:rPr>
          <w:lang w:val="es-ES" w:eastAsia="et-EE"/>
        </w:rPr>
        <w:t>–</w:t>
      </w:r>
      <w:r w:rsidR="00D95E36" w:rsidRPr="00C50854">
        <w:rPr>
          <w:i/>
          <w:lang w:val="es-ES" w:eastAsia="et-EE"/>
        </w:rPr>
        <w:t xml:space="preserve"> (</w:t>
      </w:r>
      <w:r w:rsidR="00331A22" w:rsidRPr="00C50854">
        <w:rPr>
          <w:i/>
          <w:lang w:val="es-ES" w:eastAsia="et-EE"/>
        </w:rPr>
        <w:t xml:space="preserve">Passive Optical Networks </w:t>
      </w:r>
      <w:r w:rsidR="00D95E36" w:rsidRPr="00C50854">
        <w:rPr>
          <w:lang w:eastAsia="et-EE"/>
        </w:rPr>
        <w:t xml:space="preserve">) – </w:t>
      </w:r>
      <w:r w:rsidRPr="00C50854">
        <w:rPr>
          <w:lang w:eastAsia="et-EE"/>
        </w:rPr>
        <w:t>valguskaabel</w:t>
      </w:r>
      <w:r w:rsidR="006C0D85" w:rsidRPr="00C50854">
        <w:rPr>
          <w:lang w:eastAsia="et-EE"/>
        </w:rPr>
        <w:t>-</w:t>
      </w:r>
      <w:r w:rsidRPr="00C50854">
        <w:rPr>
          <w:lang w:eastAsia="et-EE"/>
        </w:rPr>
        <w:t xml:space="preserve">tehnoloogiad, mis kasutavad passiivset </w:t>
      </w:r>
      <w:proofErr w:type="spellStart"/>
      <w:r w:rsidRPr="00C50854">
        <w:rPr>
          <w:lang w:eastAsia="et-EE"/>
        </w:rPr>
        <w:t>splitterit</w:t>
      </w:r>
      <w:proofErr w:type="spellEnd"/>
      <w:r w:rsidRPr="00C50854">
        <w:rPr>
          <w:lang w:eastAsia="et-EE"/>
        </w:rPr>
        <w:t xml:space="preserve"> juurdepääsu sõlme ja kasutaja vahel</w:t>
      </w:r>
      <w:r w:rsidR="00D95E36" w:rsidRPr="00C50854">
        <w:rPr>
          <w:lang w:eastAsia="et-EE"/>
        </w:rPr>
        <w:t>.</w:t>
      </w:r>
    </w:p>
    <w:p w14:paraId="75F4E724" w14:textId="15D5B167" w:rsidR="00AA0D24" w:rsidRPr="00C50854" w:rsidRDefault="00AA0D24" w:rsidP="0007096C">
      <w:pPr>
        <w:suppressAutoHyphens w:val="0"/>
        <w:autoSpaceDE w:val="0"/>
        <w:autoSpaceDN w:val="0"/>
        <w:adjustRightInd w:val="0"/>
        <w:spacing w:before="120" w:after="120"/>
        <w:ind w:left="426"/>
        <w:jc w:val="both"/>
        <w:rPr>
          <w:lang w:eastAsia="et-EE"/>
        </w:rPr>
      </w:pPr>
      <w:r w:rsidRPr="00C50854">
        <w:rPr>
          <w:lang w:eastAsia="et-EE"/>
        </w:rPr>
        <w:t xml:space="preserve">Peajaotajaks võib olla sõltuvalt võrgu tehnoloogiast DSLAM, PON, </w:t>
      </w:r>
      <w:r w:rsidR="00D83EF9" w:rsidRPr="00C50854">
        <w:rPr>
          <w:lang w:eastAsia="et-EE"/>
        </w:rPr>
        <w:t>Ethernet</w:t>
      </w:r>
      <w:r w:rsidR="000D040A" w:rsidRPr="00C50854">
        <w:rPr>
          <w:lang w:eastAsia="et-EE"/>
        </w:rPr>
        <w:t>i</w:t>
      </w:r>
      <w:r w:rsidR="00D83EF9" w:rsidRPr="00C50854">
        <w:rPr>
          <w:lang w:eastAsia="et-EE"/>
        </w:rPr>
        <w:t xml:space="preserve"> </w:t>
      </w:r>
      <w:r w:rsidR="000D040A" w:rsidRPr="00C50854">
        <w:rPr>
          <w:lang w:eastAsia="et-EE"/>
        </w:rPr>
        <w:t>kommutaator</w:t>
      </w:r>
      <w:r w:rsidR="00B009CF" w:rsidRPr="00C50854">
        <w:rPr>
          <w:lang w:eastAsia="et-EE"/>
        </w:rPr>
        <w:t xml:space="preserve"> </w:t>
      </w:r>
      <w:r w:rsidR="00D83EF9" w:rsidRPr="00C50854">
        <w:rPr>
          <w:lang w:eastAsia="et-EE"/>
        </w:rPr>
        <w:t xml:space="preserve">või mõni muu seade, milles toimub kliendile </w:t>
      </w:r>
      <w:r w:rsidR="0007096C" w:rsidRPr="00C50854">
        <w:t>või klientide alamgrupile teenuste eristamine</w:t>
      </w:r>
      <w:r w:rsidR="0007096C" w:rsidRPr="00C50854">
        <w:rPr>
          <w:lang w:eastAsia="et-EE"/>
        </w:rPr>
        <w:t xml:space="preserve"> </w:t>
      </w:r>
      <w:r w:rsidR="00D83EF9" w:rsidRPr="00C50854">
        <w:rPr>
          <w:lang w:eastAsia="et-EE"/>
        </w:rPr>
        <w:t xml:space="preserve">üldisest signaalide voost või andmeside mahust. </w:t>
      </w:r>
    </w:p>
    <w:p w14:paraId="573BDCA6" w14:textId="1092FD6D" w:rsidR="00D95E36" w:rsidRPr="00C50854" w:rsidRDefault="00D95E36" w:rsidP="00311E1F">
      <w:pPr>
        <w:numPr>
          <w:ilvl w:val="0"/>
          <w:numId w:val="13"/>
        </w:numPr>
        <w:suppressAutoHyphens w:val="0"/>
        <w:spacing w:before="240" w:after="120"/>
        <w:rPr>
          <w:lang w:eastAsia="et-EE"/>
        </w:rPr>
      </w:pPr>
      <w:r w:rsidRPr="00C50854">
        <w:rPr>
          <w:lang w:eastAsia="et-EE"/>
        </w:rPr>
        <w:t>Seega kuuluvad vaadeldavale turule järgmised</w:t>
      </w:r>
      <w:r w:rsidR="003E1AAA" w:rsidRPr="00C50854">
        <w:rPr>
          <w:lang w:eastAsia="et-EE"/>
        </w:rPr>
        <w:t xml:space="preserve"> vask- ja valguskaabl</w:t>
      </w:r>
      <w:r w:rsidR="006C0D85" w:rsidRPr="00C50854">
        <w:rPr>
          <w:lang w:eastAsia="et-EE"/>
        </w:rPr>
        <w:t>il osutatavad</w:t>
      </w:r>
      <w:r w:rsidRPr="00C50854">
        <w:rPr>
          <w:lang w:eastAsia="et-EE"/>
        </w:rPr>
        <w:t xml:space="preserve"> põhiteenused ja tugiteenused:</w:t>
      </w:r>
    </w:p>
    <w:p w14:paraId="2E8CBF65" w14:textId="1265193E" w:rsidR="00D95E36" w:rsidRPr="00C50854" w:rsidRDefault="00D95E36" w:rsidP="00BE48A9">
      <w:pPr>
        <w:numPr>
          <w:ilvl w:val="1"/>
          <w:numId w:val="14"/>
        </w:numPr>
        <w:suppressAutoHyphens w:val="0"/>
        <w:spacing w:before="120" w:after="120"/>
        <w:jc w:val="both"/>
        <w:rPr>
          <w:lang w:eastAsia="et-EE"/>
        </w:rPr>
      </w:pPr>
      <w:r w:rsidRPr="00C50854">
        <w:rPr>
          <w:bCs/>
          <w:lang w:eastAsia="et-EE"/>
        </w:rPr>
        <w:t>täielik juurdepääs kliendiliinile</w:t>
      </w:r>
      <w:r w:rsidRPr="00C50854">
        <w:rPr>
          <w:lang w:eastAsia="et-EE"/>
        </w:rPr>
        <w:t xml:space="preserve"> </w:t>
      </w:r>
      <w:r w:rsidRPr="00C50854">
        <w:rPr>
          <w:i/>
          <w:iCs/>
          <w:lang w:eastAsia="et-EE"/>
        </w:rPr>
        <w:t>(</w:t>
      </w:r>
      <w:proofErr w:type="spellStart"/>
      <w:r w:rsidRPr="00C50854">
        <w:rPr>
          <w:i/>
          <w:iCs/>
          <w:lang w:eastAsia="et-EE"/>
        </w:rPr>
        <w:t>fully</w:t>
      </w:r>
      <w:proofErr w:type="spellEnd"/>
      <w:r w:rsidRPr="00C50854">
        <w:rPr>
          <w:i/>
          <w:iCs/>
          <w:lang w:eastAsia="et-EE"/>
        </w:rPr>
        <w:t xml:space="preserve"> </w:t>
      </w:r>
      <w:proofErr w:type="spellStart"/>
      <w:r w:rsidRPr="00C50854">
        <w:rPr>
          <w:i/>
          <w:iCs/>
          <w:lang w:eastAsia="et-EE"/>
        </w:rPr>
        <w:t>unbundled</w:t>
      </w:r>
      <w:proofErr w:type="spellEnd"/>
      <w:r w:rsidRPr="00C50854">
        <w:rPr>
          <w:i/>
          <w:iCs/>
          <w:lang w:eastAsia="et-EE"/>
        </w:rPr>
        <w:t xml:space="preserve"> </w:t>
      </w:r>
      <w:proofErr w:type="spellStart"/>
      <w:r w:rsidRPr="00C50854">
        <w:rPr>
          <w:i/>
          <w:iCs/>
          <w:lang w:eastAsia="et-EE"/>
        </w:rPr>
        <w:t>local</w:t>
      </w:r>
      <w:proofErr w:type="spellEnd"/>
      <w:r w:rsidRPr="00C50854">
        <w:rPr>
          <w:i/>
          <w:iCs/>
          <w:lang w:eastAsia="et-EE"/>
        </w:rPr>
        <w:t xml:space="preserve"> loop) </w:t>
      </w:r>
      <w:r w:rsidRPr="00C50854">
        <w:rPr>
          <w:lang w:eastAsia="et-EE"/>
        </w:rPr>
        <w:t>– teisele sideettevõtjale antakse kasutada (renditakse) kliendiliin (füüsiline ühendus peajaotajast lõpp-punktini) tervikuna kogu sagedusspektri ulatuses</w:t>
      </w:r>
      <w:r w:rsidR="00963A01" w:rsidRPr="00C50854">
        <w:rPr>
          <w:lang w:eastAsia="et-EE"/>
        </w:rPr>
        <w:t xml:space="preserve">, va </w:t>
      </w:r>
      <w:r w:rsidR="00C62E48" w:rsidRPr="00C50854">
        <w:rPr>
          <w:i/>
          <w:lang w:eastAsia="et-EE"/>
        </w:rPr>
        <w:t xml:space="preserve">VDSL </w:t>
      </w:r>
      <w:proofErr w:type="spellStart"/>
      <w:r w:rsidR="00C62E48" w:rsidRPr="00C50854">
        <w:rPr>
          <w:i/>
          <w:lang w:eastAsia="et-EE"/>
        </w:rPr>
        <w:t>vectoring</w:t>
      </w:r>
      <w:proofErr w:type="spellEnd"/>
      <w:r w:rsidR="00963A01" w:rsidRPr="00C50854">
        <w:rPr>
          <w:lang w:eastAsia="et-EE"/>
        </w:rPr>
        <w:t xml:space="preserve"> tehnoloogiale </w:t>
      </w:r>
      <w:proofErr w:type="spellStart"/>
      <w:r w:rsidR="00963A01" w:rsidRPr="00C50854">
        <w:rPr>
          <w:lang w:eastAsia="et-EE"/>
        </w:rPr>
        <w:t>üleviidud</w:t>
      </w:r>
      <w:proofErr w:type="spellEnd"/>
      <w:r w:rsidR="00963A01" w:rsidRPr="00C50854">
        <w:rPr>
          <w:lang w:eastAsia="et-EE"/>
        </w:rPr>
        <w:t xml:space="preserve"> vaskpaarid</w:t>
      </w:r>
      <w:r w:rsidRPr="00C50854">
        <w:rPr>
          <w:lang w:eastAsia="et-EE"/>
        </w:rPr>
        <w:t>;</w:t>
      </w:r>
    </w:p>
    <w:p w14:paraId="1238B615" w14:textId="4B862595" w:rsidR="00D95E36" w:rsidRPr="00C50854" w:rsidRDefault="00D95E36" w:rsidP="00BE48A9">
      <w:pPr>
        <w:numPr>
          <w:ilvl w:val="1"/>
          <w:numId w:val="14"/>
        </w:numPr>
        <w:suppressAutoHyphens w:val="0"/>
        <w:spacing w:before="120" w:after="120"/>
        <w:jc w:val="both"/>
        <w:rPr>
          <w:lang w:eastAsia="et-EE"/>
        </w:rPr>
      </w:pPr>
      <w:r w:rsidRPr="00C50854">
        <w:rPr>
          <w:bCs/>
          <w:lang w:eastAsia="et-EE"/>
        </w:rPr>
        <w:t>jagatud juurdepääs kliendiliinile ja/või alamkliendiliinile</w:t>
      </w:r>
      <w:r w:rsidRPr="00C50854">
        <w:rPr>
          <w:lang w:eastAsia="et-EE"/>
        </w:rPr>
        <w:t xml:space="preserve"> </w:t>
      </w:r>
      <w:r w:rsidRPr="00C50854">
        <w:rPr>
          <w:i/>
          <w:iCs/>
          <w:lang w:eastAsia="et-EE"/>
        </w:rPr>
        <w:t>(</w:t>
      </w:r>
      <w:proofErr w:type="spellStart"/>
      <w:r w:rsidRPr="00C50854">
        <w:rPr>
          <w:i/>
          <w:iCs/>
          <w:lang w:eastAsia="et-EE"/>
        </w:rPr>
        <w:t>shared</w:t>
      </w:r>
      <w:proofErr w:type="spellEnd"/>
      <w:r w:rsidRPr="00C50854">
        <w:rPr>
          <w:i/>
          <w:iCs/>
          <w:lang w:eastAsia="et-EE"/>
        </w:rPr>
        <w:t xml:space="preserve"> </w:t>
      </w:r>
      <w:proofErr w:type="spellStart"/>
      <w:r w:rsidRPr="00C50854">
        <w:rPr>
          <w:i/>
          <w:iCs/>
          <w:lang w:eastAsia="et-EE"/>
        </w:rPr>
        <w:t>access</w:t>
      </w:r>
      <w:proofErr w:type="spellEnd"/>
      <w:r w:rsidRPr="00C50854">
        <w:rPr>
          <w:i/>
          <w:iCs/>
          <w:lang w:eastAsia="et-EE"/>
        </w:rPr>
        <w:t xml:space="preserve"> </w:t>
      </w:r>
      <w:proofErr w:type="spellStart"/>
      <w:r w:rsidRPr="00C50854">
        <w:rPr>
          <w:i/>
          <w:iCs/>
          <w:lang w:eastAsia="et-EE"/>
        </w:rPr>
        <w:t>local</w:t>
      </w:r>
      <w:proofErr w:type="spellEnd"/>
      <w:r w:rsidRPr="00C50854">
        <w:rPr>
          <w:i/>
          <w:iCs/>
          <w:lang w:eastAsia="et-EE"/>
        </w:rPr>
        <w:t xml:space="preserve"> </w:t>
      </w:r>
      <w:proofErr w:type="spellStart"/>
      <w:r w:rsidRPr="00C50854">
        <w:rPr>
          <w:i/>
          <w:iCs/>
          <w:lang w:eastAsia="et-EE"/>
        </w:rPr>
        <w:t>or</w:t>
      </w:r>
      <w:proofErr w:type="spellEnd"/>
      <w:r w:rsidRPr="00C50854">
        <w:rPr>
          <w:i/>
          <w:iCs/>
          <w:lang w:eastAsia="et-EE"/>
        </w:rPr>
        <w:t xml:space="preserve"> </w:t>
      </w:r>
      <w:proofErr w:type="spellStart"/>
      <w:r w:rsidRPr="00C50854">
        <w:rPr>
          <w:i/>
          <w:iCs/>
          <w:lang w:eastAsia="et-EE"/>
        </w:rPr>
        <w:t>sub</w:t>
      </w:r>
      <w:proofErr w:type="spellEnd"/>
      <w:r w:rsidRPr="00C50854">
        <w:rPr>
          <w:i/>
          <w:iCs/>
          <w:lang w:eastAsia="et-EE"/>
        </w:rPr>
        <w:t xml:space="preserve">-loop) </w:t>
      </w:r>
      <w:r w:rsidRPr="00C50854">
        <w:rPr>
          <w:lang w:eastAsia="et-EE"/>
        </w:rPr>
        <w:t>sideettevõtja juurdepääs teise sideettevõtja kliendiliinile või alamkliendiliinile, millega võimaldatakse kasutada vastavat elektroonilise side võrgu infrastruktuuri mahtu osaliselt</w:t>
      </w:r>
      <w:r w:rsidR="00963A01" w:rsidRPr="00C50854">
        <w:rPr>
          <w:lang w:eastAsia="et-EE"/>
        </w:rPr>
        <w:t xml:space="preserve">, va </w:t>
      </w:r>
      <w:bookmarkStart w:id="136" w:name="_Hlk38530832"/>
      <w:r w:rsidR="007D2B7F" w:rsidRPr="00C50854">
        <w:rPr>
          <w:i/>
          <w:lang w:eastAsia="et-EE"/>
        </w:rPr>
        <w:t xml:space="preserve">VDSL </w:t>
      </w:r>
      <w:proofErr w:type="spellStart"/>
      <w:r w:rsidR="00963A01" w:rsidRPr="00C50854">
        <w:rPr>
          <w:i/>
          <w:lang w:eastAsia="et-EE"/>
        </w:rPr>
        <w:t>ve</w:t>
      </w:r>
      <w:r w:rsidR="007D2B7F" w:rsidRPr="00C50854">
        <w:rPr>
          <w:i/>
          <w:lang w:eastAsia="et-EE"/>
        </w:rPr>
        <w:t>c</w:t>
      </w:r>
      <w:r w:rsidR="00963A01" w:rsidRPr="00C50854">
        <w:rPr>
          <w:i/>
          <w:lang w:eastAsia="et-EE"/>
        </w:rPr>
        <w:t>toring</w:t>
      </w:r>
      <w:proofErr w:type="spellEnd"/>
      <w:r w:rsidR="00963A01" w:rsidRPr="00C50854">
        <w:rPr>
          <w:lang w:eastAsia="et-EE"/>
        </w:rPr>
        <w:t xml:space="preserve"> </w:t>
      </w:r>
      <w:bookmarkEnd w:id="136"/>
      <w:r w:rsidR="00963A01" w:rsidRPr="00C50854">
        <w:rPr>
          <w:lang w:eastAsia="et-EE"/>
        </w:rPr>
        <w:t xml:space="preserve">tehnoloogiale </w:t>
      </w:r>
      <w:proofErr w:type="spellStart"/>
      <w:r w:rsidR="00963A01" w:rsidRPr="00C50854">
        <w:rPr>
          <w:lang w:eastAsia="et-EE"/>
        </w:rPr>
        <w:t>üleviidud</w:t>
      </w:r>
      <w:proofErr w:type="spellEnd"/>
      <w:r w:rsidR="00963A01" w:rsidRPr="00C50854">
        <w:rPr>
          <w:lang w:eastAsia="et-EE"/>
        </w:rPr>
        <w:t xml:space="preserve"> vaskpaarid</w:t>
      </w:r>
      <w:r w:rsidRPr="00C50854">
        <w:rPr>
          <w:lang w:eastAsia="et-EE"/>
        </w:rPr>
        <w:t>;</w:t>
      </w:r>
    </w:p>
    <w:p w14:paraId="24ADF6A8" w14:textId="78F92DA5" w:rsidR="00D95E36" w:rsidRPr="00C50854" w:rsidRDefault="00D95E36" w:rsidP="00BE48A9">
      <w:pPr>
        <w:numPr>
          <w:ilvl w:val="1"/>
          <w:numId w:val="14"/>
        </w:numPr>
        <w:suppressAutoHyphens w:val="0"/>
        <w:spacing w:before="120" w:after="120"/>
        <w:jc w:val="both"/>
        <w:rPr>
          <w:lang w:eastAsia="et-EE"/>
        </w:rPr>
      </w:pPr>
      <w:r w:rsidRPr="00C50854">
        <w:rPr>
          <w:lang w:eastAsia="et-EE"/>
        </w:rPr>
        <w:t>j</w:t>
      </w:r>
      <w:r w:rsidRPr="00C50854">
        <w:rPr>
          <w:bCs/>
          <w:lang w:eastAsia="et-EE"/>
        </w:rPr>
        <w:t xml:space="preserve">uurdepääsu tugiteenused - teisele sideettevõtjale juurdepääsu võimaldamises </w:t>
      </w:r>
      <w:r w:rsidRPr="00C50854">
        <w:rPr>
          <w:lang w:eastAsia="et-EE"/>
        </w:rPr>
        <w:t>kaablikanalisatsioonile ja muudele sidevõrgu osadele, seadmetele ja teenustele (muuhulgas juurdepääsu seadmemajutuse</w:t>
      </w:r>
      <w:r w:rsidRPr="00C50854">
        <w:rPr>
          <w:vertAlign w:val="superscript"/>
          <w:lang w:eastAsia="et-EE"/>
        </w:rPr>
        <w:footnoteReference w:id="24"/>
      </w:r>
      <w:r w:rsidRPr="00C50854">
        <w:rPr>
          <w:lang w:eastAsia="et-EE"/>
        </w:rPr>
        <w:t xml:space="preserve"> teenusele ja hoonete ühiskasutusele), mis on teisele sideettevõtjale vajalikud </w:t>
      </w:r>
      <w:r w:rsidR="0028661F" w:rsidRPr="00C50854">
        <w:rPr>
          <w:lang w:eastAsia="et-EE"/>
        </w:rPr>
        <w:t xml:space="preserve">kohaliku </w:t>
      </w:r>
      <w:r w:rsidRPr="00C50854">
        <w:rPr>
          <w:lang w:eastAsia="et-EE"/>
        </w:rPr>
        <w:t xml:space="preserve">juurdepääsu </w:t>
      </w:r>
      <w:r w:rsidR="0028661F" w:rsidRPr="00C50854">
        <w:rPr>
          <w:lang w:eastAsia="et-EE"/>
        </w:rPr>
        <w:t>hulgi</w:t>
      </w:r>
      <w:r w:rsidRPr="00C50854">
        <w:rPr>
          <w:lang w:eastAsia="et-EE"/>
        </w:rPr>
        <w:t>turu koosseisu kuuluvate hulgiteenuste kasutamiseks või oma sidevõrgu väljaehitamiseks.</w:t>
      </w:r>
    </w:p>
    <w:p w14:paraId="03AB3EE4" w14:textId="34D510B8" w:rsidR="00477B2E" w:rsidRPr="00C50854" w:rsidRDefault="00477B2E"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Nõudlus alternatiivsete tehnoloogiliste lahenduste järele kasvab sedavõrd, kuivõrd kasvab nimetatud sidevõrkude vahendusel osutatavate toodete hulk, lairibateenuste maksimaalne edastuskiirus ning langeb jaemüügihind. Viimastel aastatel on valguskaablil põhineva juurdepääsuvõrgu osakaal kasvanud. Tabelist 1 nähtub, et valguskaablipõhiste juurdepääsu-võrkude osakaal lõppkasutajate arvu alusel on arvestatav. Kuna </w:t>
      </w:r>
      <w:r w:rsidR="00F57059" w:rsidRPr="00C50854">
        <w:rPr>
          <w:lang w:eastAsia="et-EE"/>
        </w:rPr>
        <w:t>lõppkasutaja</w:t>
      </w:r>
      <w:r w:rsidRPr="00C50854">
        <w:rPr>
          <w:lang w:eastAsia="et-EE"/>
        </w:rPr>
        <w:t>te nõudlus kiirema andmeside järele kasvab kiiresti, suureneb tõenäoliselt ka valguskaablil põhineva juurdepääsuvõrgu rajamine.</w:t>
      </w:r>
    </w:p>
    <w:p w14:paraId="0A58FD91" w14:textId="790ABB19" w:rsidR="00477B2E" w:rsidRPr="00C50854" w:rsidRDefault="00477B2E"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FWA lairibateenust pakutakse </w:t>
      </w:r>
      <w:r w:rsidR="006C0D85" w:rsidRPr="00C50854">
        <w:rPr>
          <w:lang w:eastAsia="et-EE"/>
        </w:rPr>
        <w:t>raadiosageduste</w:t>
      </w:r>
      <w:r w:rsidR="007D1879" w:rsidRPr="00C50854">
        <w:t xml:space="preserve"> </w:t>
      </w:r>
      <w:r w:rsidR="007D1879" w:rsidRPr="00C50854">
        <w:rPr>
          <w:lang w:eastAsia="et-EE"/>
        </w:rPr>
        <w:t xml:space="preserve">vahendusel. Oma olemuselt on raadiosagedus </w:t>
      </w:r>
      <w:r w:rsidR="009A39F8" w:rsidRPr="00C50854">
        <w:rPr>
          <w:lang w:eastAsia="et-EE"/>
        </w:rPr>
        <w:t xml:space="preserve">tihti piiratud või jagatud raadiosagedusressurss ning ebakindel ilmastiku </w:t>
      </w:r>
      <w:r w:rsidR="007D1879" w:rsidRPr="00C50854">
        <w:rPr>
          <w:lang w:eastAsia="et-EE"/>
        </w:rPr>
        <w:t>ja</w:t>
      </w:r>
      <w:r w:rsidR="009A39F8" w:rsidRPr="00C50854">
        <w:rPr>
          <w:lang w:eastAsia="et-EE"/>
        </w:rPr>
        <w:t xml:space="preserve"> ülekoormuse suhtes</w:t>
      </w:r>
      <w:r w:rsidRPr="00C50854">
        <w:rPr>
          <w:lang w:eastAsia="et-EE"/>
        </w:rPr>
        <w:t xml:space="preserve">. </w:t>
      </w:r>
      <w:r w:rsidR="006C0D85" w:rsidRPr="00C50854">
        <w:rPr>
          <w:lang w:eastAsia="et-EE"/>
        </w:rPr>
        <w:t xml:space="preserve">Selle </w:t>
      </w:r>
      <w:r w:rsidRPr="00C50854">
        <w:rPr>
          <w:lang w:eastAsia="et-EE"/>
        </w:rPr>
        <w:t xml:space="preserve">tehnoloogia puhul ei suudeta pakkuda </w:t>
      </w:r>
      <w:r w:rsidR="00F57059" w:rsidRPr="00C50854">
        <w:rPr>
          <w:lang w:eastAsia="et-EE"/>
        </w:rPr>
        <w:t>lõppkasutaja</w:t>
      </w:r>
      <w:r w:rsidRPr="00C50854">
        <w:rPr>
          <w:lang w:eastAsia="et-EE"/>
        </w:rPr>
        <w:t>te nõudmistele sobivaid teenuseid st pakutavad teenused on madala</w:t>
      </w:r>
      <w:r w:rsidR="006C0D85" w:rsidRPr="00C50854">
        <w:rPr>
          <w:lang w:eastAsia="et-EE"/>
        </w:rPr>
        <w:t>ma</w:t>
      </w:r>
      <w:r w:rsidRPr="00C50854">
        <w:rPr>
          <w:lang w:eastAsia="et-EE"/>
        </w:rPr>
        <w:t xml:space="preserve"> kvaliteediga</w:t>
      </w:r>
      <w:r w:rsidR="006C0D85" w:rsidRPr="00C50854">
        <w:rPr>
          <w:lang w:eastAsia="et-EE"/>
        </w:rPr>
        <w:t xml:space="preserve"> võrreldes kaabelühendustega</w:t>
      </w:r>
      <w:r w:rsidRPr="00C50854">
        <w:rPr>
          <w:lang w:eastAsia="et-EE"/>
        </w:rPr>
        <w:t xml:space="preserve"> või väikeste üles</w:t>
      </w:r>
      <w:r w:rsidR="006C0D85" w:rsidRPr="00C50854">
        <w:rPr>
          <w:lang w:eastAsia="et-EE"/>
        </w:rPr>
        <w:t>-</w:t>
      </w:r>
      <w:r w:rsidRPr="00C50854">
        <w:rPr>
          <w:lang w:eastAsia="et-EE"/>
        </w:rPr>
        <w:t xml:space="preserve"> ning allalaadimiskiirustega, sellest ka </w:t>
      </w:r>
      <w:r w:rsidR="006B4C33" w:rsidRPr="00C50854">
        <w:rPr>
          <w:lang w:eastAsia="et-EE"/>
        </w:rPr>
        <w:t xml:space="preserve">tabelist </w:t>
      </w:r>
      <w:r w:rsidRPr="00C50854">
        <w:rPr>
          <w:lang w:eastAsia="et-EE"/>
        </w:rPr>
        <w:t xml:space="preserve">1 näha olev lõppkasutajate </w:t>
      </w:r>
      <w:r w:rsidRPr="00C50854">
        <w:rPr>
          <w:lang w:eastAsia="et-EE"/>
        </w:rPr>
        <w:lastRenderedPageBreak/>
        <w:t>osakaalu langus. Seni kui turule ei tule FWA tehnoloogiad, mis võimaldaksid kiiret või ülikiiret lairiba teenuse tarbimist</w:t>
      </w:r>
      <w:r w:rsidR="002D283E" w:rsidRPr="00C50854">
        <w:rPr>
          <w:lang w:eastAsia="et-EE"/>
        </w:rPr>
        <w:t>,</w:t>
      </w:r>
      <w:r w:rsidRPr="00C50854">
        <w:rPr>
          <w:lang w:eastAsia="et-EE"/>
        </w:rPr>
        <w:t xml:space="preserve"> ei ole nimetatud lahendused turul konkurentsivõimelised.  </w:t>
      </w:r>
    </w:p>
    <w:p w14:paraId="40DC5942" w14:textId="2E3FE7B4" w:rsidR="00D95E36" w:rsidRPr="00C50854" w:rsidRDefault="00D95E36" w:rsidP="00311E1F">
      <w:pPr>
        <w:numPr>
          <w:ilvl w:val="0"/>
          <w:numId w:val="13"/>
        </w:numPr>
        <w:suppressAutoHyphens w:val="0"/>
        <w:autoSpaceDE w:val="0"/>
        <w:autoSpaceDN w:val="0"/>
        <w:adjustRightInd w:val="0"/>
        <w:spacing w:before="120" w:after="120"/>
        <w:jc w:val="both"/>
        <w:rPr>
          <w:lang w:eastAsia="et-EE"/>
        </w:rPr>
      </w:pPr>
      <w:r w:rsidRPr="00C50854">
        <w:rPr>
          <w:lang w:eastAsia="et-EE"/>
        </w:rPr>
        <w:t>Kuna juurdepääsuteenuse mõiste on tehnoloogiliselt neutraalne, tuleb hinnata alternatiivsete tehnoloogiate st kaabellevi</w:t>
      </w:r>
      <w:r w:rsidR="001F5F58" w:rsidRPr="00C50854">
        <w:rPr>
          <w:lang w:eastAsia="et-EE"/>
        </w:rPr>
        <w:t>võrgu</w:t>
      </w:r>
      <w:r w:rsidR="003E1AAA" w:rsidRPr="00C50854">
        <w:rPr>
          <w:lang w:eastAsia="et-EE"/>
        </w:rPr>
        <w:t xml:space="preserve"> ja mobiiltelefonivõrgu (LTE)</w:t>
      </w:r>
      <w:r w:rsidRPr="00C50854">
        <w:rPr>
          <w:vertAlign w:val="superscript"/>
          <w:lang w:eastAsia="et-EE"/>
        </w:rPr>
        <w:footnoteReference w:id="25"/>
      </w:r>
      <w:r w:rsidRPr="00C50854">
        <w:rPr>
          <w:lang w:eastAsia="et-EE"/>
        </w:rPr>
        <w:t xml:space="preserve"> vahendusel osutatavate juurdepääsu teenuste kuulumist asjak</w:t>
      </w:r>
      <w:r w:rsidR="00967474" w:rsidRPr="00C50854">
        <w:rPr>
          <w:lang w:eastAsia="et-EE"/>
        </w:rPr>
        <w:t>ohase turu koosseisu ja analüüsida</w:t>
      </w:r>
      <w:r w:rsidRPr="00C50854">
        <w:rPr>
          <w:lang w:eastAsia="et-EE"/>
        </w:rPr>
        <w:t xml:space="preserve"> vastavate tehnoloogiate vahendusel osutatavate juurdepääsuteenuste asendatavust </w:t>
      </w:r>
      <w:r w:rsidR="003E1AAA" w:rsidRPr="00C50854">
        <w:rPr>
          <w:lang w:eastAsia="et-EE"/>
        </w:rPr>
        <w:t>vask- ja</w:t>
      </w:r>
      <w:r w:rsidR="00331A22" w:rsidRPr="00C50854">
        <w:rPr>
          <w:lang w:eastAsia="et-EE"/>
        </w:rPr>
        <w:t xml:space="preserve"> </w:t>
      </w:r>
      <w:r w:rsidR="001F5F58" w:rsidRPr="00C50854">
        <w:rPr>
          <w:lang w:eastAsia="et-EE"/>
        </w:rPr>
        <w:t>valguskaabe</w:t>
      </w:r>
      <w:r w:rsidR="003E1AAA" w:rsidRPr="00C50854">
        <w:rPr>
          <w:lang w:eastAsia="et-EE"/>
        </w:rPr>
        <w:t>l</w:t>
      </w:r>
      <w:r w:rsidRPr="00C50854">
        <w:rPr>
          <w:lang w:eastAsia="et-EE"/>
        </w:rPr>
        <w:t xml:space="preserve"> juurdepääsu teenustega.</w:t>
      </w:r>
    </w:p>
    <w:p w14:paraId="61E1DC86" w14:textId="64A8A74D" w:rsidR="00D95E36" w:rsidRPr="00C50854" w:rsidRDefault="00D95E36"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Selleks, et hinnata, kas </w:t>
      </w:r>
      <w:r w:rsidR="00483BCD" w:rsidRPr="00C50854">
        <w:rPr>
          <w:lang w:eastAsia="et-EE"/>
        </w:rPr>
        <w:t>kohaliku</w:t>
      </w:r>
      <w:r w:rsidRPr="00C50854">
        <w:rPr>
          <w:lang w:eastAsia="et-EE"/>
        </w:rPr>
        <w:t xml:space="preserve"> juurdepääsu hulgituru koosseisu kuuluvad peale </w:t>
      </w:r>
      <w:r w:rsidR="003E1AAA" w:rsidRPr="00C50854">
        <w:rPr>
          <w:lang w:eastAsia="et-EE"/>
        </w:rPr>
        <w:t xml:space="preserve">vask- ja </w:t>
      </w:r>
      <w:r w:rsidR="001F5F58" w:rsidRPr="00C50854">
        <w:rPr>
          <w:lang w:eastAsia="et-EE"/>
        </w:rPr>
        <w:t>valguskaabel</w:t>
      </w:r>
      <w:r w:rsidR="007A618E" w:rsidRPr="00C50854">
        <w:rPr>
          <w:lang w:eastAsia="et-EE"/>
        </w:rPr>
        <w:t xml:space="preserve"> </w:t>
      </w:r>
      <w:r w:rsidR="00D750FA" w:rsidRPr="00C50854">
        <w:rPr>
          <w:lang w:eastAsia="et-EE"/>
        </w:rPr>
        <w:t>juurdepääsu teenuste ka teiste</w:t>
      </w:r>
      <w:r w:rsidRPr="00C50854">
        <w:rPr>
          <w:lang w:eastAsia="et-EE"/>
        </w:rPr>
        <w:t xml:space="preserve"> tehnoloogiliste lahenduste baasil osutatavad juurdepääsuteenused, mis oleksid suutelised pakkuma</w:t>
      </w:r>
      <w:r w:rsidR="001F5F58" w:rsidRPr="00C50854">
        <w:rPr>
          <w:lang w:eastAsia="et-EE"/>
        </w:rPr>
        <w:t xml:space="preserve"> </w:t>
      </w:r>
      <w:r w:rsidR="003E1AAA" w:rsidRPr="00C50854">
        <w:rPr>
          <w:lang w:eastAsia="et-EE"/>
        </w:rPr>
        <w:t>vask- ja valguskaabel</w:t>
      </w:r>
      <w:r w:rsidR="003E1AAA" w:rsidRPr="00C50854" w:rsidDel="003E1AAA">
        <w:rPr>
          <w:lang w:eastAsia="et-EE"/>
        </w:rPr>
        <w:t xml:space="preserve"> </w:t>
      </w:r>
      <w:r w:rsidRPr="00C50854">
        <w:rPr>
          <w:lang w:eastAsia="et-EE"/>
        </w:rPr>
        <w:t>juurdepääsu teenus</w:t>
      </w:r>
      <w:r w:rsidR="00D750FA" w:rsidRPr="00C50854">
        <w:rPr>
          <w:lang w:eastAsia="et-EE"/>
        </w:rPr>
        <w:t xml:space="preserve">tele piisavat konkurentsisurvet, </w:t>
      </w:r>
      <w:r w:rsidRPr="00C50854">
        <w:rPr>
          <w:lang w:eastAsia="et-EE"/>
        </w:rPr>
        <w:t xml:space="preserve">hindas </w:t>
      </w:r>
      <w:r w:rsidR="00582B49" w:rsidRPr="00C50854">
        <w:rPr>
          <w:lang w:eastAsia="et-EE"/>
        </w:rPr>
        <w:t>T</w:t>
      </w:r>
      <w:r w:rsidR="00CB392D" w:rsidRPr="00C50854">
        <w:rPr>
          <w:lang w:eastAsia="et-EE"/>
        </w:rPr>
        <w:t>TJA</w:t>
      </w:r>
      <w:r w:rsidRPr="00C50854">
        <w:rPr>
          <w:lang w:eastAsia="et-EE"/>
        </w:rPr>
        <w:t xml:space="preserve"> erinevate tehnoloogiliste lahenduste vahendusel osutatavate juurdepääsuteenuste nõudluse- ja pakkumisepoolset asendat</w:t>
      </w:r>
      <w:r w:rsidR="00523A24" w:rsidRPr="00C50854">
        <w:rPr>
          <w:lang w:eastAsia="et-EE"/>
        </w:rPr>
        <w:t xml:space="preserve">avust (käsitletud otsuse </w:t>
      </w:r>
      <w:r w:rsidRPr="00C50854">
        <w:rPr>
          <w:lang w:eastAsia="et-EE"/>
        </w:rPr>
        <w:t>punktides 3.1. (</w:t>
      </w:r>
      <w:r w:rsidR="005942F7" w:rsidRPr="00C50854">
        <w:rPr>
          <w:lang w:eastAsia="et-EE"/>
        </w:rPr>
        <w:t>toote- ja teenuseturu piiritlemise põhimõtted) ja 3.2.3</w:t>
      </w:r>
      <w:r w:rsidRPr="00C50854">
        <w:rPr>
          <w:lang w:eastAsia="et-EE"/>
        </w:rPr>
        <w:t>. (</w:t>
      </w:r>
      <w:r w:rsidR="005942F7" w:rsidRPr="00C50854">
        <w:rPr>
          <w:lang w:eastAsia="et-EE"/>
        </w:rPr>
        <w:t xml:space="preserve">teenuse </w:t>
      </w:r>
      <w:r w:rsidRPr="00C50854">
        <w:rPr>
          <w:lang w:eastAsia="et-EE"/>
        </w:rPr>
        <w:t>sisuline analüüs).</w:t>
      </w:r>
    </w:p>
    <w:p w14:paraId="30D5FB90" w14:textId="77777777" w:rsidR="006B154E" w:rsidRPr="00C50854" w:rsidRDefault="006B154E" w:rsidP="00BA44D7">
      <w:pPr>
        <w:pStyle w:val="Pealkiri3"/>
        <w:spacing w:after="120"/>
        <w:rPr>
          <w:rFonts w:cs="Times New Roman"/>
          <w:i/>
          <w:szCs w:val="24"/>
        </w:rPr>
      </w:pPr>
      <w:bookmarkStart w:id="137" w:name="_Toc464639328"/>
      <w:bookmarkStart w:id="138" w:name="_Toc42072436"/>
      <w:bookmarkStart w:id="139" w:name="_Toc130196490"/>
      <w:bookmarkStart w:id="140" w:name="_Toc211671277"/>
      <w:bookmarkStart w:id="141" w:name="_Toc211837243"/>
      <w:bookmarkStart w:id="142" w:name="_Toc215466478"/>
      <w:bookmarkStart w:id="143" w:name="_Toc310840859"/>
      <w:r w:rsidRPr="00C50854">
        <w:rPr>
          <w:rFonts w:cs="Times New Roman"/>
          <w:i/>
          <w:szCs w:val="24"/>
        </w:rPr>
        <w:t>3.2.2. Turgude seotus</w:t>
      </w:r>
      <w:bookmarkEnd w:id="137"/>
      <w:bookmarkEnd w:id="138"/>
    </w:p>
    <w:p w14:paraId="1C2098F5" w14:textId="1E75A4BC" w:rsidR="006B154E" w:rsidRPr="00C50854" w:rsidRDefault="00483BCD" w:rsidP="00311E1F">
      <w:pPr>
        <w:numPr>
          <w:ilvl w:val="0"/>
          <w:numId w:val="13"/>
        </w:numPr>
        <w:suppressAutoHyphens w:val="0"/>
        <w:rPr>
          <w:lang w:eastAsia="et-EE"/>
        </w:rPr>
      </w:pPr>
      <w:r w:rsidRPr="00C50854">
        <w:rPr>
          <w:lang w:eastAsia="et-EE"/>
        </w:rPr>
        <w:t>Kohaliku</w:t>
      </w:r>
      <w:r w:rsidR="006B154E" w:rsidRPr="00C50854">
        <w:rPr>
          <w:lang w:eastAsia="et-EE"/>
        </w:rPr>
        <w:t xml:space="preserve"> juurdepääsu hulgituruga vertikaalselt allapoole seotud turgudeks on </w:t>
      </w:r>
      <w:r w:rsidR="00F64594" w:rsidRPr="00C50854">
        <w:rPr>
          <w:lang w:eastAsia="et-EE"/>
        </w:rPr>
        <w:t xml:space="preserve">elektroonilise side </w:t>
      </w:r>
      <w:r w:rsidR="006B154E" w:rsidRPr="00C50854">
        <w:rPr>
          <w:lang w:eastAsia="et-EE"/>
        </w:rPr>
        <w:t>jaeturud</w:t>
      </w:r>
      <w:r w:rsidR="00F64594" w:rsidRPr="00C50854">
        <w:rPr>
          <w:lang w:eastAsia="et-EE"/>
        </w:rPr>
        <w:t>.</w:t>
      </w:r>
    </w:p>
    <w:p w14:paraId="000A3A03" w14:textId="77777777" w:rsidR="006B154E" w:rsidRPr="00C50854" w:rsidRDefault="006B154E" w:rsidP="00311E1F">
      <w:pPr>
        <w:numPr>
          <w:ilvl w:val="0"/>
          <w:numId w:val="13"/>
        </w:numPr>
        <w:suppressAutoHyphens w:val="0"/>
        <w:spacing w:before="120" w:after="120"/>
        <w:jc w:val="both"/>
        <w:rPr>
          <w:lang w:eastAsia="et-EE"/>
        </w:rPr>
      </w:pPr>
      <w:r w:rsidRPr="00C50854">
        <w:rPr>
          <w:lang w:eastAsia="et-EE"/>
        </w:rPr>
        <w:t>Ettevõtjaid, kes osutavad üheaegselt teenuseid nii hulgiturul kui ka vastava turuga vertikaalselt allapoole seotud jaeturgudel, nimetatakse vertikaalselt integreeritud ettevõtjateks.</w:t>
      </w:r>
    </w:p>
    <w:p w14:paraId="23602FE0" w14:textId="309FA151" w:rsidR="006B154E" w:rsidRPr="00C50854" w:rsidRDefault="00260119" w:rsidP="00311E1F">
      <w:pPr>
        <w:numPr>
          <w:ilvl w:val="0"/>
          <w:numId w:val="13"/>
        </w:numPr>
        <w:suppressAutoHyphens w:val="0"/>
        <w:spacing w:before="120" w:after="120"/>
        <w:jc w:val="both"/>
        <w:rPr>
          <w:lang w:eastAsia="et-EE"/>
        </w:rPr>
      </w:pPr>
      <w:r w:rsidRPr="00C50854">
        <w:rPr>
          <w:lang w:eastAsia="et-EE"/>
        </w:rPr>
        <w:t xml:space="preserve">Kohaliku </w:t>
      </w:r>
      <w:r w:rsidR="006B154E" w:rsidRPr="00C50854">
        <w:rPr>
          <w:lang w:eastAsia="et-EE"/>
        </w:rPr>
        <w:t>juurdepääsu hulgituruga</w:t>
      </w:r>
      <w:r w:rsidR="00D750FA" w:rsidRPr="00C50854">
        <w:rPr>
          <w:lang w:eastAsia="et-EE"/>
        </w:rPr>
        <w:t xml:space="preserve"> on</w:t>
      </w:r>
      <w:r w:rsidR="006B154E" w:rsidRPr="00C50854">
        <w:rPr>
          <w:lang w:eastAsia="et-EE"/>
        </w:rPr>
        <w:t xml:space="preserve"> horisontaalselt seotud toote- ja teenuseturgude soovituse lisa punktis </w:t>
      </w:r>
      <w:r w:rsidRPr="00C50854">
        <w:rPr>
          <w:lang w:eastAsia="et-EE"/>
        </w:rPr>
        <w:t xml:space="preserve">4 </w:t>
      </w:r>
      <w:r w:rsidR="006B154E" w:rsidRPr="00C50854">
        <w:rPr>
          <w:lang w:eastAsia="et-EE"/>
        </w:rPr>
        <w:t xml:space="preserve">nimetatud </w:t>
      </w:r>
      <w:r w:rsidRPr="00C50854">
        <w:rPr>
          <w:lang w:eastAsia="et-EE"/>
        </w:rPr>
        <w:t xml:space="preserve">kvaliteetse juurdepääsu </w:t>
      </w:r>
      <w:r w:rsidR="004F4537" w:rsidRPr="00C50854">
        <w:rPr>
          <w:lang w:eastAsia="et-EE"/>
        </w:rPr>
        <w:t xml:space="preserve">hulgiteenuse </w:t>
      </w:r>
      <w:r w:rsidRPr="00C50854">
        <w:rPr>
          <w:lang w:eastAsia="et-EE"/>
        </w:rPr>
        <w:t>turg</w:t>
      </w:r>
      <w:r w:rsidR="00D750FA" w:rsidRPr="00C50854">
        <w:rPr>
          <w:lang w:eastAsia="et-EE"/>
        </w:rPr>
        <w:t xml:space="preserve">. </w:t>
      </w:r>
      <w:r w:rsidR="00FE0CEF" w:rsidRPr="00C50854">
        <w:rPr>
          <w:lang w:eastAsia="et-EE"/>
        </w:rPr>
        <w:t>N</w:t>
      </w:r>
      <w:r w:rsidR="006B154E" w:rsidRPr="00C50854">
        <w:rPr>
          <w:lang w:eastAsia="et-EE"/>
        </w:rPr>
        <w:t xml:space="preserve">imetatud turul teenuste osutamiseks kasutatav sidevõrgu infrastruktuur (juurdepääsuvõrk) on olulises osas kattuv </w:t>
      </w:r>
      <w:r w:rsidR="00F834C6" w:rsidRPr="00C50854">
        <w:rPr>
          <w:lang w:eastAsia="et-EE"/>
        </w:rPr>
        <w:t>kohaliku juurdepääsu hulgituruga, peamiseks erinevuseks on teenuste kvaliteet</w:t>
      </w:r>
      <w:r w:rsidR="006B154E" w:rsidRPr="00C50854">
        <w:rPr>
          <w:lang w:eastAsia="et-EE"/>
        </w:rPr>
        <w:t>.</w:t>
      </w:r>
    </w:p>
    <w:p w14:paraId="376B160B" w14:textId="0123C2A2" w:rsidR="006B154E" w:rsidRPr="00C50854" w:rsidRDefault="004F4537" w:rsidP="00311E1F">
      <w:pPr>
        <w:numPr>
          <w:ilvl w:val="0"/>
          <w:numId w:val="13"/>
        </w:numPr>
        <w:suppressAutoHyphens w:val="0"/>
        <w:spacing w:before="120" w:after="120"/>
        <w:jc w:val="both"/>
        <w:rPr>
          <w:lang w:eastAsia="et-EE"/>
        </w:rPr>
      </w:pPr>
      <w:r w:rsidRPr="00C50854">
        <w:rPr>
          <w:lang w:eastAsia="et-EE"/>
        </w:rPr>
        <w:t>Samuti on</w:t>
      </w:r>
      <w:r w:rsidR="006B154E" w:rsidRPr="00C50854">
        <w:rPr>
          <w:lang w:eastAsia="et-EE"/>
        </w:rPr>
        <w:t xml:space="preserve"> </w:t>
      </w:r>
      <w:r w:rsidR="000548FC" w:rsidRPr="00C50854">
        <w:rPr>
          <w:lang w:eastAsia="et-EE"/>
        </w:rPr>
        <w:t>kohaliku</w:t>
      </w:r>
      <w:r w:rsidR="006B154E" w:rsidRPr="00C50854">
        <w:rPr>
          <w:lang w:eastAsia="et-EE"/>
        </w:rPr>
        <w:t xml:space="preserve"> juurdepääsu hulgitur</w:t>
      </w:r>
      <w:r w:rsidRPr="00C50854">
        <w:rPr>
          <w:lang w:eastAsia="et-EE"/>
        </w:rPr>
        <w:t>u</w:t>
      </w:r>
      <w:r w:rsidR="006B154E" w:rsidRPr="00C50854">
        <w:rPr>
          <w:lang w:eastAsia="et-EE"/>
        </w:rPr>
        <w:t>g</w:t>
      </w:r>
      <w:r w:rsidRPr="00C50854">
        <w:rPr>
          <w:lang w:eastAsia="et-EE"/>
        </w:rPr>
        <w:t>a</w:t>
      </w:r>
      <w:r w:rsidR="006B154E" w:rsidRPr="00C50854">
        <w:rPr>
          <w:lang w:eastAsia="et-EE"/>
        </w:rPr>
        <w:t xml:space="preserve"> horisontaalselt seotud sama lisa punktis </w:t>
      </w:r>
      <w:r w:rsidR="00CB392D" w:rsidRPr="00C50854">
        <w:rPr>
          <w:lang w:eastAsia="et-EE"/>
        </w:rPr>
        <w:t>3b</w:t>
      </w:r>
      <w:r w:rsidR="006B154E" w:rsidRPr="00C50854">
        <w:rPr>
          <w:lang w:eastAsia="et-EE"/>
        </w:rPr>
        <w:t xml:space="preserve"> nimetatud </w:t>
      </w:r>
      <w:r w:rsidRPr="00C50854">
        <w:rPr>
          <w:lang w:eastAsia="et-EE"/>
        </w:rPr>
        <w:t xml:space="preserve">masstoodete </w:t>
      </w:r>
      <w:r w:rsidR="001E63D9" w:rsidRPr="00C50854">
        <w:rPr>
          <w:lang w:eastAsia="et-EE"/>
        </w:rPr>
        <w:t xml:space="preserve">keskse </w:t>
      </w:r>
      <w:r w:rsidR="006B154E" w:rsidRPr="00C50854">
        <w:rPr>
          <w:lang w:eastAsia="et-EE"/>
        </w:rPr>
        <w:t>juurdepääsu</w:t>
      </w:r>
      <w:r w:rsidRPr="00C50854">
        <w:rPr>
          <w:lang w:eastAsia="et-EE"/>
        </w:rPr>
        <w:t xml:space="preserve"> hulgiteenuse</w:t>
      </w:r>
      <w:r w:rsidR="006B154E" w:rsidRPr="00C50854">
        <w:rPr>
          <w:lang w:eastAsia="et-EE"/>
        </w:rPr>
        <w:t xml:space="preserve"> turg. Nendel turgudel teenuste osutamiseks kasutatav sidevõrgu infrastruktuur on olulises osas kattuv – </w:t>
      </w:r>
      <w:r w:rsidRPr="00C50854">
        <w:rPr>
          <w:lang w:eastAsia="et-EE"/>
        </w:rPr>
        <w:t>mõlemal turul</w:t>
      </w:r>
      <w:r w:rsidR="006B154E" w:rsidRPr="00C50854">
        <w:rPr>
          <w:lang w:eastAsia="et-EE"/>
        </w:rPr>
        <w:t xml:space="preserve"> kasutatakse </w:t>
      </w:r>
      <w:r w:rsidRPr="00C50854">
        <w:rPr>
          <w:lang w:eastAsia="et-EE"/>
        </w:rPr>
        <w:t>klientideni jõudmiseks ühesugust</w:t>
      </w:r>
      <w:r w:rsidR="006B154E" w:rsidRPr="00C50854">
        <w:rPr>
          <w:lang w:eastAsia="et-EE"/>
        </w:rPr>
        <w:t xml:space="preserve"> juurdepääsuvõrku. Samuti on </w:t>
      </w:r>
      <w:r w:rsidRPr="00C50854">
        <w:rPr>
          <w:lang w:eastAsia="et-EE"/>
        </w:rPr>
        <w:t xml:space="preserve">masstoodete </w:t>
      </w:r>
      <w:r w:rsidR="001E63D9" w:rsidRPr="00C50854">
        <w:rPr>
          <w:lang w:eastAsia="et-EE"/>
        </w:rPr>
        <w:t xml:space="preserve">keskse </w:t>
      </w:r>
      <w:r w:rsidR="006B154E" w:rsidRPr="00C50854">
        <w:rPr>
          <w:lang w:eastAsia="et-EE"/>
        </w:rPr>
        <w:t xml:space="preserve">juurdepääsu </w:t>
      </w:r>
      <w:r w:rsidRPr="00C50854">
        <w:rPr>
          <w:lang w:eastAsia="et-EE"/>
        </w:rPr>
        <w:t xml:space="preserve">hulgiteenuse </w:t>
      </w:r>
      <w:r w:rsidR="006B154E" w:rsidRPr="00C50854">
        <w:rPr>
          <w:lang w:eastAsia="et-EE"/>
        </w:rPr>
        <w:t xml:space="preserve">turu tooted ja teenused ning </w:t>
      </w:r>
      <w:r w:rsidR="000548FC" w:rsidRPr="00C50854">
        <w:rPr>
          <w:lang w:eastAsia="et-EE"/>
        </w:rPr>
        <w:t>kohaliku</w:t>
      </w:r>
      <w:r w:rsidR="006B154E" w:rsidRPr="00C50854">
        <w:rPr>
          <w:lang w:eastAsia="et-EE"/>
        </w:rPr>
        <w:t xml:space="preserve"> juurdepääsu hulgituru tooted ja teenused suunatud samale sihtgrupile (võrguteenuste kasutajad).</w:t>
      </w:r>
      <w:r w:rsidR="00104787" w:rsidRPr="00C50854">
        <w:rPr>
          <w:lang w:eastAsia="et-EE"/>
        </w:rPr>
        <w:t xml:space="preserve"> Peamiseks erinevuseks on, et masstoodete keskse juurdepääsu hulgiteenuse turul pakutakse üldjuhult teenust ühe keskse juurdepääsupunkti kaudu (tavaliselt võrgu peajaamast), aga kohaliku juurdepääsu hulgiturul pakutakse teenust mitme kohalik juurdepääsupunkti kaudu (tavaliselt kohalik peajaotaja).</w:t>
      </w:r>
    </w:p>
    <w:p w14:paraId="298B1BF0" w14:textId="2126252D" w:rsidR="001E63D9" w:rsidRPr="00C50854" w:rsidRDefault="001E63D9" w:rsidP="00311E1F">
      <w:pPr>
        <w:numPr>
          <w:ilvl w:val="0"/>
          <w:numId w:val="13"/>
        </w:numPr>
        <w:suppressAutoHyphens w:val="0"/>
        <w:spacing w:before="120" w:after="120"/>
        <w:jc w:val="both"/>
        <w:rPr>
          <w:lang w:eastAsia="et-EE"/>
        </w:rPr>
      </w:pPr>
      <w:r w:rsidRPr="00C50854">
        <w:rPr>
          <w:lang w:eastAsia="et-EE"/>
        </w:rPr>
        <w:t xml:space="preserve">Eeltoodut arvesse võttes leiab </w:t>
      </w:r>
      <w:r w:rsidR="004379F7" w:rsidRPr="00C50854">
        <w:rPr>
          <w:lang w:eastAsia="et-EE"/>
        </w:rPr>
        <w:t>T</w:t>
      </w:r>
      <w:r w:rsidRPr="00C50854">
        <w:rPr>
          <w:lang w:eastAsia="et-EE"/>
        </w:rPr>
        <w:t>TJA, et kohaliku juurdepääsu hulgituru analüüsimisel on asjakohane hinnata turuanalüüsi kaasatud ettevõtjate näitajaid ka kohaliku juurdepääsu hulgituruga lähedalt seotud turgudel</w:t>
      </w:r>
      <w:r w:rsidR="00B865B6" w:rsidRPr="00C50854">
        <w:rPr>
          <w:lang w:eastAsia="et-EE"/>
        </w:rPr>
        <w:t>.</w:t>
      </w:r>
    </w:p>
    <w:p w14:paraId="22396F60" w14:textId="77777777" w:rsidR="006B154E" w:rsidRPr="00C50854" w:rsidRDefault="006B154E" w:rsidP="00BA44D7">
      <w:pPr>
        <w:pStyle w:val="Pealkiri3"/>
        <w:spacing w:after="120"/>
        <w:rPr>
          <w:rFonts w:cs="Times New Roman"/>
          <w:i/>
          <w:szCs w:val="24"/>
        </w:rPr>
      </w:pPr>
      <w:bookmarkStart w:id="144" w:name="_Toc464639329"/>
      <w:bookmarkStart w:id="145" w:name="_Toc42072437"/>
      <w:r w:rsidRPr="00C50854">
        <w:rPr>
          <w:rFonts w:cs="Times New Roman"/>
          <w:i/>
          <w:szCs w:val="24"/>
        </w:rPr>
        <w:t>3.2.3. Teenuse asendatavuse analüüs</w:t>
      </w:r>
      <w:bookmarkEnd w:id="144"/>
      <w:bookmarkEnd w:id="145"/>
    </w:p>
    <w:p w14:paraId="10728561" w14:textId="1BED8026" w:rsidR="006B154E" w:rsidRPr="00C50854" w:rsidRDefault="006B154E" w:rsidP="00311E1F">
      <w:pPr>
        <w:numPr>
          <w:ilvl w:val="0"/>
          <w:numId w:val="13"/>
        </w:numPr>
        <w:suppressAutoHyphens w:val="0"/>
        <w:spacing w:before="120" w:after="120"/>
        <w:jc w:val="both"/>
        <w:rPr>
          <w:lang w:eastAsia="et-EE"/>
        </w:rPr>
      </w:pPr>
      <w:r w:rsidRPr="00C50854">
        <w:rPr>
          <w:lang w:eastAsia="et-EE"/>
        </w:rPr>
        <w:t xml:space="preserve">Reeglina osutatakse juurdepääsu teenust teistele sideettevõtjatele, kes nende teenuste abil saavad osutada lõppkasutajatele </w:t>
      </w:r>
      <w:r w:rsidR="00456615" w:rsidRPr="00C50854">
        <w:rPr>
          <w:lang w:eastAsia="et-EE"/>
        </w:rPr>
        <w:t xml:space="preserve">kõne- ja </w:t>
      </w:r>
      <w:r w:rsidR="001D7F66" w:rsidRPr="00C50854">
        <w:rPr>
          <w:lang w:eastAsia="et-EE"/>
        </w:rPr>
        <w:t>lairibaühendusi</w:t>
      </w:r>
      <w:r w:rsidR="00456615" w:rsidRPr="00C50854">
        <w:rPr>
          <w:lang w:eastAsia="et-EE"/>
        </w:rPr>
        <w:t xml:space="preserve"> jaetasandil</w:t>
      </w:r>
      <w:r w:rsidRPr="00C50854">
        <w:rPr>
          <w:lang w:eastAsia="et-EE"/>
        </w:rPr>
        <w:t xml:space="preserve">. </w:t>
      </w:r>
    </w:p>
    <w:p w14:paraId="0D3419D0" w14:textId="43999DA9" w:rsidR="0094286E" w:rsidRPr="00C50854" w:rsidRDefault="0094286E" w:rsidP="00311E1F">
      <w:pPr>
        <w:pStyle w:val="Loendilik"/>
        <w:numPr>
          <w:ilvl w:val="0"/>
          <w:numId w:val="13"/>
        </w:numPr>
        <w:suppressAutoHyphens w:val="0"/>
        <w:spacing w:before="120" w:after="120"/>
        <w:jc w:val="both"/>
        <w:rPr>
          <w:lang w:eastAsia="et-EE"/>
        </w:rPr>
      </w:pPr>
      <w:r w:rsidRPr="00C50854">
        <w:t xml:space="preserve">2012. aastal läbiviidud turuanalüüsi käigus selgitas Konkurentsiamet välja, et sideettevõtjad on võimelised osutama valguskaablil põhineva juurdepääsuvõrgu baasil hulgiteenuseid, mis võimaldaksid lõppkasutajatele vaskpaaripõhise juurdepääsuvõrgu baasil osutatavate lairiba- ja häälkõneteenustega samaväärseid teenuseid. </w:t>
      </w:r>
      <w:r w:rsidR="00456615" w:rsidRPr="00C50854">
        <w:t>Samuti on</w:t>
      </w:r>
      <w:r w:rsidRPr="00C50854">
        <w:t xml:space="preserve"> valguskaablil põhineva juurdepääsuvõrgu baasil võimalik pakkuda vaskpaarile täielikku- ja jagatud juurdepääsu</w:t>
      </w:r>
      <w:r w:rsidR="00456615" w:rsidRPr="00C50854">
        <w:t>ga</w:t>
      </w:r>
      <w:r w:rsidRPr="00C50854">
        <w:t xml:space="preserve"> </w:t>
      </w:r>
      <w:r w:rsidRPr="00C50854">
        <w:lastRenderedPageBreak/>
        <w:t>ning alamvaskpaarile täieliku- ja jagatud juurdepääsuga samaväärseid hulgiteenuseid. Nõudluse ja pakkumise asendatavuse hindamisest nähtus, et valguskaablil põhineva juurdepääsuvõrgu baasil on võimalik osutada hulgiteenuseid, mis oma omaduste, hinna ja kasutamisvõimaluste poolest on vaskpaaril osutatava juurdepääsu teenusele asendusteenusteks. Sellest tulenevalt on põhjendatud valguskaablil põhineva juurdepääsuvõrgu baasil osutatava juurdepääsuteenuse kaasamine asjakohase turu koosseisu ilma täiendava asendatavuse analüüsita.</w:t>
      </w:r>
    </w:p>
    <w:p w14:paraId="14738301" w14:textId="406B7237" w:rsidR="006B154E" w:rsidRPr="00C50854" w:rsidRDefault="008E62BC" w:rsidP="00311E1F">
      <w:pPr>
        <w:numPr>
          <w:ilvl w:val="0"/>
          <w:numId w:val="13"/>
        </w:numPr>
        <w:suppressAutoHyphens w:val="0"/>
        <w:autoSpaceDE w:val="0"/>
        <w:autoSpaceDN w:val="0"/>
        <w:adjustRightInd w:val="0"/>
        <w:spacing w:before="120" w:after="120"/>
        <w:jc w:val="both"/>
        <w:rPr>
          <w:lang w:eastAsia="et-EE"/>
        </w:rPr>
      </w:pPr>
      <w:r w:rsidRPr="00C50854">
        <w:rPr>
          <w:lang w:eastAsia="et-EE"/>
        </w:rPr>
        <w:t>T</w:t>
      </w:r>
      <w:r w:rsidR="000548FC" w:rsidRPr="00C50854">
        <w:rPr>
          <w:lang w:eastAsia="et-EE"/>
        </w:rPr>
        <w:t>TJA</w:t>
      </w:r>
      <w:r w:rsidR="006B154E" w:rsidRPr="00C50854">
        <w:rPr>
          <w:lang w:eastAsia="et-EE"/>
        </w:rPr>
        <w:t xml:space="preserve"> hindas </w:t>
      </w:r>
      <w:r w:rsidR="00483BCD" w:rsidRPr="00C50854">
        <w:rPr>
          <w:lang w:eastAsia="et-EE"/>
        </w:rPr>
        <w:t>kohaliku</w:t>
      </w:r>
      <w:r w:rsidR="006B154E" w:rsidRPr="00C50854">
        <w:rPr>
          <w:lang w:eastAsia="et-EE"/>
        </w:rPr>
        <w:t xml:space="preserve"> juurdepääsu</w:t>
      </w:r>
      <w:r w:rsidR="00016DA0" w:rsidRPr="00C50854">
        <w:rPr>
          <w:lang w:eastAsia="et-EE"/>
        </w:rPr>
        <w:t xml:space="preserve"> </w:t>
      </w:r>
      <w:r w:rsidR="006B154E" w:rsidRPr="00C50854">
        <w:rPr>
          <w:lang w:eastAsia="et-EE"/>
        </w:rPr>
        <w:t>teenuste nõudluse- ja pakkumisepoolset asendatavust järgmiste alternatiivsete elektroonilise side teenuste osutamist võimaldavate juurdepääsuteenuste</w:t>
      </w:r>
      <w:r w:rsidR="00461CB1" w:rsidRPr="00C50854">
        <w:rPr>
          <w:lang w:eastAsia="et-EE"/>
        </w:rPr>
        <w:t xml:space="preserve"> tehnoloogiate vahendusel</w:t>
      </w:r>
      <w:r w:rsidR="006B154E" w:rsidRPr="00C50854">
        <w:rPr>
          <w:lang w:eastAsia="et-EE"/>
        </w:rPr>
        <w:t>:</w:t>
      </w:r>
    </w:p>
    <w:p w14:paraId="6962C631" w14:textId="3CEC449F" w:rsidR="006B154E" w:rsidRPr="00C50854" w:rsidRDefault="006B154E" w:rsidP="007E0516">
      <w:pPr>
        <w:numPr>
          <w:ilvl w:val="0"/>
          <w:numId w:val="3"/>
        </w:numPr>
        <w:suppressAutoHyphens w:val="0"/>
        <w:spacing w:before="120" w:after="120"/>
        <w:rPr>
          <w:lang w:eastAsia="et-EE"/>
        </w:rPr>
      </w:pPr>
      <w:r w:rsidRPr="00C50854">
        <w:rPr>
          <w:lang w:eastAsia="et-EE"/>
        </w:rPr>
        <w:t>mobiiltelefonivõrk</w:t>
      </w:r>
      <w:r w:rsidR="00570543" w:rsidRPr="00C50854">
        <w:rPr>
          <w:lang w:eastAsia="et-EE"/>
        </w:rPr>
        <w:t xml:space="preserve"> (LTE)</w:t>
      </w:r>
      <w:r w:rsidRPr="00C50854">
        <w:rPr>
          <w:lang w:eastAsia="et-EE"/>
        </w:rPr>
        <w:t>;</w:t>
      </w:r>
    </w:p>
    <w:p w14:paraId="0D5A2B2F" w14:textId="77777777" w:rsidR="006B154E" w:rsidRPr="00C50854" w:rsidRDefault="006B154E" w:rsidP="007E0516">
      <w:pPr>
        <w:numPr>
          <w:ilvl w:val="0"/>
          <w:numId w:val="3"/>
        </w:numPr>
        <w:suppressAutoHyphens w:val="0"/>
        <w:spacing w:before="120" w:after="120"/>
        <w:rPr>
          <w:lang w:eastAsia="et-EE"/>
        </w:rPr>
      </w:pPr>
      <w:r w:rsidRPr="00C50854">
        <w:rPr>
          <w:lang w:eastAsia="et-EE"/>
        </w:rPr>
        <w:t>kaabellevivõrk.</w:t>
      </w:r>
    </w:p>
    <w:p w14:paraId="57375455" w14:textId="3EC1F61E" w:rsidR="006B154E" w:rsidRPr="00C50854" w:rsidRDefault="006B154E" w:rsidP="00311E1F">
      <w:pPr>
        <w:numPr>
          <w:ilvl w:val="0"/>
          <w:numId w:val="13"/>
        </w:numPr>
        <w:suppressAutoHyphens w:val="0"/>
        <w:autoSpaceDE w:val="0"/>
        <w:autoSpaceDN w:val="0"/>
        <w:adjustRightInd w:val="0"/>
        <w:spacing w:before="120" w:after="120"/>
        <w:jc w:val="both"/>
        <w:rPr>
          <w:lang w:eastAsia="et-EE"/>
        </w:rPr>
      </w:pPr>
      <w:r w:rsidRPr="00C50854">
        <w:rPr>
          <w:lang w:eastAsia="et-EE"/>
        </w:rPr>
        <w:t>Ent kuivõrd pakutavate toodete ja teenuste oma</w:t>
      </w:r>
      <w:r w:rsidR="00876E2C" w:rsidRPr="00C50854">
        <w:rPr>
          <w:lang w:eastAsia="et-EE"/>
        </w:rPr>
        <w:t>vahelise asendatavuse analüüsimisel</w:t>
      </w:r>
      <w:r w:rsidRPr="00C50854">
        <w:rPr>
          <w:lang w:eastAsia="et-EE"/>
        </w:rPr>
        <w:t xml:space="preserve"> on oluline nende asendatavuse kindlakstegemine ka lõppkasutaja seisukohast, hindas </w:t>
      </w:r>
      <w:r w:rsidR="007974C7" w:rsidRPr="00C50854">
        <w:rPr>
          <w:lang w:eastAsia="et-EE"/>
        </w:rPr>
        <w:t>T</w:t>
      </w:r>
      <w:r w:rsidR="000548FC" w:rsidRPr="00C50854">
        <w:rPr>
          <w:lang w:eastAsia="et-EE"/>
        </w:rPr>
        <w:t>TJA</w:t>
      </w:r>
      <w:r w:rsidRPr="00C50854">
        <w:rPr>
          <w:lang w:eastAsia="et-EE"/>
        </w:rPr>
        <w:t>, kas vastavate juurdepääsu tehnoloogiate baasil osutatavad elektroonilise side teenused on oma omaduste, hinna ja kasutamisvõimaluste poolest asendusteenuseks</w:t>
      </w:r>
      <w:r w:rsidR="00570543" w:rsidRPr="00C50854">
        <w:rPr>
          <w:lang w:eastAsia="et-EE"/>
        </w:rPr>
        <w:t xml:space="preserve"> </w:t>
      </w:r>
      <w:r w:rsidR="00414409" w:rsidRPr="00C50854">
        <w:rPr>
          <w:lang w:eastAsia="et-EE"/>
        </w:rPr>
        <w:t xml:space="preserve">ka </w:t>
      </w:r>
      <w:r w:rsidR="00570543" w:rsidRPr="00C50854">
        <w:rPr>
          <w:lang w:eastAsia="et-EE"/>
        </w:rPr>
        <w:t>vask- ja valguskaablil</w:t>
      </w:r>
      <w:r w:rsidRPr="00C50854">
        <w:rPr>
          <w:lang w:eastAsia="et-EE"/>
        </w:rPr>
        <w:t xml:space="preserve"> põhineva juurdepääsuvõrgu baasil osutatavatele elektroonilise side </w:t>
      </w:r>
      <w:r w:rsidR="00414409" w:rsidRPr="00C50854">
        <w:rPr>
          <w:lang w:eastAsia="et-EE"/>
        </w:rPr>
        <w:t>jae</w:t>
      </w:r>
      <w:r w:rsidRPr="00C50854">
        <w:rPr>
          <w:lang w:eastAsia="et-EE"/>
        </w:rPr>
        <w:t>teenustele.</w:t>
      </w:r>
    </w:p>
    <w:p w14:paraId="00AB2BCE" w14:textId="35F34EDC" w:rsidR="006B154E" w:rsidRPr="00C50854" w:rsidRDefault="006B154E" w:rsidP="00311E1F">
      <w:pPr>
        <w:numPr>
          <w:ilvl w:val="0"/>
          <w:numId w:val="13"/>
        </w:numPr>
        <w:suppressAutoHyphens w:val="0"/>
        <w:spacing w:before="120" w:after="120"/>
        <w:jc w:val="both"/>
        <w:rPr>
          <w:lang w:eastAsia="et-EE"/>
        </w:rPr>
      </w:pPr>
      <w:r w:rsidRPr="00C50854">
        <w:rPr>
          <w:lang w:eastAsia="et-EE"/>
        </w:rPr>
        <w:t xml:space="preserve">Samuti hindas </w:t>
      </w:r>
      <w:r w:rsidR="008E62BC" w:rsidRPr="00C50854">
        <w:rPr>
          <w:lang w:eastAsia="et-EE"/>
        </w:rPr>
        <w:t>T</w:t>
      </w:r>
      <w:r w:rsidR="000548FC" w:rsidRPr="00C50854">
        <w:rPr>
          <w:lang w:eastAsia="et-EE"/>
        </w:rPr>
        <w:t>TJA</w:t>
      </w:r>
      <w:r w:rsidRPr="00C50854">
        <w:rPr>
          <w:lang w:eastAsia="et-EE"/>
        </w:rPr>
        <w:t xml:space="preserve"> juurdepääsu asendatavust </w:t>
      </w:r>
      <w:r w:rsidR="00414409" w:rsidRPr="00C50854">
        <w:rPr>
          <w:lang w:eastAsia="et-EE"/>
        </w:rPr>
        <w:t xml:space="preserve">masstoodete </w:t>
      </w:r>
      <w:r w:rsidR="001E63D9" w:rsidRPr="00C50854">
        <w:rPr>
          <w:lang w:eastAsia="et-EE"/>
        </w:rPr>
        <w:t>keskse</w:t>
      </w:r>
      <w:r w:rsidR="0094286E" w:rsidRPr="00C50854">
        <w:rPr>
          <w:lang w:eastAsia="et-EE"/>
        </w:rPr>
        <w:t xml:space="preserve"> juurdepääsu</w:t>
      </w:r>
      <w:r w:rsidRPr="00C50854">
        <w:rPr>
          <w:lang w:eastAsia="et-EE"/>
        </w:rPr>
        <w:t xml:space="preserve"> ja </w:t>
      </w:r>
      <w:r w:rsidR="001E63D9" w:rsidRPr="00C50854">
        <w:rPr>
          <w:lang w:eastAsia="et-EE"/>
        </w:rPr>
        <w:t xml:space="preserve">kvaliteetse juurdepääsu </w:t>
      </w:r>
      <w:r w:rsidR="00414409" w:rsidRPr="00C50854">
        <w:rPr>
          <w:lang w:eastAsia="et-EE"/>
        </w:rPr>
        <w:t>hulgi</w:t>
      </w:r>
      <w:r w:rsidR="001E63D9" w:rsidRPr="00C50854">
        <w:rPr>
          <w:lang w:eastAsia="et-EE"/>
        </w:rPr>
        <w:t xml:space="preserve">teenustega. </w:t>
      </w:r>
    </w:p>
    <w:p w14:paraId="19D09004" w14:textId="20B326F1" w:rsidR="006B154E" w:rsidRPr="00C50854" w:rsidRDefault="00493EA8" w:rsidP="004D4AF8">
      <w:pPr>
        <w:pStyle w:val="Pealkiri4"/>
      </w:pPr>
      <w:bookmarkStart w:id="146" w:name="_Toc464639330"/>
      <w:r w:rsidRPr="00C50854">
        <w:t>3</w:t>
      </w:r>
      <w:r w:rsidR="009E58C7" w:rsidRPr="00C50854">
        <w:t>.2.3.</w:t>
      </w:r>
      <w:r w:rsidR="0094286E" w:rsidRPr="00C50854">
        <w:t>1</w:t>
      </w:r>
      <w:r w:rsidR="00035540" w:rsidRPr="00C50854">
        <w:t xml:space="preserve">. </w:t>
      </w:r>
      <w:r w:rsidR="00A01994" w:rsidRPr="00C50854">
        <w:t>Mobiiltelefonivõrgu</w:t>
      </w:r>
      <w:r w:rsidR="00035540" w:rsidRPr="00C50854">
        <w:t>l põhinev juurdepääsuvõrk</w:t>
      </w:r>
      <w:bookmarkEnd w:id="146"/>
    </w:p>
    <w:p w14:paraId="7131B068" w14:textId="77777777" w:rsidR="00035540" w:rsidRPr="00C50854" w:rsidRDefault="00035540" w:rsidP="00035540">
      <w:pPr>
        <w:suppressAutoHyphens w:val="0"/>
        <w:spacing w:before="240" w:after="120"/>
        <w:rPr>
          <w:b/>
          <w:lang w:eastAsia="et-EE"/>
        </w:rPr>
      </w:pPr>
      <w:r w:rsidRPr="00C50854">
        <w:rPr>
          <w:b/>
          <w:lang w:eastAsia="et-EE"/>
        </w:rPr>
        <w:t>Nõudlusepoolne asendatavus</w:t>
      </w:r>
    </w:p>
    <w:p w14:paraId="1A498683" w14:textId="62E24F2D" w:rsidR="00035540" w:rsidRPr="00C50854" w:rsidRDefault="000355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Raadiosidevõrgu alaliik on ka mobiiltelefonivõrk. Eestis</w:t>
      </w:r>
      <w:r w:rsidR="00B9664F" w:rsidRPr="00C50854">
        <w:rPr>
          <w:lang w:eastAsia="et-EE"/>
        </w:rPr>
        <w:t xml:space="preserve"> </w:t>
      </w:r>
      <w:r w:rsidR="001C5402" w:rsidRPr="00C50854">
        <w:rPr>
          <w:lang w:eastAsia="et-EE"/>
        </w:rPr>
        <w:t>suureneb aasta aastalt konkurents</w:t>
      </w:r>
      <w:r w:rsidR="00B9664F" w:rsidRPr="00C50854">
        <w:rPr>
          <w:lang w:eastAsia="et-EE"/>
        </w:rPr>
        <w:t xml:space="preserve"> </w:t>
      </w:r>
      <w:r w:rsidRPr="00C50854">
        <w:rPr>
          <w:lang w:eastAsia="et-EE"/>
        </w:rPr>
        <w:t>mobiil</w:t>
      </w:r>
      <w:r w:rsidR="00167EC3" w:rsidRPr="00C50854">
        <w:rPr>
          <w:lang w:eastAsia="et-EE"/>
        </w:rPr>
        <w:t>s</w:t>
      </w:r>
      <w:r w:rsidRPr="00C50854">
        <w:rPr>
          <w:lang w:eastAsia="et-EE"/>
        </w:rPr>
        <w:t>e lairibaühenduse teenus</w:t>
      </w:r>
      <w:r w:rsidR="002D283E" w:rsidRPr="00C50854">
        <w:rPr>
          <w:lang w:eastAsia="et-EE"/>
        </w:rPr>
        <w:t>e</w:t>
      </w:r>
      <w:r w:rsidRPr="00C50854">
        <w:rPr>
          <w:lang w:eastAsia="et-EE"/>
        </w:rPr>
        <w:t xml:space="preserve"> </w:t>
      </w:r>
      <w:r w:rsidR="001C5402" w:rsidRPr="00C50854">
        <w:rPr>
          <w:lang w:eastAsia="et-EE"/>
        </w:rPr>
        <w:t>ja</w:t>
      </w:r>
      <w:r w:rsidRPr="00C50854">
        <w:rPr>
          <w:lang w:eastAsia="et-EE"/>
        </w:rPr>
        <w:t xml:space="preserve"> fikseeritud lairiba teenuse</w:t>
      </w:r>
      <w:r w:rsidR="001C5402" w:rsidRPr="00C50854">
        <w:rPr>
          <w:lang w:eastAsia="et-EE"/>
        </w:rPr>
        <w:t xml:space="preserve"> vahel</w:t>
      </w:r>
      <w:r w:rsidRPr="00C50854">
        <w:rPr>
          <w:lang w:eastAsia="et-EE"/>
        </w:rPr>
        <w:t xml:space="preserve">, kuna mobiilse lairibaühenduse teenuse hinnad ja ühenduskiirused on võrreldavad või kohati isegi </w:t>
      </w:r>
      <w:r w:rsidR="001C5402" w:rsidRPr="00C50854">
        <w:rPr>
          <w:lang w:eastAsia="et-EE"/>
        </w:rPr>
        <w:t>suuremad</w:t>
      </w:r>
      <w:r w:rsidRPr="00C50854">
        <w:rPr>
          <w:lang w:eastAsia="et-EE"/>
        </w:rPr>
        <w:t xml:space="preserve">. Kõik suuremad </w:t>
      </w:r>
      <w:proofErr w:type="spellStart"/>
      <w:r w:rsidRPr="00C50854">
        <w:rPr>
          <w:lang w:eastAsia="et-EE"/>
        </w:rPr>
        <w:t>mobiil</w:t>
      </w:r>
      <w:r w:rsidR="002A5D20" w:rsidRPr="00C50854">
        <w:rPr>
          <w:lang w:eastAsia="et-EE"/>
        </w:rPr>
        <w:t>sideettevõte</w:t>
      </w:r>
      <w:r w:rsidRPr="00C50854">
        <w:rPr>
          <w:lang w:eastAsia="et-EE"/>
        </w:rPr>
        <w:t>d</w:t>
      </w:r>
      <w:proofErr w:type="spellEnd"/>
      <w:r w:rsidRPr="00C50854">
        <w:rPr>
          <w:lang w:eastAsia="et-EE"/>
        </w:rPr>
        <w:t xml:space="preserve"> on oluliselt suurendanud internetipakettide valiku</w:t>
      </w:r>
      <w:r w:rsidR="00B9664F" w:rsidRPr="00C50854">
        <w:rPr>
          <w:lang w:eastAsia="et-EE"/>
        </w:rPr>
        <w:t>t</w:t>
      </w:r>
      <w:r w:rsidRPr="00C50854">
        <w:rPr>
          <w:lang w:eastAsia="et-EE"/>
        </w:rPr>
        <w:t xml:space="preserve">, mis võimaldab </w:t>
      </w:r>
      <w:r w:rsidR="002A5D20" w:rsidRPr="00C50854">
        <w:rPr>
          <w:lang w:eastAsia="et-EE"/>
        </w:rPr>
        <w:t>lõppkasutaja</w:t>
      </w:r>
      <w:r w:rsidRPr="00C50854">
        <w:rPr>
          <w:lang w:eastAsia="et-EE"/>
        </w:rPr>
        <w:t>l valida endale</w:t>
      </w:r>
      <w:r w:rsidR="00B9664F" w:rsidRPr="00C50854">
        <w:rPr>
          <w:lang w:eastAsia="et-EE"/>
        </w:rPr>
        <w:t xml:space="preserve"> nii arvuti kui ka mobiiltelefoni jaoks</w:t>
      </w:r>
      <w:r w:rsidRPr="00C50854">
        <w:rPr>
          <w:lang w:eastAsia="et-EE"/>
        </w:rPr>
        <w:t xml:space="preserve"> sobivaid</w:t>
      </w:r>
      <w:r w:rsidR="00B9664F" w:rsidRPr="00C50854">
        <w:rPr>
          <w:lang w:eastAsia="et-EE"/>
        </w:rPr>
        <w:t xml:space="preserve"> kiiruseid ja andmesidemahtusid</w:t>
      </w:r>
      <w:r w:rsidRPr="00C50854">
        <w:rPr>
          <w:lang w:eastAsia="et-EE"/>
        </w:rPr>
        <w:t>.</w:t>
      </w:r>
    </w:p>
    <w:p w14:paraId="7AAEC3C1" w14:textId="77777777" w:rsidR="001C5402" w:rsidRPr="00C50854" w:rsidRDefault="000355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Mobiiltelefonivõrgu puhul on kliendiliiniks konkreetses sagedusalas masti ja mobiiltelefoni (või ka </w:t>
      </w:r>
      <w:r w:rsidR="00496502" w:rsidRPr="00C50854">
        <w:rPr>
          <w:lang w:eastAsia="et-EE"/>
        </w:rPr>
        <w:t>mobiilse internetiühendusega arvuti</w:t>
      </w:r>
      <w:r w:rsidRPr="00C50854">
        <w:rPr>
          <w:lang w:eastAsia="et-EE"/>
        </w:rPr>
        <w:t>) vaheline avatud keskkonnas leviv elektromagnetlaine, mis võimaldab pakkuda vaskpaariga analoogseid jaeteenuseid.</w:t>
      </w:r>
    </w:p>
    <w:p w14:paraId="287070B6" w14:textId="3974D517" w:rsidR="00741D3E" w:rsidRPr="00C50854" w:rsidRDefault="000355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Mobiilset andmesideteenust pakutakse seejuures peamiselt üle </w:t>
      </w:r>
      <w:r w:rsidR="0072324D" w:rsidRPr="00C50854">
        <w:rPr>
          <w:lang w:eastAsia="et-EE"/>
        </w:rPr>
        <w:t xml:space="preserve"> </w:t>
      </w:r>
      <w:r w:rsidR="001C5402" w:rsidRPr="00C50854">
        <w:rPr>
          <w:lang w:eastAsia="et-EE"/>
        </w:rPr>
        <w:t>4G (</w:t>
      </w:r>
      <w:r w:rsidR="001C5402" w:rsidRPr="00C50854">
        <w:rPr>
          <w:i/>
          <w:lang w:eastAsia="et-EE"/>
        </w:rPr>
        <w:t xml:space="preserve">LTE - </w:t>
      </w:r>
      <w:proofErr w:type="spellStart"/>
      <w:r w:rsidR="001C5402" w:rsidRPr="00C50854">
        <w:rPr>
          <w:i/>
          <w:iCs/>
        </w:rPr>
        <w:t>Long</w:t>
      </w:r>
      <w:proofErr w:type="spellEnd"/>
      <w:r w:rsidR="001C5402" w:rsidRPr="00C50854">
        <w:rPr>
          <w:i/>
          <w:iCs/>
        </w:rPr>
        <w:t xml:space="preserve"> term </w:t>
      </w:r>
      <w:proofErr w:type="spellStart"/>
      <w:r w:rsidR="001C5402" w:rsidRPr="00C50854">
        <w:rPr>
          <w:i/>
          <w:iCs/>
        </w:rPr>
        <w:t>evolution</w:t>
      </w:r>
      <w:proofErr w:type="spellEnd"/>
      <w:r w:rsidR="001C5402" w:rsidRPr="00C50854">
        <w:rPr>
          <w:i/>
          <w:iCs/>
        </w:rPr>
        <w:t xml:space="preserve">  </w:t>
      </w:r>
      <w:r w:rsidR="001C5402" w:rsidRPr="00C50854">
        <w:rPr>
          <w:rStyle w:val="st"/>
          <w:i/>
          <w:color w:val="222222"/>
        </w:rPr>
        <w:t>uusim raadiosidel põhinev andmeside tehnoloogia, mis</w:t>
      </w:r>
      <w:r w:rsidR="001C5402" w:rsidRPr="00C50854">
        <w:rPr>
          <w:rStyle w:val="st"/>
          <w:color w:val="222222"/>
        </w:rPr>
        <w:t xml:space="preserve"> </w:t>
      </w:r>
      <w:r w:rsidR="001C5402" w:rsidRPr="00C50854">
        <w:rPr>
          <w:rStyle w:val="st"/>
          <w:i/>
          <w:color w:val="222222"/>
        </w:rPr>
        <w:t xml:space="preserve">võimaldab mobiilset andmesidet kiirusel </w:t>
      </w:r>
      <w:r w:rsidR="00167EC3" w:rsidRPr="00C50854">
        <w:rPr>
          <w:rStyle w:val="st"/>
          <w:i/>
          <w:color w:val="222222"/>
        </w:rPr>
        <w:t xml:space="preserve">üle </w:t>
      </w:r>
      <w:r w:rsidR="001C5402" w:rsidRPr="00C50854">
        <w:rPr>
          <w:rStyle w:val="st"/>
          <w:i/>
          <w:color w:val="222222"/>
        </w:rPr>
        <w:t>450 megabitti sekundis</w:t>
      </w:r>
      <w:r w:rsidR="001C5402" w:rsidRPr="00C50854">
        <w:rPr>
          <w:i/>
          <w:lang w:eastAsia="et-EE"/>
        </w:rPr>
        <w:t xml:space="preserve">) </w:t>
      </w:r>
      <w:r w:rsidRPr="00C50854">
        <w:rPr>
          <w:lang w:eastAsia="et-EE"/>
        </w:rPr>
        <w:t>võrgutehnoloogi</w:t>
      </w:r>
      <w:r w:rsidR="001C5402" w:rsidRPr="00C50854">
        <w:rPr>
          <w:lang w:eastAsia="et-EE"/>
        </w:rPr>
        <w:t>a.</w:t>
      </w:r>
    </w:p>
    <w:p w14:paraId="5427A4C0" w14:textId="521FB7C2" w:rsidR="00B553DC" w:rsidRPr="00C50854" w:rsidRDefault="005F2595" w:rsidP="00311E1F">
      <w:pPr>
        <w:pStyle w:val="Loendilik"/>
        <w:numPr>
          <w:ilvl w:val="0"/>
          <w:numId w:val="13"/>
        </w:numPr>
        <w:rPr>
          <w:lang w:eastAsia="et-EE"/>
        </w:rPr>
      </w:pPr>
      <w:r w:rsidRPr="00C50854">
        <w:rPr>
          <w:lang w:eastAsia="et-EE"/>
        </w:rPr>
        <w:t xml:space="preserve">2019 aasta septembris TTJA poolt läbi viidud mõõtmiste tulemusel </w:t>
      </w:r>
      <w:r w:rsidR="00667190" w:rsidRPr="00C50854">
        <w:rPr>
          <w:lang w:eastAsia="et-EE"/>
        </w:rPr>
        <w:t xml:space="preserve">on vähemalt 30Mbit/s kiirusega mobiilne andmeside kättesaadav peaaegu kogu Eesti territooriumil. Kättesaadavuse % arvutamisel on lähtutud igas u 150-s mõõtepunktis kolme </w:t>
      </w:r>
      <w:r w:rsidR="002A5D20" w:rsidRPr="00C50854">
        <w:rPr>
          <w:lang w:eastAsia="et-EE"/>
        </w:rPr>
        <w:t>sideettevõtja</w:t>
      </w:r>
      <w:r w:rsidR="00667190" w:rsidRPr="00C50854">
        <w:rPr>
          <w:lang w:eastAsia="et-EE"/>
        </w:rPr>
        <w:t xml:space="preserve"> seast parimast tulemusest. Keskmised allalaadimiskiirused on mõõdetud üle Eesti ligikaudu 150-s punktis seisu pealt. Viimased aastad on laiemalt kasutusele toonud 4G LTE võrkudesse mitme sageduse korraga kasutamise (</w:t>
      </w:r>
      <w:proofErr w:type="spellStart"/>
      <w:r w:rsidR="00667190" w:rsidRPr="00C50854">
        <w:rPr>
          <w:lang w:eastAsia="et-EE"/>
        </w:rPr>
        <w:t>Carrier</w:t>
      </w:r>
      <w:proofErr w:type="spellEnd"/>
      <w:r w:rsidR="00667190" w:rsidRPr="00C50854">
        <w:rPr>
          <w:lang w:eastAsia="et-EE"/>
        </w:rPr>
        <w:t xml:space="preserve"> </w:t>
      </w:r>
      <w:proofErr w:type="spellStart"/>
      <w:r w:rsidR="00667190" w:rsidRPr="00C50854">
        <w:rPr>
          <w:lang w:eastAsia="et-EE"/>
        </w:rPr>
        <w:t>Aggregation</w:t>
      </w:r>
      <w:proofErr w:type="spellEnd"/>
      <w:r w:rsidR="00667190" w:rsidRPr="00C50854">
        <w:rPr>
          <w:lang w:eastAsia="et-EE"/>
        </w:rPr>
        <w:t>, tabelites tähistatud 4G+ või LTE_CA), mis kergitab allalaadimiskiiruste maksimumid üle 500 Mbit/s. (vt slaid nr 3, „Mobiilse interneti andmesidekiirused Eestis“ septembris 2019</w:t>
      </w:r>
      <w:r w:rsidR="00962F7B" w:rsidRPr="00C50854">
        <w:rPr>
          <w:lang w:eastAsia="et-EE"/>
        </w:rPr>
        <w:t>)</w:t>
      </w:r>
      <w:r w:rsidR="00154B38" w:rsidRPr="00C50854">
        <w:rPr>
          <w:rStyle w:val="Allmrkuseviide"/>
          <w:lang w:eastAsia="et-EE"/>
        </w:rPr>
        <w:footnoteReference w:id="26"/>
      </w:r>
      <w:r w:rsidR="00E0634B" w:rsidRPr="00C50854">
        <w:rPr>
          <w:lang w:eastAsia="et-EE"/>
        </w:rPr>
        <w:t>.</w:t>
      </w:r>
    </w:p>
    <w:p w14:paraId="719CB1FF" w14:textId="6B4EA3FB" w:rsidR="00667190" w:rsidRPr="00C50854" w:rsidRDefault="00667190" w:rsidP="00667190">
      <w:pPr>
        <w:rPr>
          <w:lang w:eastAsia="et-EE"/>
        </w:rPr>
      </w:pPr>
    </w:p>
    <w:p w14:paraId="42F5CC25" w14:textId="77777777" w:rsidR="00667190" w:rsidRPr="00C50854" w:rsidRDefault="00667190" w:rsidP="00667190">
      <w:pPr>
        <w:rPr>
          <w:lang w:eastAsia="et-EE"/>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9"/>
        <w:gridCol w:w="1539"/>
        <w:gridCol w:w="1067"/>
        <w:gridCol w:w="1403"/>
      </w:tblGrid>
      <w:tr w:rsidR="009A4409" w:rsidRPr="00C50854" w14:paraId="29E12EF9" w14:textId="77777777" w:rsidTr="000762B0">
        <w:trPr>
          <w:trHeight w:val="234"/>
        </w:trPr>
        <w:tc>
          <w:tcPr>
            <w:tcW w:w="5289" w:type="dxa"/>
            <w:shd w:val="clear" w:color="auto" w:fill="CCFFCC"/>
            <w:hideMark/>
          </w:tcPr>
          <w:p w14:paraId="1AB89BAF" w14:textId="6CC6918D" w:rsidR="009A4409" w:rsidRPr="00C50854" w:rsidRDefault="009A4409" w:rsidP="004A2B79">
            <w:pPr>
              <w:suppressAutoHyphens w:val="0"/>
              <w:spacing w:before="120" w:after="120"/>
              <w:rPr>
                <w:rFonts w:eastAsia="Calibri"/>
                <w:b/>
                <w:bCs/>
                <w:sz w:val="20"/>
                <w:szCs w:val="20"/>
                <w:lang w:eastAsia="et-EE"/>
              </w:rPr>
            </w:pPr>
            <w:r w:rsidRPr="00C50854">
              <w:rPr>
                <w:rFonts w:eastAsia="Calibri"/>
                <w:b/>
                <w:bCs/>
                <w:sz w:val="20"/>
                <w:szCs w:val="20"/>
                <w:lang w:eastAsia="et-EE"/>
              </w:rPr>
              <w:lastRenderedPageBreak/>
              <w:t>Mõõtetulemuste statistika 201</w:t>
            </w:r>
            <w:r w:rsidR="00AD523B" w:rsidRPr="00C50854">
              <w:rPr>
                <w:rFonts w:eastAsia="Calibri"/>
                <w:b/>
                <w:bCs/>
                <w:sz w:val="20"/>
                <w:szCs w:val="20"/>
                <w:lang w:eastAsia="et-EE"/>
              </w:rPr>
              <w:t>9</w:t>
            </w:r>
          </w:p>
        </w:tc>
        <w:tc>
          <w:tcPr>
            <w:tcW w:w="4009" w:type="dxa"/>
            <w:gridSpan w:val="3"/>
            <w:shd w:val="clear" w:color="auto" w:fill="CCFFCC"/>
            <w:hideMark/>
          </w:tcPr>
          <w:p w14:paraId="37393CE0" w14:textId="77777777" w:rsidR="009A4409" w:rsidRPr="00C50854" w:rsidRDefault="009A4409" w:rsidP="004A2B79">
            <w:pPr>
              <w:suppressAutoHyphens w:val="0"/>
              <w:spacing w:before="120" w:after="120"/>
              <w:rPr>
                <w:rFonts w:eastAsia="Calibri"/>
                <w:b/>
                <w:bCs/>
                <w:sz w:val="20"/>
                <w:szCs w:val="20"/>
                <w:lang w:eastAsia="et-EE"/>
              </w:rPr>
            </w:pPr>
            <w:r w:rsidRPr="00C50854">
              <w:rPr>
                <w:rFonts w:eastAsia="Calibri"/>
                <w:b/>
                <w:bCs/>
                <w:sz w:val="20"/>
                <w:szCs w:val="20"/>
                <w:lang w:eastAsia="et-EE"/>
              </w:rPr>
              <w:t xml:space="preserve">Fikseeritud mõõtekohtades </w:t>
            </w:r>
          </w:p>
        </w:tc>
      </w:tr>
      <w:tr w:rsidR="00F82161" w:rsidRPr="00C50854" w14:paraId="69D9B736" w14:textId="77777777" w:rsidTr="009B32A2">
        <w:trPr>
          <w:trHeight w:val="260"/>
        </w:trPr>
        <w:tc>
          <w:tcPr>
            <w:tcW w:w="5289" w:type="dxa"/>
            <w:shd w:val="clear" w:color="auto" w:fill="auto"/>
            <w:hideMark/>
          </w:tcPr>
          <w:p w14:paraId="3ED3D8E1" w14:textId="3C608FD4" w:rsidR="00F82161" w:rsidRPr="00C50854" w:rsidRDefault="00F82161" w:rsidP="00F82161">
            <w:pPr>
              <w:suppressAutoHyphens w:val="0"/>
              <w:rPr>
                <w:rFonts w:ascii="Calibri" w:eastAsia="Calibri" w:hAnsi="Calibri"/>
                <w:sz w:val="20"/>
                <w:szCs w:val="20"/>
                <w:lang w:eastAsia="et-EE"/>
              </w:rPr>
            </w:pPr>
          </w:p>
        </w:tc>
        <w:tc>
          <w:tcPr>
            <w:tcW w:w="1539" w:type="dxa"/>
            <w:shd w:val="clear" w:color="auto" w:fill="auto"/>
            <w:hideMark/>
          </w:tcPr>
          <w:p w14:paraId="60340215" w14:textId="7BAD7690" w:rsidR="00F82161" w:rsidRPr="00C50854" w:rsidRDefault="00F82161" w:rsidP="00F82161">
            <w:pPr>
              <w:suppressAutoHyphens w:val="0"/>
              <w:jc w:val="center"/>
              <w:rPr>
                <w:rFonts w:eastAsia="Calibri"/>
                <w:b/>
                <w:sz w:val="20"/>
                <w:szCs w:val="20"/>
                <w:lang w:eastAsia="et-EE"/>
              </w:rPr>
            </w:pPr>
            <w:r w:rsidRPr="00C50854">
              <w:rPr>
                <w:b/>
                <w:sz w:val="20"/>
                <w:szCs w:val="20"/>
              </w:rPr>
              <w:t>Telia</w:t>
            </w:r>
          </w:p>
        </w:tc>
        <w:tc>
          <w:tcPr>
            <w:tcW w:w="1067" w:type="dxa"/>
            <w:shd w:val="clear" w:color="auto" w:fill="auto"/>
            <w:hideMark/>
          </w:tcPr>
          <w:p w14:paraId="4640D15F" w14:textId="4F6AD2F1" w:rsidR="00F82161" w:rsidRPr="00C50854" w:rsidRDefault="00F82161" w:rsidP="00F82161">
            <w:pPr>
              <w:suppressAutoHyphens w:val="0"/>
              <w:jc w:val="center"/>
              <w:rPr>
                <w:rFonts w:eastAsia="Calibri"/>
                <w:b/>
                <w:sz w:val="20"/>
                <w:szCs w:val="20"/>
                <w:lang w:eastAsia="et-EE"/>
              </w:rPr>
            </w:pPr>
            <w:r w:rsidRPr="00C50854">
              <w:rPr>
                <w:b/>
                <w:sz w:val="20"/>
                <w:szCs w:val="20"/>
              </w:rPr>
              <w:t>Elisa</w:t>
            </w:r>
          </w:p>
        </w:tc>
        <w:tc>
          <w:tcPr>
            <w:tcW w:w="1403" w:type="dxa"/>
            <w:shd w:val="clear" w:color="auto" w:fill="auto"/>
            <w:hideMark/>
          </w:tcPr>
          <w:p w14:paraId="3FACF903" w14:textId="27390256" w:rsidR="00F82161" w:rsidRPr="00C50854" w:rsidRDefault="00F82161" w:rsidP="00F82161">
            <w:pPr>
              <w:suppressAutoHyphens w:val="0"/>
              <w:jc w:val="center"/>
              <w:rPr>
                <w:rFonts w:eastAsia="Calibri"/>
                <w:b/>
                <w:sz w:val="20"/>
                <w:szCs w:val="20"/>
                <w:lang w:eastAsia="et-EE"/>
              </w:rPr>
            </w:pPr>
            <w:r w:rsidRPr="00C50854">
              <w:rPr>
                <w:b/>
                <w:sz w:val="20"/>
                <w:szCs w:val="20"/>
              </w:rPr>
              <w:t>Tele2</w:t>
            </w:r>
          </w:p>
        </w:tc>
      </w:tr>
      <w:tr w:rsidR="00E4128C" w:rsidRPr="00C50854" w14:paraId="1306C698" w14:textId="77777777" w:rsidTr="009B32A2">
        <w:trPr>
          <w:trHeight w:val="338"/>
        </w:trPr>
        <w:tc>
          <w:tcPr>
            <w:tcW w:w="5289" w:type="dxa"/>
            <w:shd w:val="clear" w:color="auto" w:fill="auto"/>
            <w:hideMark/>
          </w:tcPr>
          <w:p w14:paraId="60568BA0" w14:textId="3321A01A" w:rsidR="00E4128C" w:rsidRPr="00C50854" w:rsidRDefault="00E4128C" w:rsidP="00E4128C">
            <w:pPr>
              <w:suppressAutoHyphens w:val="0"/>
              <w:rPr>
                <w:rFonts w:eastAsia="Calibri"/>
                <w:sz w:val="20"/>
                <w:szCs w:val="20"/>
                <w:lang w:eastAsia="et-EE"/>
              </w:rPr>
            </w:pPr>
            <w:r w:rsidRPr="00C50854">
              <w:rPr>
                <w:sz w:val="20"/>
                <w:szCs w:val="20"/>
              </w:rPr>
              <w:t>Keskmine allalaadimiskiirus Mbit/s</w:t>
            </w:r>
          </w:p>
        </w:tc>
        <w:tc>
          <w:tcPr>
            <w:tcW w:w="1539" w:type="dxa"/>
            <w:shd w:val="clear" w:color="auto" w:fill="auto"/>
            <w:hideMark/>
          </w:tcPr>
          <w:p w14:paraId="73376060" w14:textId="4607D9F1" w:rsidR="00E4128C" w:rsidRPr="00C50854" w:rsidRDefault="00E4128C" w:rsidP="00E4128C">
            <w:pPr>
              <w:suppressAutoHyphens w:val="0"/>
              <w:jc w:val="center"/>
              <w:rPr>
                <w:rFonts w:eastAsia="Calibri"/>
                <w:sz w:val="20"/>
                <w:szCs w:val="20"/>
                <w:lang w:eastAsia="et-EE"/>
              </w:rPr>
            </w:pPr>
            <w:r w:rsidRPr="00C50854">
              <w:rPr>
                <w:sz w:val="20"/>
                <w:szCs w:val="20"/>
              </w:rPr>
              <w:t>125,4</w:t>
            </w:r>
          </w:p>
        </w:tc>
        <w:tc>
          <w:tcPr>
            <w:tcW w:w="1067" w:type="dxa"/>
            <w:shd w:val="clear" w:color="auto" w:fill="auto"/>
            <w:hideMark/>
          </w:tcPr>
          <w:p w14:paraId="2E792841" w14:textId="6CDFE1AA" w:rsidR="00E4128C" w:rsidRPr="00C50854" w:rsidRDefault="00E4128C" w:rsidP="00E4128C">
            <w:pPr>
              <w:suppressAutoHyphens w:val="0"/>
              <w:jc w:val="center"/>
              <w:rPr>
                <w:rFonts w:eastAsia="Calibri"/>
                <w:sz w:val="20"/>
                <w:szCs w:val="20"/>
                <w:lang w:eastAsia="et-EE"/>
              </w:rPr>
            </w:pPr>
            <w:r w:rsidRPr="00C50854">
              <w:rPr>
                <w:sz w:val="20"/>
                <w:szCs w:val="20"/>
              </w:rPr>
              <w:t>131,0</w:t>
            </w:r>
          </w:p>
        </w:tc>
        <w:tc>
          <w:tcPr>
            <w:tcW w:w="1403" w:type="dxa"/>
            <w:shd w:val="clear" w:color="auto" w:fill="auto"/>
            <w:hideMark/>
          </w:tcPr>
          <w:p w14:paraId="790A164F" w14:textId="4FFE0499" w:rsidR="00E4128C" w:rsidRPr="00C50854" w:rsidRDefault="00E4128C" w:rsidP="00E4128C">
            <w:pPr>
              <w:suppressAutoHyphens w:val="0"/>
              <w:jc w:val="center"/>
              <w:rPr>
                <w:rFonts w:eastAsia="Calibri"/>
                <w:sz w:val="20"/>
                <w:szCs w:val="20"/>
                <w:lang w:eastAsia="et-EE"/>
              </w:rPr>
            </w:pPr>
            <w:r w:rsidRPr="00C50854">
              <w:rPr>
                <w:sz w:val="20"/>
                <w:szCs w:val="20"/>
              </w:rPr>
              <w:t>94,0</w:t>
            </w:r>
          </w:p>
        </w:tc>
      </w:tr>
      <w:tr w:rsidR="00E4128C" w:rsidRPr="00C50854" w14:paraId="56BEC7BB" w14:textId="77777777" w:rsidTr="009B32A2">
        <w:trPr>
          <w:trHeight w:val="301"/>
        </w:trPr>
        <w:tc>
          <w:tcPr>
            <w:tcW w:w="5289" w:type="dxa"/>
            <w:shd w:val="clear" w:color="auto" w:fill="auto"/>
            <w:hideMark/>
          </w:tcPr>
          <w:p w14:paraId="05FD6C4B" w14:textId="18DD9D7D" w:rsidR="00E4128C" w:rsidRPr="00C50854" w:rsidRDefault="00E4128C" w:rsidP="00E4128C">
            <w:pPr>
              <w:suppressAutoHyphens w:val="0"/>
              <w:rPr>
                <w:rFonts w:eastAsia="Calibri"/>
                <w:sz w:val="20"/>
                <w:szCs w:val="20"/>
                <w:lang w:eastAsia="et-EE"/>
              </w:rPr>
            </w:pPr>
            <w:r w:rsidRPr="00C50854">
              <w:rPr>
                <w:sz w:val="20"/>
                <w:szCs w:val="20"/>
              </w:rPr>
              <w:t>Keskmine üleslaadimiskiirus Mbit/s</w:t>
            </w:r>
          </w:p>
        </w:tc>
        <w:tc>
          <w:tcPr>
            <w:tcW w:w="1539" w:type="dxa"/>
            <w:shd w:val="clear" w:color="auto" w:fill="auto"/>
            <w:hideMark/>
          </w:tcPr>
          <w:p w14:paraId="66304020" w14:textId="6760DF6B" w:rsidR="00E4128C" w:rsidRPr="00C50854" w:rsidRDefault="00E4128C" w:rsidP="00E4128C">
            <w:pPr>
              <w:suppressAutoHyphens w:val="0"/>
              <w:jc w:val="center"/>
              <w:rPr>
                <w:rFonts w:eastAsia="Calibri"/>
                <w:sz w:val="20"/>
                <w:szCs w:val="20"/>
                <w:lang w:eastAsia="et-EE"/>
              </w:rPr>
            </w:pPr>
            <w:r w:rsidRPr="00C50854">
              <w:rPr>
                <w:sz w:val="20"/>
                <w:szCs w:val="20"/>
              </w:rPr>
              <w:t>38,6</w:t>
            </w:r>
          </w:p>
        </w:tc>
        <w:tc>
          <w:tcPr>
            <w:tcW w:w="1067" w:type="dxa"/>
            <w:shd w:val="clear" w:color="auto" w:fill="auto"/>
            <w:hideMark/>
          </w:tcPr>
          <w:p w14:paraId="64190562" w14:textId="5073D6D0" w:rsidR="00E4128C" w:rsidRPr="00C50854" w:rsidRDefault="00E4128C" w:rsidP="00E4128C">
            <w:pPr>
              <w:suppressAutoHyphens w:val="0"/>
              <w:jc w:val="center"/>
              <w:rPr>
                <w:rFonts w:eastAsia="Calibri"/>
                <w:sz w:val="20"/>
                <w:szCs w:val="20"/>
                <w:lang w:eastAsia="et-EE"/>
              </w:rPr>
            </w:pPr>
            <w:r w:rsidRPr="00C50854">
              <w:rPr>
                <w:sz w:val="20"/>
                <w:szCs w:val="20"/>
              </w:rPr>
              <w:t>35,3</w:t>
            </w:r>
          </w:p>
        </w:tc>
        <w:tc>
          <w:tcPr>
            <w:tcW w:w="1403" w:type="dxa"/>
            <w:shd w:val="clear" w:color="auto" w:fill="auto"/>
            <w:hideMark/>
          </w:tcPr>
          <w:p w14:paraId="2EF060D0" w14:textId="5D1C7457" w:rsidR="00E4128C" w:rsidRPr="00C50854" w:rsidRDefault="00E4128C" w:rsidP="00E4128C">
            <w:pPr>
              <w:suppressAutoHyphens w:val="0"/>
              <w:jc w:val="center"/>
              <w:rPr>
                <w:rFonts w:eastAsia="Calibri"/>
                <w:sz w:val="20"/>
                <w:szCs w:val="20"/>
                <w:lang w:eastAsia="et-EE"/>
              </w:rPr>
            </w:pPr>
            <w:r w:rsidRPr="00C50854">
              <w:rPr>
                <w:sz w:val="20"/>
                <w:szCs w:val="20"/>
              </w:rPr>
              <w:t>35,1</w:t>
            </w:r>
          </w:p>
        </w:tc>
      </w:tr>
      <w:tr w:rsidR="00E4128C" w:rsidRPr="00C50854" w14:paraId="5FA9C43F" w14:textId="77777777" w:rsidTr="009B32A2">
        <w:trPr>
          <w:trHeight w:val="104"/>
        </w:trPr>
        <w:tc>
          <w:tcPr>
            <w:tcW w:w="5289" w:type="dxa"/>
            <w:shd w:val="clear" w:color="auto" w:fill="auto"/>
            <w:hideMark/>
          </w:tcPr>
          <w:p w14:paraId="7001254D" w14:textId="73779A7D" w:rsidR="00E4128C" w:rsidRPr="00C50854" w:rsidRDefault="00E4128C" w:rsidP="00E4128C">
            <w:pPr>
              <w:suppressAutoHyphens w:val="0"/>
              <w:rPr>
                <w:rFonts w:eastAsia="Calibri"/>
                <w:sz w:val="20"/>
                <w:szCs w:val="20"/>
                <w:lang w:eastAsia="et-EE"/>
              </w:rPr>
            </w:pPr>
            <w:r w:rsidRPr="00C50854">
              <w:rPr>
                <w:sz w:val="20"/>
                <w:szCs w:val="20"/>
              </w:rPr>
              <w:t>Maksimaalne allalaadimiskiirus Mbit/s</w:t>
            </w:r>
          </w:p>
        </w:tc>
        <w:tc>
          <w:tcPr>
            <w:tcW w:w="1539" w:type="dxa"/>
            <w:shd w:val="clear" w:color="auto" w:fill="auto"/>
            <w:hideMark/>
          </w:tcPr>
          <w:p w14:paraId="7700E90A" w14:textId="06DC13A7" w:rsidR="00E4128C" w:rsidRPr="00C50854" w:rsidRDefault="00E4128C" w:rsidP="00E4128C">
            <w:pPr>
              <w:suppressAutoHyphens w:val="0"/>
              <w:jc w:val="center"/>
              <w:rPr>
                <w:rFonts w:eastAsia="Calibri"/>
                <w:sz w:val="20"/>
                <w:szCs w:val="20"/>
                <w:lang w:eastAsia="et-EE"/>
              </w:rPr>
            </w:pPr>
            <w:r w:rsidRPr="00C50854">
              <w:rPr>
                <w:sz w:val="20"/>
                <w:szCs w:val="20"/>
              </w:rPr>
              <w:t>546,3</w:t>
            </w:r>
          </w:p>
        </w:tc>
        <w:tc>
          <w:tcPr>
            <w:tcW w:w="1067" w:type="dxa"/>
            <w:shd w:val="clear" w:color="auto" w:fill="auto"/>
            <w:hideMark/>
          </w:tcPr>
          <w:p w14:paraId="78F91E63" w14:textId="18E794A1" w:rsidR="00E4128C" w:rsidRPr="00C50854" w:rsidRDefault="00E4128C" w:rsidP="00E4128C">
            <w:pPr>
              <w:suppressAutoHyphens w:val="0"/>
              <w:jc w:val="center"/>
              <w:rPr>
                <w:rFonts w:eastAsia="Calibri"/>
                <w:sz w:val="20"/>
                <w:szCs w:val="20"/>
                <w:lang w:eastAsia="et-EE"/>
              </w:rPr>
            </w:pPr>
            <w:r w:rsidRPr="00C50854">
              <w:rPr>
                <w:sz w:val="20"/>
                <w:szCs w:val="20"/>
              </w:rPr>
              <w:t>374,7</w:t>
            </w:r>
          </w:p>
        </w:tc>
        <w:tc>
          <w:tcPr>
            <w:tcW w:w="1403" w:type="dxa"/>
            <w:shd w:val="clear" w:color="auto" w:fill="auto"/>
            <w:hideMark/>
          </w:tcPr>
          <w:p w14:paraId="080FC29D" w14:textId="610A0FC1" w:rsidR="00E4128C" w:rsidRPr="00C50854" w:rsidRDefault="00E4128C" w:rsidP="00E4128C">
            <w:pPr>
              <w:suppressAutoHyphens w:val="0"/>
              <w:jc w:val="center"/>
              <w:rPr>
                <w:rFonts w:eastAsia="Calibri"/>
                <w:sz w:val="20"/>
                <w:szCs w:val="20"/>
                <w:lang w:eastAsia="et-EE"/>
              </w:rPr>
            </w:pPr>
            <w:r w:rsidRPr="00C50854">
              <w:rPr>
                <w:sz w:val="20"/>
                <w:szCs w:val="20"/>
              </w:rPr>
              <w:t>259,2</w:t>
            </w:r>
          </w:p>
        </w:tc>
      </w:tr>
      <w:tr w:rsidR="00E4128C" w:rsidRPr="00C50854" w14:paraId="65FAE860" w14:textId="77777777" w:rsidTr="009B32A2">
        <w:trPr>
          <w:trHeight w:val="175"/>
        </w:trPr>
        <w:tc>
          <w:tcPr>
            <w:tcW w:w="5289" w:type="dxa"/>
            <w:shd w:val="clear" w:color="auto" w:fill="auto"/>
            <w:hideMark/>
          </w:tcPr>
          <w:p w14:paraId="0EDA7C1B" w14:textId="7E2CBC6F" w:rsidR="00E4128C" w:rsidRPr="00C50854" w:rsidRDefault="00E4128C" w:rsidP="00E4128C">
            <w:pPr>
              <w:suppressAutoHyphens w:val="0"/>
              <w:rPr>
                <w:rFonts w:eastAsia="Calibri"/>
                <w:sz w:val="20"/>
                <w:szCs w:val="20"/>
                <w:lang w:eastAsia="et-EE"/>
              </w:rPr>
            </w:pPr>
            <w:r w:rsidRPr="00C50854">
              <w:rPr>
                <w:sz w:val="20"/>
                <w:szCs w:val="20"/>
              </w:rPr>
              <w:t>Maksimaalne üleslaadimiskiirus Mbit/s</w:t>
            </w:r>
          </w:p>
        </w:tc>
        <w:tc>
          <w:tcPr>
            <w:tcW w:w="1539" w:type="dxa"/>
            <w:shd w:val="clear" w:color="auto" w:fill="auto"/>
            <w:hideMark/>
          </w:tcPr>
          <w:p w14:paraId="6ED7DBC4" w14:textId="37DC5735" w:rsidR="00E4128C" w:rsidRPr="00C50854" w:rsidRDefault="00E4128C" w:rsidP="00E4128C">
            <w:pPr>
              <w:suppressAutoHyphens w:val="0"/>
              <w:jc w:val="center"/>
              <w:rPr>
                <w:rFonts w:eastAsia="Calibri"/>
                <w:sz w:val="20"/>
                <w:szCs w:val="20"/>
                <w:lang w:eastAsia="et-EE"/>
              </w:rPr>
            </w:pPr>
            <w:r w:rsidRPr="00C50854">
              <w:rPr>
                <w:sz w:val="20"/>
                <w:szCs w:val="20"/>
              </w:rPr>
              <w:t>124,7</w:t>
            </w:r>
          </w:p>
        </w:tc>
        <w:tc>
          <w:tcPr>
            <w:tcW w:w="1067" w:type="dxa"/>
            <w:shd w:val="clear" w:color="auto" w:fill="auto"/>
            <w:hideMark/>
          </w:tcPr>
          <w:p w14:paraId="6A16E4BD" w14:textId="75B13E48" w:rsidR="00E4128C" w:rsidRPr="00C50854" w:rsidRDefault="00E4128C" w:rsidP="00E4128C">
            <w:pPr>
              <w:suppressAutoHyphens w:val="0"/>
              <w:jc w:val="center"/>
              <w:rPr>
                <w:rFonts w:eastAsia="Calibri"/>
                <w:sz w:val="20"/>
                <w:szCs w:val="20"/>
                <w:lang w:eastAsia="et-EE"/>
              </w:rPr>
            </w:pPr>
            <w:r w:rsidRPr="00C50854">
              <w:rPr>
                <w:sz w:val="20"/>
                <w:szCs w:val="20"/>
              </w:rPr>
              <w:t>67,8</w:t>
            </w:r>
          </w:p>
        </w:tc>
        <w:tc>
          <w:tcPr>
            <w:tcW w:w="1403" w:type="dxa"/>
            <w:shd w:val="clear" w:color="auto" w:fill="auto"/>
            <w:hideMark/>
          </w:tcPr>
          <w:p w14:paraId="0B520E4A" w14:textId="7C942EA8" w:rsidR="00E4128C" w:rsidRPr="00C50854" w:rsidRDefault="00E4128C" w:rsidP="00E4128C">
            <w:pPr>
              <w:suppressAutoHyphens w:val="0"/>
              <w:jc w:val="center"/>
              <w:rPr>
                <w:rFonts w:eastAsia="Calibri"/>
                <w:sz w:val="20"/>
                <w:szCs w:val="20"/>
                <w:lang w:eastAsia="et-EE"/>
              </w:rPr>
            </w:pPr>
            <w:r w:rsidRPr="00C50854">
              <w:rPr>
                <w:sz w:val="20"/>
                <w:szCs w:val="20"/>
              </w:rPr>
              <w:t>96,5</w:t>
            </w:r>
          </w:p>
        </w:tc>
      </w:tr>
      <w:tr w:rsidR="00E4128C" w:rsidRPr="00C50854" w14:paraId="6784E368" w14:textId="77777777" w:rsidTr="000762B0">
        <w:trPr>
          <w:trHeight w:val="108"/>
        </w:trPr>
        <w:tc>
          <w:tcPr>
            <w:tcW w:w="9298" w:type="dxa"/>
            <w:gridSpan w:val="4"/>
            <w:shd w:val="clear" w:color="auto" w:fill="auto"/>
            <w:hideMark/>
          </w:tcPr>
          <w:p w14:paraId="65B18D41" w14:textId="283B85CA" w:rsidR="00E4128C" w:rsidRPr="00C50854" w:rsidRDefault="00E4128C" w:rsidP="00E4128C">
            <w:pPr>
              <w:suppressAutoHyphens w:val="0"/>
              <w:jc w:val="center"/>
              <w:rPr>
                <w:rFonts w:eastAsia="Calibri"/>
                <w:b/>
                <w:sz w:val="20"/>
                <w:szCs w:val="20"/>
                <w:lang w:eastAsia="et-EE"/>
              </w:rPr>
            </w:pPr>
            <w:r w:rsidRPr="00C50854">
              <w:rPr>
                <w:sz w:val="20"/>
                <w:szCs w:val="20"/>
              </w:rPr>
              <w:t>Tulemuste jaotus (allalaadimiskiirus)</w:t>
            </w:r>
          </w:p>
        </w:tc>
      </w:tr>
      <w:tr w:rsidR="00E4128C" w:rsidRPr="00C50854" w14:paraId="48DDF360" w14:textId="77777777" w:rsidTr="009B32A2">
        <w:trPr>
          <w:trHeight w:val="108"/>
        </w:trPr>
        <w:tc>
          <w:tcPr>
            <w:tcW w:w="5289" w:type="dxa"/>
            <w:shd w:val="clear" w:color="auto" w:fill="auto"/>
            <w:hideMark/>
          </w:tcPr>
          <w:p w14:paraId="70150317" w14:textId="1EE7DEB0" w:rsidR="00E4128C" w:rsidRPr="00C50854" w:rsidRDefault="00E4128C" w:rsidP="00E4128C">
            <w:pPr>
              <w:suppressAutoHyphens w:val="0"/>
              <w:rPr>
                <w:rFonts w:eastAsia="Calibri"/>
                <w:sz w:val="20"/>
                <w:szCs w:val="20"/>
                <w:lang w:eastAsia="et-EE"/>
              </w:rPr>
            </w:pPr>
            <w:r w:rsidRPr="00C50854">
              <w:rPr>
                <w:sz w:val="20"/>
                <w:szCs w:val="20"/>
              </w:rPr>
              <w:t xml:space="preserve">     &lt; 10 Mbit/s</w:t>
            </w:r>
          </w:p>
        </w:tc>
        <w:tc>
          <w:tcPr>
            <w:tcW w:w="1539" w:type="dxa"/>
            <w:shd w:val="clear" w:color="auto" w:fill="auto"/>
            <w:hideMark/>
          </w:tcPr>
          <w:p w14:paraId="71248249" w14:textId="5E8915D6" w:rsidR="00E4128C" w:rsidRPr="00C50854" w:rsidRDefault="00E4128C" w:rsidP="00E4128C">
            <w:pPr>
              <w:suppressAutoHyphens w:val="0"/>
              <w:jc w:val="center"/>
              <w:rPr>
                <w:rFonts w:eastAsia="Calibri"/>
                <w:sz w:val="20"/>
                <w:szCs w:val="20"/>
                <w:lang w:eastAsia="et-EE"/>
              </w:rPr>
            </w:pPr>
            <w:r w:rsidRPr="00C50854">
              <w:rPr>
                <w:sz w:val="20"/>
                <w:szCs w:val="20"/>
              </w:rPr>
              <w:t>0%</w:t>
            </w:r>
          </w:p>
        </w:tc>
        <w:tc>
          <w:tcPr>
            <w:tcW w:w="1067" w:type="dxa"/>
            <w:shd w:val="clear" w:color="auto" w:fill="auto"/>
            <w:hideMark/>
          </w:tcPr>
          <w:p w14:paraId="20A73151" w14:textId="40700B2B" w:rsidR="00E4128C" w:rsidRPr="00C50854" w:rsidRDefault="00E4128C" w:rsidP="00E4128C">
            <w:pPr>
              <w:suppressAutoHyphens w:val="0"/>
              <w:jc w:val="center"/>
              <w:rPr>
                <w:rFonts w:eastAsia="Calibri"/>
                <w:sz w:val="20"/>
                <w:szCs w:val="20"/>
                <w:lang w:eastAsia="et-EE"/>
              </w:rPr>
            </w:pPr>
            <w:r w:rsidRPr="00C50854">
              <w:rPr>
                <w:sz w:val="20"/>
                <w:szCs w:val="20"/>
              </w:rPr>
              <w:t>0%</w:t>
            </w:r>
          </w:p>
        </w:tc>
        <w:tc>
          <w:tcPr>
            <w:tcW w:w="1403" w:type="dxa"/>
            <w:shd w:val="clear" w:color="auto" w:fill="auto"/>
            <w:hideMark/>
          </w:tcPr>
          <w:p w14:paraId="491BC193" w14:textId="547135FE" w:rsidR="00E4128C" w:rsidRPr="00C50854" w:rsidRDefault="00E4128C" w:rsidP="00E4128C">
            <w:pPr>
              <w:suppressAutoHyphens w:val="0"/>
              <w:jc w:val="center"/>
              <w:rPr>
                <w:rFonts w:eastAsia="Calibri"/>
                <w:sz w:val="20"/>
                <w:szCs w:val="20"/>
                <w:lang w:eastAsia="et-EE"/>
              </w:rPr>
            </w:pPr>
            <w:r w:rsidRPr="00C50854">
              <w:rPr>
                <w:sz w:val="20"/>
                <w:szCs w:val="20"/>
              </w:rPr>
              <w:t>0%</w:t>
            </w:r>
          </w:p>
        </w:tc>
      </w:tr>
      <w:tr w:rsidR="00E4128C" w:rsidRPr="00C50854" w14:paraId="63CDF6F8" w14:textId="77777777" w:rsidTr="009B32A2">
        <w:trPr>
          <w:trHeight w:val="108"/>
        </w:trPr>
        <w:tc>
          <w:tcPr>
            <w:tcW w:w="5289" w:type="dxa"/>
            <w:shd w:val="clear" w:color="auto" w:fill="auto"/>
            <w:hideMark/>
          </w:tcPr>
          <w:p w14:paraId="05CE94F4" w14:textId="7A944392" w:rsidR="00E4128C" w:rsidRPr="00C50854" w:rsidRDefault="00E4128C" w:rsidP="00E4128C">
            <w:pPr>
              <w:suppressAutoHyphens w:val="0"/>
              <w:rPr>
                <w:rFonts w:eastAsia="Calibri"/>
                <w:sz w:val="20"/>
                <w:szCs w:val="20"/>
                <w:lang w:eastAsia="et-EE"/>
              </w:rPr>
            </w:pPr>
            <w:r w:rsidRPr="00C50854">
              <w:rPr>
                <w:sz w:val="20"/>
                <w:szCs w:val="20"/>
              </w:rPr>
              <w:t xml:space="preserve">   &gt;= 10 Mbit/s</w:t>
            </w:r>
          </w:p>
        </w:tc>
        <w:tc>
          <w:tcPr>
            <w:tcW w:w="1539" w:type="dxa"/>
            <w:shd w:val="clear" w:color="auto" w:fill="auto"/>
            <w:hideMark/>
          </w:tcPr>
          <w:p w14:paraId="6134F768" w14:textId="5377E62C" w:rsidR="00E4128C" w:rsidRPr="00C50854" w:rsidRDefault="00E4128C" w:rsidP="00E4128C">
            <w:pPr>
              <w:suppressAutoHyphens w:val="0"/>
              <w:jc w:val="center"/>
              <w:rPr>
                <w:rFonts w:eastAsia="Calibri"/>
                <w:sz w:val="20"/>
                <w:szCs w:val="20"/>
                <w:lang w:eastAsia="et-EE"/>
              </w:rPr>
            </w:pPr>
            <w:r w:rsidRPr="00C50854">
              <w:rPr>
                <w:sz w:val="20"/>
                <w:szCs w:val="20"/>
              </w:rPr>
              <w:t>100%</w:t>
            </w:r>
          </w:p>
        </w:tc>
        <w:tc>
          <w:tcPr>
            <w:tcW w:w="1067" w:type="dxa"/>
            <w:shd w:val="clear" w:color="auto" w:fill="auto"/>
            <w:hideMark/>
          </w:tcPr>
          <w:p w14:paraId="48043569" w14:textId="7B7E38A0" w:rsidR="00E4128C" w:rsidRPr="00C50854" w:rsidRDefault="00E4128C" w:rsidP="00E4128C">
            <w:pPr>
              <w:suppressAutoHyphens w:val="0"/>
              <w:jc w:val="center"/>
              <w:rPr>
                <w:rFonts w:eastAsia="Calibri"/>
                <w:sz w:val="20"/>
                <w:szCs w:val="20"/>
                <w:lang w:eastAsia="et-EE"/>
              </w:rPr>
            </w:pPr>
            <w:r w:rsidRPr="00C50854">
              <w:rPr>
                <w:sz w:val="20"/>
                <w:szCs w:val="20"/>
              </w:rPr>
              <w:t>100%</w:t>
            </w:r>
          </w:p>
        </w:tc>
        <w:tc>
          <w:tcPr>
            <w:tcW w:w="1403" w:type="dxa"/>
            <w:shd w:val="clear" w:color="auto" w:fill="auto"/>
            <w:hideMark/>
          </w:tcPr>
          <w:p w14:paraId="6481D4CF" w14:textId="5E983A68" w:rsidR="00E4128C" w:rsidRPr="00C50854" w:rsidRDefault="00E4128C" w:rsidP="00E4128C">
            <w:pPr>
              <w:suppressAutoHyphens w:val="0"/>
              <w:jc w:val="center"/>
              <w:rPr>
                <w:rFonts w:eastAsia="Calibri"/>
                <w:sz w:val="20"/>
                <w:szCs w:val="20"/>
                <w:lang w:eastAsia="et-EE"/>
              </w:rPr>
            </w:pPr>
            <w:r w:rsidRPr="00C50854">
              <w:rPr>
                <w:sz w:val="20"/>
                <w:szCs w:val="20"/>
              </w:rPr>
              <w:t>100%</w:t>
            </w:r>
          </w:p>
        </w:tc>
      </w:tr>
      <w:tr w:rsidR="00E4128C" w:rsidRPr="00C50854" w14:paraId="79066C43" w14:textId="77777777" w:rsidTr="009B32A2">
        <w:trPr>
          <w:trHeight w:val="108"/>
        </w:trPr>
        <w:tc>
          <w:tcPr>
            <w:tcW w:w="5289" w:type="dxa"/>
            <w:shd w:val="clear" w:color="auto" w:fill="auto"/>
            <w:hideMark/>
          </w:tcPr>
          <w:p w14:paraId="6F8865E7" w14:textId="1D92082F" w:rsidR="00E4128C" w:rsidRPr="00C50854" w:rsidRDefault="00E4128C" w:rsidP="00E4128C">
            <w:pPr>
              <w:suppressAutoHyphens w:val="0"/>
              <w:rPr>
                <w:rFonts w:eastAsia="Calibri"/>
                <w:sz w:val="20"/>
                <w:szCs w:val="20"/>
                <w:lang w:eastAsia="et-EE"/>
              </w:rPr>
            </w:pPr>
            <w:r w:rsidRPr="00C50854">
              <w:rPr>
                <w:sz w:val="20"/>
                <w:szCs w:val="20"/>
              </w:rPr>
              <w:t xml:space="preserve">   &gt;= 30 Mbit/s</w:t>
            </w:r>
          </w:p>
        </w:tc>
        <w:tc>
          <w:tcPr>
            <w:tcW w:w="1539" w:type="dxa"/>
            <w:shd w:val="clear" w:color="auto" w:fill="auto"/>
            <w:hideMark/>
          </w:tcPr>
          <w:p w14:paraId="5EBA38A4" w14:textId="601D94DE" w:rsidR="00E4128C" w:rsidRPr="00C50854" w:rsidRDefault="00E4128C" w:rsidP="00E4128C">
            <w:pPr>
              <w:suppressAutoHyphens w:val="0"/>
              <w:jc w:val="center"/>
              <w:rPr>
                <w:rFonts w:eastAsia="Calibri"/>
                <w:sz w:val="20"/>
                <w:szCs w:val="20"/>
                <w:lang w:eastAsia="et-EE"/>
              </w:rPr>
            </w:pPr>
            <w:r w:rsidRPr="00C50854">
              <w:rPr>
                <w:sz w:val="20"/>
                <w:szCs w:val="20"/>
              </w:rPr>
              <w:t>96%</w:t>
            </w:r>
          </w:p>
        </w:tc>
        <w:tc>
          <w:tcPr>
            <w:tcW w:w="1067" w:type="dxa"/>
            <w:shd w:val="clear" w:color="auto" w:fill="auto"/>
            <w:hideMark/>
          </w:tcPr>
          <w:p w14:paraId="291BD0CF" w14:textId="0CCEC737" w:rsidR="00E4128C" w:rsidRPr="00C50854" w:rsidRDefault="00E4128C" w:rsidP="00E4128C">
            <w:pPr>
              <w:suppressAutoHyphens w:val="0"/>
              <w:jc w:val="center"/>
              <w:rPr>
                <w:rFonts w:eastAsia="Calibri"/>
                <w:sz w:val="20"/>
                <w:szCs w:val="20"/>
                <w:lang w:eastAsia="et-EE"/>
              </w:rPr>
            </w:pPr>
            <w:r w:rsidRPr="00C50854">
              <w:rPr>
                <w:sz w:val="20"/>
                <w:szCs w:val="20"/>
              </w:rPr>
              <w:t>97%</w:t>
            </w:r>
          </w:p>
        </w:tc>
        <w:tc>
          <w:tcPr>
            <w:tcW w:w="1403" w:type="dxa"/>
            <w:shd w:val="clear" w:color="auto" w:fill="auto"/>
            <w:hideMark/>
          </w:tcPr>
          <w:p w14:paraId="2B2657E3" w14:textId="3E51FFD7" w:rsidR="00E4128C" w:rsidRPr="00C50854" w:rsidRDefault="00E4128C" w:rsidP="00E4128C">
            <w:pPr>
              <w:suppressAutoHyphens w:val="0"/>
              <w:jc w:val="center"/>
              <w:rPr>
                <w:rFonts w:eastAsia="Calibri"/>
                <w:sz w:val="20"/>
                <w:szCs w:val="20"/>
                <w:lang w:eastAsia="et-EE"/>
              </w:rPr>
            </w:pPr>
            <w:r w:rsidRPr="00C50854">
              <w:rPr>
                <w:sz w:val="20"/>
                <w:szCs w:val="20"/>
              </w:rPr>
              <w:t>91%</w:t>
            </w:r>
          </w:p>
        </w:tc>
      </w:tr>
      <w:tr w:rsidR="00E4128C" w:rsidRPr="00C50854" w14:paraId="34F2107F" w14:textId="77777777" w:rsidTr="009B32A2">
        <w:trPr>
          <w:trHeight w:val="108"/>
        </w:trPr>
        <w:tc>
          <w:tcPr>
            <w:tcW w:w="5289" w:type="dxa"/>
            <w:shd w:val="clear" w:color="auto" w:fill="auto"/>
            <w:hideMark/>
          </w:tcPr>
          <w:p w14:paraId="06744D84" w14:textId="62280BB1" w:rsidR="00E4128C" w:rsidRPr="00C50854" w:rsidRDefault="00E4128C" w:rsidP="00E4128C">
            <w:pPr>
              <w:suppressAutoHyphens w:val="0"/>
              <w:rPr>
                <w:rFonts w:eastAsia="Calibri"/>
                <w:sz w:val="20"/>
                <w:szCs w:val="20"/>
                <w:lang w:eastAsia="et-EE"/>
              </w:rPr>
            </w:pPr>
            <w:r w:rsidRPr="00C50854">
              <w:rPr>
                <w:sz w:val="20"/>
                <w:szCs w:val="20"/>
              </w:rPr>
              <w:t xml:space="preserve">   &gt;= 100 Mbit/s</w:t>
            </w:r>
          </w:p>
        </w:tc>
        <w:tc>
          <w:tcPr>
            <w:tcW w:w="1539" w:type="dxa"/>
            <w:shd w:val="clear" w:color="auto" w:fill="auto"/>
            <w:hideMark/>
          </w:tcPr>
          <w:p w14:paraId="36CE6824" w14:textId="275DB7AF" w:rsidR="00E4128C" w:rsidRPr="00C50854" w:rsidRDefault="00E4128C" w:rsidP="00E4128C">
            <w:pPr>
              <w:suppressAutoHyphens w:val="0"/>
              <w:jc w:val="center"/>
              <w:rPr>
                <w:rFonts w:eastAsia="Calibri"/>
                <w:sz w:val="20"/>
                <w:szCs w:val="20"/>
                <w:lang w:eastAsia="et-EE"/>
              </w:rPr>
            </w:pPr>
            <w:r w:rsidRPr="00C50854">
              <w:rPr>
                <w:sz w:val="20"/>
                <w:szCs w:val="20"/>
              </w:rPr>
              <w:t>56%</w:t>
            </w:r>
          </w:p>
        </w:tc>
        <w:tc>
          <w:tcPr>
            <w:tcW w:w="1067" w:type="dxa"/>
            <w:shd w:val="clear" w:color="auto" w:fill="auto"/>
            <w:hideMark/>
          </w:tcPr>
          <w:p w14:paraId="277E06D8" w14:textId="629D3A8C" w:rsidR="00E4128C" w:rsidRPr="00C50854" w:rsidRDefault="00E4128C" w:rsidP="00E4128C">
            <w:pPr>
              <w:suppressAutoHyphens w:val="0"/>
              <w:jc w:val="center"/>
              <w:rPr>
                <w:rFonts w:eastAsia="Calibri"/>
                <w:sz w:val="20"/>
                <w:szCs w:val="20"/>
                <w:lang w:eastAsia="et-EE"/>
              </w:rPr>
            </w:pPr>
            <w:r w:rsidRPr="00C50854">
              <w:rPr>
                <w:sz w:val="20"/>
                <w:szCs w:val="20"/>
              </w:rPr>
              <w:t>60%</w:t>
            </w:r>
          </w:p>
        </w:tc>
        <w:tc>
          <w:tcPr>
            <w:tcW w:w="1403" w:type="dxa"/>
            <w:shd w:val="clear" w:color="auto" w:fill="auto"/>
            <w:hideMark/>
          </w:tcPr>
          <w:p w14:paraId="28D9572D" w14:textId="441FA7D6" w:rsidR="00E4128C" w:rsidRPr="00C50854" w:rsidRDefault="00E4128C" w:rsidP="00E4128C">
            <w:pPr>
              <w:suppressAutoHyphens w:val="0"/>
              <w:jc w:val="center"/>
              <w:rPr>
                <w:rFonts w:eastAsia="Calibri"/>
                <w:sz w:val="20"/>
                <w:szCs w:val="20"/>
                <w:lang w:eastAsia="et-EE"/>
              </w:rPr>
            </w:pPr>
            <w:r w:rsidRPr="00C50854">
              <w:rPr>
                <w:sz w:val="20"/>
                <w:szCs w:val="20"/>
              </w:rPr>
              <w:t>42%</w:t>
            </w:r>
          </w:p>
        </w:tc>
      </w:tr>
      <w:tr w:rsidR="00E4128C" w:rsidRPr="00C50854" w14:paraId="673FAA2F" w14:textId="77777777" w:rsidTr="000762B0">
        <w:trPr>
          <w:trHeight w:val="108"/>
        </w:trPr>
        <w:tc>
          <w:tcPr>
            <w:tcW w:w="9298" w:type="dxa"/>
            <w:gridSpan w:val="4"/>
            <w:shd w:val="clear" w:color="auto" w:fill="auto"/>
            <w:hideMark/>
          </w:tcPr>
          <w:p w14:paraId="456FA5FD" w14:textId="1947E622" w:rsidR="00E4128C" w:rsidRPr="00C50854" w:rsidRDefault="00E4128C" w:rsidP="00E4128C">
            <w:pPr>
              <w:suppressAutoHyphens w:val="0"/>
              <w:jc w:val="center"/>
              <w:rPr>
                <w:rFonts w:eastAsia="Calibri"/>
                <w:b/>
                <w:sz w:val="20"/>
                <w:szCs w:val="20"/>
                <w:lang w:eastAsia="et-EE"/>
              </w:rPr>
            </w:pPr>
            <w:r w:rsidRPr="00C50854">
              <w:rPr>
                <w:sz w:val="20"/>
                <w:szCs w:val="20"/>
              </w:rPr>
              <w:t>Võrkude osakaal mõõtepunktides</w:t>
            </w:r>
          </w:p>
        </w:tc>
      </w:tr>
      <w:tr w:rsidR="00E4128C" w:rsidRPr="00C50854" w14:paraId="764070F2" w14:textId="77777777" w:rsidTr="009B32A2">
        <w:trPr>
          <w:trHeight w:val="108"/>
        </w:trPr>
        <w:tc>
          <w:tcPr>
            <w:tcW w:w="5289" w:type="dxa"/>
            <w:shd w:val="clear" w:color="auto" w:fill="auto"/>
            <w:hideMark/>
          </w:tcPr>
          <w:p w14:paraId="1070ADA9" w14:textId="1C93F0DD" w:rsidR="00E4128C" w:rsidRPr="00C50854" w:rsidRDefault="00E4128C" w:rsidP="00E4128C">
            <w:pPr>
              <w:suppressAutoHyphens w:val="0"/>
              <w:rPr>
                <w:rFonts w:eastAsia="Calibri"/>
                <w:sz w:val="20"/>
                <w:szCs w:val="20"/>
                <w:lang w:eastAsia="et-EE"/>
              </w:rPr>
            </w:pPr>
            <w:r w:rsidRPr="00C50854">
              <w:rPr>
                <w:sz w:val="20"/>
                <w:szCs w:val="20"/>
              </w:rPr>
              <w:t>4G+ võrk</w:t>
            </w:r>
          </w:p>
        </w:tc>
        <w:tc>
          <w:tcPr>
            <w:tcW w:w="1539" w:type="dxa"/>
            <w:shd w:val="clear" w:color="auto" w:fill="auto"/>
            <w:hideMark/>
          </w:tcPr>
          <w:p w14:paraId="4DC2E50A" w14:textId="01D5D460" w:rsidR="00E4128C" w:rsidRPr="00C50854" w:rsidRDefault="00E4128C" w:rsidP="00E4128C">
            <w:pPr>
              <w:suppressAutoHyphens w:val="0"/>
              <w:jc w:val="center"/>
              <w:rPr>
                <w:rFonts w:eastAsia="Calibri"/>
                <w:sz w:val="20"/>
                <w:szCs w:val="20"/>
                <w:lang w:eastAsia="et-EE"/>
              </w:rPr>
            </w:pPr>
            <w:r w:rsidRPr="00C50854">
              <w:rPr>
                <w:sz w:val="20"/>
                <w:szCs w:val="20"/>
              </w:rPr>
              <w:t>84%</w:t>
            </w:r>
          </w:p>
        </w:tc>
        <w:tc>
          <w:tcPr>
            <w:tcW w:w="1067" w:type="dxa"/>
            <w:shd w:val="clear" w:color="auto" w:fill="auto"/>
            <w:hideMark/>
          </w:tcPr>
          <w:p w14:paraId="48D996C3" w14:textId="7426BA29" w:rsidR="00E4128C" w:rsidRPr="00C50854" w:rsidRDefault="00E4128C" w:rsidP="00E4128C">
            <w:pPr>
              <w:suppressAutoHyphens w:val="0"/>
              <w:jc w:val="center"/>
              <w:rPr>
                <w:rFonts w:eastAsia="Calibri"/>
                <w:sz w:val="20"/>
                <w:szCs w:val="20"/>
                <w:lang w:eastAsia="et-EE"/>
              </w:rPr>
            </w:pPr>
            <w:r w:rsidRPr="00C50854">
              <w:rPr>
                <w:sz w:val="20"/>
                <w:szCs w:val="20"/>
              </w:rPr>
              <w:t>82%</w:t>
            </w:r>
          </w:p>
        </w:tc>
        <w:tc>
          <w:tcPr>
            <w:tcW w:w="1403" w:type="dxa"/>
            <w:shd w:val="clear" w:color="auto" w:fill="auto"/>
            <w:hideMark/>
          </w:tcPr>
          <w:p w14:paraId="5E79806B" w14:textId="54F86388" w:rsidR="00E4128C" w:rsidRPr="00C50854" w:rsidRDefault="00E4128C" w:rsidP="00E4128C">
            <w:pPr>
              <w:suppressAutoHyphens w:val="0"/>
              <w:jc w:val="center"/>
              <w:rPr>
                <w:rFonts w:eastAsia="Calibri"/>
                <w:sz w:val="20"/>
                <w:szCs w:val="20"/>
                <w:lang w:eastAsia="et-EE"/>
              </w:rPr>
            </w:pPr>
            <w:r w:rsidRPr="00C50854">
              <w:rPr>
                <w:sz w:val="20"/>
                <w:szCs w:val="20"/>
              </w:rPr>
              <w:t>58%</w:t>
            </w:r>
          </w:p>
        </w:tc>
      </w:tr>
      <w:tr w:rsidR="00E4128C" w:rsidRPr="00C50854" w14:paraId="1D194AE3" w14:textId="77777777" w:rsidTr="009B32A2">
        <w:trPr>
          <w:trHeight w:val="108"/>
        </w:trPr>
        <w:tc>
          <w:tcPr>
            <w:tcW w:w="5289" w:type="dxa"/>
            <w:shd w:val="clear" w:color="auto" w:fill="auto"/>
          </w:tcPr>
          <w:p w14:paraId="01609C8E" w14:textId="5A8306FF" w:rsidR="00E4128C" w:rsidRPr="00C50854" w:rsidRDefault="00E4128C" w:rsidP="00E4128C">
            <w:pPr>
              <w:suppressAutoHyphens w:val="0"/>
              <w:rPr>
                <w:rFonts w:eastAsia="Calibri"/>
                <w:sz w:val="20"/>
                <w:szCs w:val="20"/>
                <w:lang w:eastAsia="et-EE"/>
              </w:rPr>
            </w:pPr>
            <w:r w:rsidRPr="00C50854">
              <w:rPr>
                <w:sz w:val="20"/>
                <w:szCs w:val="20"/>
              </w:rPr>
              <w:t>4G võrk</w:t>
            </w:r>
          </w:p>
        </w:tc>
        <w:tc>
          <w:tcPr>
            <w:tcW w:w="1539" w:type="dxa"/>
            <w:shd w:val="clear" w:color="auto" w:fill="auto"/>
          </w:tcPr>
          <w:p w14:paraId="7262ACFA" w14:textId="5978E78C" w:rsidR="00E4128C" w:rsidRPr="00C50854" w:rsidRDefault="00E4128C" w:rsidP="00E4128C">
            <w:pPr>
              <w:suppressAutoHyphens w:val="0"/>
              <w:jc w:val="center"/>
              <w:rPr>
                <w:rFonts w:eastAsia="Calibri"/>
                <w:sz w:val="20"/>
                <w:szCs w:val="20"/>
                <w:lang w:eastAsia="et-EE"/>
              </w:rPr>
            </w:pPr>
            <w:r w:rsidRPr="00C50854">
              <w:rPr>
                <w:sz w:val="20"/>
                <w:szCs w:val="20"/>
              </w:rPr>
              <w:t>16%</w:t>
            </w:r>
          </w:p>
        </w:tc>
        <w:tc>
          <w:tcPr>
            <w:tcW w:w="1067" w:type="dxa"/>
            <w:shd w:val="clear" w:color="auto" w:fill="auto"/>
          </w:tcPr>
          <w:p w14:paraId="4E92F845" w14:textId="5B55DA2D" w:rsidR="00E4128C" w:rsidRPr="00C50854" w:rsidRDefault="00E4128C" w:rsidP="00E4128C">
            <w:pPr>
              <w:suppressAutoHyphens w:val="0"/>
              <w:jc w:val="center"/>
              <w:rPr>
                <w:rFonts w:eastAsia="Calibri"/>
                <w:sz w:val="20"/>
                <w:szCs w:val="20"/>
                <w:lang w:eastAsia="et-EE"/>
              </w:rPr>
            </w:pPr>
            <w:r w:rsidRPr="00C50854">
              <w:rPr>
                <w:sz w:val="20"/>
                <w:szCs w:val="20"/>
              </w:rPr>
              <w:t>18%</w:t>
            </w:r>
          </w:p>
        </w:tc>
        <w:tc>
          <w:tcPr>
            <w:tcW w:w="1403" w:type="dxa"/>
            <w:shd w:val="clear" w:color="auto" w:fill="auto"/>
          </w:tcPr>
          <w:p w14:paraId="774B4169" w14:textId="191F1979" w:rsidR="00E4128C" w:rsidRPr="00C50854" w:rsidRDefault="00E4128C" w:rsidP="00E4128C">
            <w:pPr>
              <w:suppressAutoHyphens w:val="0"/>
              <w:jc w:val="center"/>
              <w:rPr>
                <w:rFonts w:eastAsia="Calibri"/>
                <w:sz w:val="20"/>
                <w:szCs w:val="20"/>
                <w:lang w:eastAsia="et-EE"/>
              </w:rPr>
            </w:pPr>
            <w:r w:rsidRPr="00C50854">
              <w:rPr>
                <w:sz w:val="20"/>
                <w:szCs w:val="20"/>
              </w:rPr>
              <w:t>42%</w:t>
            </w:r>
          </w:p>
        </w:tc>
      </w:tr>
      <w:tr w:rsidR="00E4128C" w:rsidRPr="00C50854" w14:paraId="290EA7B9" w14:textId="77777777" w:rsidTr="009B32A2">
        <w:trPr>
          <w:trHeight w:val="70"/>
        </w:trPr>
        <w:tc>
          <w:tcPr>
            <w:tcW w:w="5289" w:type="dxa"/>
            <w:shd w:val="clear" w:color="auto" w:fill="auto"/>
            <w:hideMark/>
          </w:tcPr>
          <w:p w14:paraId="2139D938" w14:textId="60A5E0C9" w:rsidR="00E4128C" w:rsidRPr="00C50854" w:rsidRDefault="00E4128C" w:rsidP="00E4128C">
            <w:pPr>
              <w:suppressAutoHyphens w:val="0"/>
              <w:rPr>
                <w:rFonts w:eastAsia="Calibri"/>
                <w:sz w:val="20"/>
                <w:szCs w:val="20"/>
                <w:lang w:eastAsia="et-EE"/>
              </w:rPr>
            </w:pPr>
            <w:r w:rsidRPr="00C50854">
              <w:rPr>
                <w:sz w:val="20"/>
                <w:szCs w:val="20"/>
              </w:rPr>
              <w:t>3G (s.h DC-HSPA+) võrk</w:t>
            </w:r>
          </w:p>
        </w:tc>
        <w:tc>
          <w:tcPr>
            <w:tcW w:w="1539" w:type="dxa"/>
            <w:shd w:val="clear" w:color="auto" w:fill="auto"/>
            <w:hideMark/>
          </w:tcPr>
          <w:p w14:paraId="434F0300" w14:textId="5558E905" w:rsidR="00E4128C" w:rsidRPr="00C50854" w:rsidRDefault="00E4128C" w:rsidP="00E4128C">
            <w:pPr>
              <w:suppressAutoHyphens w:val="0"/>
              <w:jc w:val="center"/>
              <w:rPr>
                <w:rFonts w:eastAsia="Calibri"/>
                <w:color w:val="FF0000"/>
                <w:sz w:val="20"/>
                <w:szCs w:val="20"/>
                <w:lang w:eastAsia="et-EE"/>
              </w:rPr>
            </w:pPr>
            <w:r w:rsidRPr="00C50854">
              <w:rPr>
                <w:sz w:val="20"/>
                <w:szCs w:val="20"/>
              </w:rPr>
              <w:t>0%</w:t>
            </w:r>
          </w:p>
        </w:tc>
        <w:tc>
          <w:tcPr>
            <w:tcW w:w="1067" w:type="dxa"/>
            <w:shd w:val="clear" w:color="auto" w:fill="auto"/>
            <w:hideMark/>
          </w:tcPr>
          <w:p w14:paraId="4932DFAE" w14:textId="74F35E6B" w:rsidR="00E4128C" w:rsidRPr="00C50854" w:rsidRDefault="00E4128C" w:rsidP="00E4128C">
            <w:pPr>
              <w:suppressAutoHyphens w:val="0"/>
              <w:jc w:val="center"/>
              <w:rPr>
                <w:rFonts w:eastAsia="Calibri"/>
                <w:color w:val="FF0000"/>
                <w:sz w:val="20"/>
                <w:szCs w:val="20"/>
                <w:lang w:eastAsia="et-EE"/>
              </w:rPr>
            </w:pPr>
            <w:r w:rsidRPr="00C50854">
              <w:rPr>
                <w:sz w:val="20"/>
                <w:szCs w:val="20"/>
              </w:rPr>
              <w:t>0%</w:t>
            </w:r>
          </w:p>
        </w:tc>
        <w:tc>
          <w:tcPr>
            <w:tcW w:w="1403" w:type="dxa"/>
            <w:shd w:val="clear" w:color="auto" w:fill="auto"/>
            <w:hideMark/>
          </w:tcPr>
          <w:p w14:paraId="3FBBF765" w14:textId="668670F9" w:rsidR="00E4128C" w:rsidRPr="00C50854" w:rsidRDefault="00E4128C" w:rsidP="00E4128C">
            <w:pPr>
              <w:suppressAutoHyphens w:val="0"/>
              <w:jc w:val="center"/>
              <w:rPr>
                <w:rFonts w:eastAsia="Calibri"/>
                <w:color w:val="FF0000"/>
                <w:sz w:val="20"/>
                <w:szCs w:val="20"/>
                <w:lang w:eastAsia="et-EE"/>
              </w:rPr>
            </w:pPr>
            <w:r w:rsidRPr="00C50854">
              <w:rPr>
                <w:sz w:val="20"/>
                <w:szCs w:val="20"/>
              </w:rPr>
              <w:t>0%</w:t>
            </w:r>
          </w:p>
        </w:tc>
      </w:tr>
    </w:tbl>
    <w:p w14:paraId="3245295E" w14:textId="2A074B14" w:rsidR="00035540" w:rsidRPr="00C50854" w:rsidRDefault="00035540" w:rsidP="00035540">
      <w:pPr>
        <w:suppressAutoHyphens w:val="0"/>
        <w:spacing w:before="120" w:after="120"/>
        <w:rPr>
          <w:bCs/>
          <w:sz w:val="20"/>
          <w:szCs w:val="20"/>
          <w:lang w:eastAsia="et-EE"/>
        </w:rPr>
      </w:pPr>
      <w:bookmarkStart w:id="147" w:name="_Ref460230119"/>
      <w:r w:rsidRPr="00C50854">
        <w:rPr>
          <w:b/>
          <w:bCs/>
          <w:sz w:val="20"/>
          <w:szCs w:val="20"/>
          <w:lang w:eastAsia="et-EE"/>
        </w:rPr>
        <w:t xml:space="preserve">Tabel </w:t>
      </w:r>
      <w:r w:rsidR="00341D2F" w:rsidRPr="00C50854">
        <w:rPr>
          <w:b/>
          <w:bCs/>
          <w:sz w:val="20"/>
          <w:szCs w:val="20"/>
          <w:lang w:eastAsia="et-EE"/>
        </w:rPr>
        <w:fldChar w:fldCharType="begin"/>
      </w:r>
      <w:r w:rsidR="00341D2F" w:rsidRPr="00C50854">
        <w:rPr>
          <w:b/>
          <w:bCs/>
          <w:sz w:val="20"/>
          <w:szCs w:val="20"/>
          <w:lang w:eastAsia="et-EE"/>
        </w:rPr>
        <w:instrText xml:space="preserve"> SEQ Tabel \* ARABIC </w:instrText>
      </w:r>
      <w:r w:rsidR="00341D2F" w:rsidRPr="00C50854">
        <w:rPr>
          <w:b/>
          <w:bCs/>
          <w:sz w:val="20"/>
          <w:szCs w:val="20"/>
          <w:lang w:eastAsia="et-EE"/>
        </w:rPr>
        <w:fldChar w:fldCharType="separate"/>
      </w:r>
      <w:r w:rsidR="00D24389" w:rsidRPr="00C50854">
        <w:rPr>
          <w:b/>
          <w:bCs/>
          <w:noProof/>
          <w:sz w:val="20"/>
          <w:szCs w:val="20"/>
          <w:lang w:eastAsia="et-EE"/>
        </w:rPr>
        <w:t>2</w:t>
      </w:r>
      <w:r w:rsidR="00341D2F" w:rsidRPr="00C50854">
        <w:rPr>
          <w:b/>
          <w:bCs/>
          <w:sz w:val="20"/>
          <w:szCs w:val="20"/>
          <w:lang w:eastAsia="et-EE"/>
        </w:rPr>
        <w:fldChar w:fldCharType="end"/>
      </w:r>
      <w:bookmarkEnd w:id="147"/>
      <w:r w:rsidRPr="00C50854">
        <w:rPr>
          <w:b/>
          <w:bCs/>
          <w:sz w:val="20"/>
          <w:szCs w:val="20"/>
          <w:lang w:eastAsia="et-EE"/>
        </w:rPr>
        <w:t xml:space="preserve">. </w:t>
      </w:r>
      <w:r w:rsidR="00AD523B" w:rsidRPr="00C50854">
        <w:rPr>
          <w:bCs/>
          <w:sz w:val="20"/>
          <w:szCs w:val="20"/>
          <w:lang w:eastAsia="et-EE"/>
        </w:rPr>
        <w:t>T</w:t>
      </w:r>
      <w:r w:rsidRPr="00C50854">
        <w:rPr>
          <w:bCs/>
          <w:sz w:val="20"/>
          <w:szCs w:val="20"/>
          <w:lang w:eastAsia="et-EE"/>
        </w:rPr>
        <w:t>TJA mõõtmistulemused</w:t>
      </w:r>
      <w:r w:rsidR="00434B6C" w:rsidRPr="00C50854">
        <w:rPr>
          <w:bCs/>
          <w:sz w:val="20"/>
          <w:szCs w:val="20"/>
          <w:lang w:eastAsia="et-EE"/>
        </w:rPr>
        <w:t xml:space="preserve"> 2</w:t>
      </w:r>
      <w:r w:rsidR="009A4409" w:rsidRPr="00C50854">
        <w:rPr>
          <w:bCs/>
          <w:sz w:val="20"/>
          <w:szCs w:val="20"/>
          <w:lang w:eastAsia="et-EE"/>
        </w:rPr>
        <w:t>01</w:t>
      </w:r>
      <w:r w:rsidR="00AD523B" w:rsidRPr="00C50854">
        <w:rPr>
          <w:bCs/>
          <w:sz w:val="20"/>
          <w:szCs w:val="20"/>
          <w:lang w:eastAsia="et-EE"/>
        </w:rPr>
        <w:t>9</w:t>
      </w:r>
      <w:r w:rsidR="00434B6C" w:rsidRPr="00C50854">
        <w:rPr>
          <w:bCs/>
          <w:sz w:val="20"/>
          <w:szCs w:val="20"/>
          <w:lang w:eastAsia="et-EE"/>
        </w:rPr>
        <w:t>. aastal</w:t>
      </w:r>
    </w:p>
    <w:p w14:paraId="2250C7BA" w14:textId="25D9769A" w:rsidR="00035540" w:rsidRPr="00C50854" w:rsidRDefault="00FE0CEF" w:rsidP="00311E1F">
      <w:pPr>
        <w:numPr>
          <w:ilvl w:val="0"/>
          <w:numId w:val="13"/>
        </w:numPr>
        <w:suppressAutoHyphens w:val="0"/>
        <w:autoSpaceDE w:val="0"/>
        <w:autoSpaceDN w:val="0"/>
        <w:adjustRightInd w:val="0"/>
        <w:spacing w:before="120" w:after="120"/>
        <w:jc w:val="both"/>
        <w:rPr>
          <w:lang w:eastAsia="et-EE"/>
        </w:rPr>
      </w:pPr>
      <w:r w:rsidRPr="00C50854">
        <w:rPr>
          <w:lang w:eastAsia="et-EE"/>
        </w:rPr>
        <w:t>Vask- ja valguskaablil</w:t>
      </w:r>
      <w:r w:rsidRPr="00C50854" w:rsidDel="003E1AAA">
        <w:rPr>
          <w:lang w:eastAsia="et-EE"/>
        </w:rPr>
        <w:t xml:space="preserve"> </w:t>
      </w:r>
      <w:r w:rsidR="00035540" w:rsidRPr="00C50854">
        <w:rPr>
          <w:lang w:eastAsia="et-EE"/>
        </w:rPr>
        <w:t xml:space="preserve">põhineva tehnoloogiaga võrreldavaid andmeedastuskiiruseid suudab pakkuda </w:t>
      </w:r>
      <w:r w:rsidRPr="00C50854">
        <w:rPr>
          <w:lang w:eastAsia="et-EE"/>
        </w:rPr>
        <w:t>mobiilne</w:t>
      </w:r>
      <w:r w:rsidR="004F4087" w:rsidRPr="00C50854">
        <w:rPr>
          <w:lang w:eastAsia="et-EE"/>
        </w:rPr>
        <w:t xml:space="preserve"> </w:t>
      </w:r>
      <w:r w:rsidR="00035540" w:rsidRPr="00C50854">
        <w:rPr>
          <w:lang w:eastAsia="et-EE"/>
        </w:rPr>
        <w:t>4G</w:t>
      </w:r>
      <w:r w:rsidR="00AD523B" w:rsidRPr="00C50854">
        <w:rPr>
          <w:lang w:eastAsia="et-EE"/>
        </w:rPr>
        <w:t xml:space="preserve"> ja 4G+</w:t>
      </w:r>
      <w:r w:rsidR="00035540" w:rsidRPr="00C50854">
        <w:rPr>
          <w:lang w:eastAsia="et-EE"/>
        </w:rPr>
        <w:t xml:space="preserve"> võrk. Ööpäeva lõikes kõiguvad mõõtetul</w:t>
      </w:r>
      <w:r w:rsidR="00500112" w:rsidRPr="00C50854">
        <w:rPr>
          <w:lang w:eastAsia="et-EE"/>
        </w:rPr>
        <w:t>emused suurel määral, sest tipp</w:t>
      </w:r>
      <w:r w:rsidR="00035540" w:rsidRPr="00C50854">
        <w:rPr>
          <w:lang w:eastAsia="et-EE"/>
        </w:rPr>
        <w:t xml:space="preserve">tundidel </w:t>
      </w:r>
      <w:r w:rsidR="00500112" w:rsidRPr="00C50854">
        <w:rPr>
          <w:lang w:eastAsia="et-EE"/>
        </w:rPr>
        <w:t xml:space="preserve">tõuseb </w:t>
      </w:r>
      <w:r w:rsidR="00035540" w:rsidRPr="00C50854">
        <w:rPr>
          <w:lang w:eastAsia="et-EE"/>
        </w:rPr>
        <w:t>mobiilse</w:t>
      </w:r>
      <w:r w:rsidR="00500112" w:rsidRPr="00C50854">
        <w:rPr>
          <w:lang w:eastAsia="et-EE"/>
        </w:rPr>
        <w:t xml:space="preserve"> interneti kasutajate arv</w:t>
      </w:r>
      <w:r w:rsidR="00035540" w:rsidRPr="00C50854">
        <w:rPr>
          <w:lang w:eastAsia="et-EE"/>
        </w:rPr>
        <w:t xml:space="preserve">. </w:t>
      </w:r>
      <w:r w:rsidR="002A5D20" w:rsidRPr="00C50854">
        <w:rPr>
          <w:lang w:eastAsia="et-EE"/>
        </w:rPr>
        <w:t>Sideettevõtja</w:t>
      </w:r>
      <w:r w:rsidR="00035540" w:rsidRPr="00C50854">
        <w:rPr>
          <w:lang w:eastAsia="et-EE"/>
        </w:rPr>
        <w:t>d reeglina piirkondlikke pakette ei paku ja seega on ka keeruline lubada konkreetseid kiiruseid olukorras, kus teenust saab tarbida kogu Eesti territooriumil. Selleks pakuvad teenusepakkujad</w:t>
      </w:r>
      <w:r w:rsidR="00547055" w:rsidRPr="00C50854">
        <w:rPr>
          <w:lang w:eastAsia="et-EE"/>
        </w:rPr>
        <w:t xml:space="preserve"> klientidele</w:t>
      </w:r>
      <w:r w:rsidR="00035540" w:rsidRPr="00C50854">
        <w:rPr>
          <w:lang w:eastAsia="et-EE"/>
        </w:rPr>
        <w:t xml:space="preserve"> tasuta prooviperioode</w:t>
      </w:r>
      <w:r w:rsidR="00547055" w:rsidRPr="00C50854">
        <w:rPr>
          <w:lang w:eastAsia="et-EE"/>
        </w:rPr>
        <w:t>.</w:t>
      </w:r>
    </w:p>
    <w:p w14:paraId="100AF67A" w14:textId="67610A90" w:rsidR="00035540" w:rsidRPr="00C50854" w:rsidRDefault="000355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Mobiil</w:t>
      </w:r>
      <w:r w:rsidR="00A01994" w:rsidRPr="00C50854">
        <w:rPr>
          <w:lang w:eastAsia="et-EE"/>
        </w:rPr>
        <w:t>telefoni</w:t>
      </w:r>
      <w:r w:rsidRPr="00C50854">
        <w:rPr>
          <w:lang w:eastAsia="et-EE"/>
        </w:rPr>
        <w:t xml:space="preserve">võrkudes ei </w:t>
      </w:r>
      <w:r w:rsidR="0072324D" w:rsidRPr="00C50854">
        <w:rPr>
          <w:lang w:eastAsia="et-EE"/>
        </w:rPr>
        <w:t>pakuta</w:t>
      </w:r>
      <w:r w:rsidRPr="00C50854">
        <w:rPr>
          <w:lang w:eastAsia="et-EE"/>
        </w:rPr>
        <w:t xml:space="preserve"> kasutajaile </w:t>
      </w:r>
      <w:r w:rsidR="007C707A" w:rsidRPr="00C50854">
        <w:rPr>
          <w:lang w:eastAsia="et-EE"/>
        </w:rPr>
        <w:t>garanteeritud</w:t>
      </w:r>
      <w:r w:rsidRPr="00C50854">
        <w:rPr>
          <w:lang w:eastAsia="et-EE"/>
        </w:rPr>
        <w:t xml:space="preserve"> andmesidekiirust. Andmesidekiirus sõltub nii kasutaja kaugusest tugijaamast kui võrgu üldisest koormusest (näiteks inimesed kogunevad kontserdile/suurüritusele ühe jaama piirkonda ja kasutajate arv </w:t>
      </w:r>
      <w:r w:rsidR="003A1E77" w:rsidRPr="00C50854">
        <w:rPr>
          <w:lang w:eastAsia="et-EE"/>
        </w:rPr>
        <w:t xml:space="preserve">ning seega koormus võrgule </w:t>
      </w:r>
      <w:r w:rsidRPr="00C50854">
        <w:rPr>
          <w:lang w:eastAsia="et-EE"/>
        </w:rPr>
        <w:t xml:space="preserve">kasvab lühikeseks ajaks hüppeliselt). </w:t>
      </w:r>
      <w:r w:rsidR="002A5D20" w:rsidRPr="00C50854">
        <w:rPr>
          <w:lang w:eastAsia="et-EE"/>
        </w:rPr>
        <w:t>Sideettevõtja</w:t>
      </w:r>
      <w:r w:rsidRPr="00C50854">
        <w:rPr>
          <w:lang w:eastAsia="et-EE"/>
        </w:rPr>
        <w:t xml:space="preserve">d näitavad </w:t>
      </w:r>
      <w:r w:rsidR="003A1E77" w:rsidRPr="00C50854">
        <w:rPr>
          <w:lang w:eastAsia="et-EE"/>
        </w:rPr>
        <w:t xml:space="preserve">oma teenuste turundusel </w:t>
      </w:r>
      <w:r w:rsidRPr="00C50854">
        <w:rPr>
          <w:lang w:eastAsia="et-EE"/>
        </w:rPr>
        <w:t xml:space="preserve">ainult hüpoteetilist maksimaalset võimalikku kiirust, mida võrk ja kasutajaliides või </w:t>
      </w:r>
      <w:r w:rsidRPr="00C50854">
        <w:rPr>
          <w:lang w:eastAsia="et-EE"/>
        </w:rPr>
        <w:noBreakHyphen/>
        <w:t xml:space="preserve">seade toetavad. Kuigi 4G kiiruseks on </w:t>
      </w:r>
      <w:r w:rsidR="00AB0919" w:rsidRPr="00C50854">
        <w:rPr>
          <w:lang w:eastAsia="et-EE"/>
        </w:rPr>
        <w:t>lubatud</w:t>
      </w:r>
      <w:r w:rsidRPr="00C50854">
        <w:rPr>
          <w:lang w:eastAsia="et-EE"/>
        </w:rPr>
        <w:t xml:space="preserve"> </w:t>
      </w:r>
      <w:r w:rsidR="00AB0919" w:rsidRPr="00C50854">
        <w:rPr>
          <w:lang w:eastAsia="et-EE"/>
        </w:rPr>
        <w:t xml:space="preserve">100 </w:t>
      </w:r>
      <w:r w:rsidR="00FD0598" w:rsidRPr="00C50854">
        <w:rPr>
          <w:lang w:eastAsia="et-EE"/>
        </w:rPr>
        <w:t>Mbit/s</w:t>
      </w:r>
      <w:r w:rsidR="00AB0919" w:rsidRPr="00C50854">
        <w:rPr>
          <w:lang w:eastAsia="et-EE"/>
        </w:rPr>
        <w:t xml:space="preserve"> alla ning 50 Mbit/s üles</w:t>
      </w:r>
      <w:r w:rsidR="00FD0598" w:rsidRPr="00C50854">
        <w:rPr>
          <w:lang w:eastAsia="et-EE"/>
        </w:rPr>
        <w:t xml:space="preserve">, </w:t>
      </w:r>
      <w:r w:rsidR="00AB0919" w:rsidRPr="00C50854">
        <w:rPr>
          <w:lang w:eastAsia="et-EE"/>
        </w:rPr>
        <w:t>siis tavapära</w:t>
      </w:r>
      <w:r w:rsidR="002E3324" w:rsidRPr="00C50854">
        <w:rPr>
          <w:lang w:eastAsia="et-EE"/>
        </w:rPr>
        <w:t>s</w:t>
      </w:r>
      <w:r w:rsidR="00AB0919" w:rsidRPr="00C50854">
        <w:rPr>
          <w:lang w:eastAsia="et-EE"/>
        </w:rPr>
        <w:t>e</w:t>
      </w:r>
      <w:r w:rsidR="002E3324" w:rsidRPr="00C50854">
        <w:rPr>
          <w:lang w:eastAsia="et-EE"/>
        </w:rPr>
        <w:t>d</w:t>
      </w:r>
      <w:r w:rsidR="00AB0919" w:rsidRPr="00C50854">
        <w:rPr>
          <w:lang w:eastAsia="et-EE"/>
        </w:rPr>
        <w:t xml:space="preserve"> </w:t>
      </w:r>
      <w:r w:rsidR="008B01C4" w:rsidRPr="00C50854">
        <w:rPr>
          <w:lang w:eastAsia="et-EE"/>
        </w:rPr>
        <w:t>tarbijate poolt kasutatav</w:t>
      </w:r>
      <w:r w:rsidR="002E3324" w:rsidRPr="00C50854">
        <w:rPr>
          <w:lang w:eastAsia="et-EE"/>
        </w:rPr>
        <w:t>ad</w:t>
      </w:r>
      <w:r w:rsidR="008B01C4" w:rsidRPr="00C50854">
        <w:rPr>
          <w:lang w:eastAsia="et-EE"/>
        </w:rPr>
        <w:t xml:space="preserve"> kiirused</w:t>
      </w:r>
      <w:r w:rsidR="00AB0919" w:rsidRPr="00C50854">
        <w:rPr>
          <w:lang w:eastAsia="et-EE"/>
        </w:rPr>
        <w:t xml:space="preserve"> </w:t>
      </w:r>
      <w:r w:rsidR="008B01C4" w:rsidRPr="00C50854">
        <w:rPr>
          <w:lang w:eastAsia="et-EE"/>
        </w:rPr>
        <w:t xml:space="preserve">jäävad tavaliselt vahemikku </w:t>
      </w:r>
      <w:r w:rsidR="00AB0919" w:rsidRPr="00C50854">
        <w:rPr>
          <w:lang w:eastAsia="et-EE"/>
        </w:rPr>
        <w:t>20-60 Mbit/s alla ning 5-20 Mbit/s üles</w:t>
      </w:r>
      <w:r w:rsidRPr="00C50854">
        <w:rPr>
          <w:lang w:eastAsia="et-EE"/>
        </w:rPr>
        <w:t>.</w:t>
      </w:r>
    </w:p>
    <w:p w14:paraId="24DF5DF6" w14:textId="67FCAD1E" w:rsidR="00667190" w:rsidRPr="00C50854" w:rsidRDefault="00035540" w:rsidP="00311E1F">
      <w:pPr>
        <w:numPr>
          <w:ilvl w:val="0"/>
          <w:numId w:val="13"/>
        </w:numPr>
        <w:suppressAutoHyphens w:val="0"/>
        <w:autoSpaceDE w:val="0"/>
        <w:autoSpaceDN w:val="0"/>
        <w:adjustRightInd w:val="0"/>
        <w:spacing w:before="120" w:after="240"/>
        <w:jc w:val="both"/>
        <w:rPr>
          <w:lang w:eastAsia="et-EE"/>
        </w:rPr>
      </w:pPr>
      <w:r w:rsidRPr="00C50854">
        <w:rPr>
          <w:lang w:eastAsia="et-EE"/>
        </w:rPr>
        <w:t xml:space="preserve">Kuna </w:t>
      </w:r>
      <w:r w:rsidR="00C721DB" w:rsidRPr="00C50854">
        <w:rPr>
          <w:lang w:eastAsia="et-EE"/>
        </w:rPr>
        <w:t xml:space="preserve">mobiilse lairiba </w:t>
      </w:r>
      <w:r w:rsidR="004A25AD" w:rsidRPr="00C50854">
        <w:rPr>
          <w:lang w:eastAsia="et-EE"/>
        </w:rPr>
        <w:t>jae</w:t>
      </w:r>
      <w:r w:rsidR="00C721DB" w:rsidRPr="00C50854">
        <w:rPr>
          <w:lang w:eastAsia="et-EE"/>
        </w:rPr>
        <w:t>teenuse pake</w:t>
      </w:r>
      <w:r w:rsidR="007770C8" w:rsidRPr="00C50854">
        <w:rPr>
          <w:lang w:eastAsia="et-EE"/>
        </w:rPr>
        <w:t>t</w:t>
      </w:r>
      <w:r w:rsidR="00C721DB" w:rsidRPr="00C50854">
        <w:rPr>
          <w:lang w:eastAsia="et-EE"/>
        </w:rPr>
        <w:t>tid</w:t>
      </w:r>
      <w:r w:rsidR="000243DF" w:rsidRPr="00C50854">
        <w:rPr>
          <w:lang w:eastAsia="et-EE"/>
        </w:rPr>
        <w:t>e</w:t>
      </w:r>
      <w:r w:rsidR="00CA5028" w:rsidRPr="00C50854">
        <w:rPr>
          <w:lang w:eastAsia="et-EE"/>
        </w:rPr>
        <w:t xml:space="preserve"> hindade ning kiiruste osas</w:t>
      </w:r>
      <w:r w:rsidRPr="00C50854">
        <w:rPr>
          <w:lang w:eastAsia="et-EE"/>
        </w:rPr>
        <w:t xml:space="preserve"> (</w:t>
      </w:r>
      <w:proofErr w:type="spellStart"/>
      <w:r w:rsidRPr="00C50854">
        <w:rPr>
          <w:lang w:eastAsia="et-EE"/>
        </w:rPr>
        <w:t>Data</w:t>
      </w:r>
      <w:proofErr w:type="spellEnd"/>
      <w:r w:rsidRPr="00C50854">
        <w:rPr>
          <w:lang w:eastAsia="et-EE"/>
        </w:rPr>
        <w:t xml:space="preserve"> </w:t>
      </w:r>
      <w:proofErr w:type="spellStart"/>
      <w:r w:rsidRPr="00C50854">
        <w:rPr>
          <w:lang w:eastAsia="et-EE"/>
        </w:rPr>
        <w:t>SIM-ide</w:t>
      </w:r>
      <w:proofErr w:type="spellEnd"/>
      <w:r w:rsidRPr="00C50854">
        <w:rPr>
          <w:lang w:eastAsia="et-EE"/>
        </w:rPr>
        <w:t xml:space="preserve"> osas) </w:t>
      </w:r>
      <w:r w:rsidR="00C721DB" w:rsidRPr="00C50854">
        <w:rPr>
          <w:lang w:eastAsia="et-EE"/>
        </w:rPr>
        <w:t xml:space="preserve">on üha rohkem võrreldavad </w:t>
      </w:r>
      <w:r w:rsidR="004A25AD" w:rsidRPr="00C50854">
        <w:rPr>
          <w:lang w:eastAsia="et-EE"/>
        </w:rPr>
        <w:t xml:space="preserve">fikseeritud sidevõrgus osutatavate </w:t>
      </w:r>
      <w:r w:rsidR="00C721DB" w:rsidRPr="00C50854">
        <w:rPr>
          <w:lang w:eastAsia="et-EE"/>
        </w:rPr>
        <w:t xml:space="preserve">lairibateenuse pakettidega, </w:t>
      </w:r>
      <w:r w:rsidRPr="00C50854">
        <w:rPr>
          <w:lang w:eastAsia="et-EE"/>
        </w:rPr>
        <w:t xml:space="preserve">võrreldakse </w:t>
      </w:r>
      <w:r w:rsidR="00C721DB" w:rsidRPr="00C50854">
        <w:rPr>
          <w:lang w:eastAsia="et-EE"/>
        </w:rPr>
        <w:t>alljärgneval</w:t>
      </w:r>
      <w:r w:rsidR="00AC42C6" w:rsidRPr="00C50854">
        <w:rPr>
          <w:lang w:eastAsia="et-EE"/>
        </w:rPr>
        <w:t>t</w:t>
      </w:r>
      <w:r w:rsidR="008D4015" w:rsidRPr="00C50854">
        <w:rPr>
          <w:lang w:eastAsia="et-EE"/>
        </w:rPr>
        <w:t xml:space="preserve"> (</w:t>
      </w:r>
      <w:r w:rsidR="008D4015" w:rsidRPr="00C50854">
        <w:rPr>
          <w:lang w:eastAsia="et-EE"/>
        </w:rPr>
        <w:fldChar w:fldCharType="begin"/>
      </w:r>
      <w:r w:rsidR="008D4015" w:rsidRPr="00C50854">
        <w:rPr>
          <w:lang w:eastAsia="et-EE"/>
        </w:rPr>
        <w:instrText xml:space="preserve"> REF _Ref460230273 \h </w:instrText>
      </w:r>
      <w:r w:rsidR="00072A34" w:rsidRPr="00C50854">
        <w:rPr>
          <w:lang w:eastAsia="et-EE"/>
        </w:rPr>
        <w:instrText xml:space="preserve"> \* MERGEFORMAT </w:instrText>
      </w:r>
      <w:r w:rsidR="008D4015" w:rsidRPr="00C50854">
        <w:rPr>
          <w:lang w:eastAsia="et-EE"/>
        </w:rPr>
      </w:r>
      <w:r w:rsidR="008D4015" w:rsidRPr="00C50854">
        <w:rPr>
          <w:lang w:eastAsia="et-EE"/>
        </w:rPr>
        <w:fldChar w:fldCharType="separate"/>
      </w:r>
      <w:r w:rsidR="0079054B" w:rsidRPr="00C50854">
        <w:rPr>
          <w:bCs/>
          <w:lang w:eastAsia="et-EE"/>
        </w:rPr>
        <w:t xml:space="preserve">Tabel </w:t>
      </w:r>
      <w:r w:rsidR="0079054B" w:rsidRPr="00C50854">
        <w:rPr>
          <w:bCs/>
          <w:noProof/>
          <w:lang w:eastAsia="et-EE"/>
        </w:rPr>
        <w:t>3</w:t>
      </w:r>
      <w:r w:rsidR="008D4015" w:rsidRPr="00C50854">
        <w:rPr>
          <w:lang w:eastAsia="et-EE"/>
        </w:rPr>
        <w:fldChar w:fldCharType="end"/>
      </w:r>
      <w:r w:rsidR="008D4015" w:rsidRPr="00C50854">
        <w:rPr>
          <w:lang w:eastAsia="et-EE"/>
        </w:rPr>
        <w:t>)</w:t>
      </w:r>
      <w:r w:rsidR="00C721DB" w:rsidRPr="00C50854">
        <w:rPr>
          <w:lang w:eastAsia="et-EE"/>
        </w:rPr>
        <w:t xml:space="preserve"> </w:t>
      </w:r>
      <w:r w:rsidRPr="00C50854">
        <w:rPr>
          <w:lang w:eastAsia="et-EE"/>
        </w:rPr>
        <w:t>neid</w:t>
      </w:r>
      <w:r w:rsidR="00C721DB" w:rsidRPr="00C50854">
        <w:rPr>
          <w:lang w:eastAsia="et-EE"/>
        </w:rPr>
        <w:t xml:space="preserve"> pakette </w:t>
      </w:r>
      <w:r w:rsidR="004A25AD" w:rsidRPr="00C50854">
        <w:rPr>
          <w:lang w:eastAsia="et-EE"/>
        </w:rPr>
        <w:t>omavahel</w:t>
      </w:r>
      <w:r w:rsidRPr="00C50854">
        <w:rPr>
          <w:lang w:eastAsia="et-EE"/>
        </w:rPr>
        <w:t xml:space="preserve">. </w:t>
      </w:r>
    </w:p>
    <w:p w14:paraId="638A4E22" w14:textId="77777777" w:rsidR="00667190" w:rsidRPr="00C50854" w:rsidRDefault="00667190">
      <w:pPr>
        <w:suppressAutoHyphens w:val="0"/>
        <w:rPr>
          <w:lang w:eastAsia="et-EE"/>
        </w:rPr>
      </w:pPr>
      <w:r w:rsidRPr="00C50854">
        <w:rPr>
          <w:lang w:eastAsia="et-EE"/>
        </w:rPr>
        <w:br w:type="page"/>
      </w:r>
    </w:p>
    <w:tbl>
      <w:tblPr>
        <w:tblW w:w="9326" w:type="dxa"/>
        <w:tblCellMar>
          <w:left w:w="70" w:type="dxa"/>
          <w:right w:w="70" w:type="dxa"/>
        </w:tblCellMar>
        <w:tblLook w:val="04A0" w:firstRow="1" w:lastRow="0" w:firstColumn="1" w:lastColumn="0" w:noHBand="0" w:noVBand="1"/>
      </w:tblPr>
      <w:tblGrid>
        <w:gridCol w:w="1392"/>
        <w:gridCol w:w="2567"/>
        <w:gridCol w:w="3686"/>
        <w:gridCol w:w="850"/>
        <w:gridCol w:w="831"/>
      </w:tblGrid>
      <w:tr w:rsidR="00087CDF" w:rsidRPr="00C50854" w14:paraId="1CA9D424" w14:textId="77777777" w:rsidTr="009C0AC9">
        <w:trPr>
          <w:trHeight w:val="211"/>
        </w:trPr>
        <w:tc>
          <w:tcPr>
            <w:tcW w:w="1392" w:type="dxa"/>
            <w:tcBorders>
              <w:top w:val="single" w:sz="8" w:space="0" w:color="auto"/>
              <w:left w:val="single" w:sz="8" w:space="0" w:color="auto"/>
              <w:bottom w:val="nil"/>
              <w:right w:val="single" w:sz="8" w:space="0" w:color="auto"/>
            </w:tcBorders>
            <w:shd w:val="clear" w:color="000000" w:fill="CCFFCC"/>
            <w:noWrap/>
            <w:vAlign w:val="center"/>
            <w:hideMark/>
          </w:tcPr>
          <w:p w14:paraId="227CB4DA" w14:textId="77777777" w:rsidR="00087CDF" w:rsidRPr="00C50854" w:rsidRDefault="00087CDF" w:rsidP="00056B43">
            <w:pPr>
              <w:suppressAutoHyphens w:val="0"/>
              <w:jc w:val="center"/>
              <w:rPr>
                <w:b/>
                <w:bCs/>
                <w:color w:val="000000"/>
                <w:sz w:val="16"/>
                <w:szCs w:val="16"/>
                <w:lang w:eastAsia="et-EE"/>
              </w:rPr>
            </w:pPr>
            <w:r w:rsidRPr="00C50854">
              <w:rPr>
                <w:b/>
                <w:bCs/>
                <w:color w:val="000000"/>
                <w:sz w:val="16"/>
                <w:szCs w:val="16"/>
                <w:lang w:eastAsia="et-EE"/>
              </w:rPr>
              <w:lastRenderedPageBreak/>
              <w:t>Operaator</w:t>
            </w:r>
          </w:p>
        </w:tc>
        <w:tc>
          <w:tcPr>
            <w:tcW w:w="2567" w:type="dxa"/>
            <w:tcBorders>
              <w:top w:val="single" w:sz="8" w:space="0" w:color="auto"/>
              <w:left w:val="nil"/>
              <w:bottom w:val="nil"/>
              <w:right w:val="single" w:sz="8" w:space="0" w:color="auto"/>
            </w:tcBorders>
            <w:shd w:val="clear" w:color="000000" w:fill="CCFFCC"/>
            <w:noWrap/>
            <w:vAlign w:val="center"/>
            <w:hideMark/>
          </w:tcPr>
          <w:p w14:paraId="2532DDDF" w14:textId="77777777" w:rsidR="00087CDF" w:rsidRPr="00C50854" w:rsidRDefault="00087CDF" w:rsidP="00056B43">
            <w:pPr>
              <w:suppressAutoHyphens w:val="0"/>
              <w:jc w:val="center"/>
              <w:rPr>
                <w:b/>
                <w:bCs/>
                <w:color w:val="000000"/>
                <w:sz w:val="16"/>
                <w:szCs w:val="16"/>
                <w:lang w:eastAsia="et-EE"/>
              </w:rPr>
            </w:pPr>
            <w:r w:rsidRPr="00C50854">
              <w:rPr>
                <w:b/>
                <w:bCs/>
                <w:color w:val="000000"/>
                <w:sz w:val="16"/>
                <w:szCs w:val="16"/>
                <w:lang w:eastAsia="et-EE"/>
              </w:rPr>
              <w:t>Teenus ja maht</w:t>
            </w:r>
          </w:p>
        </w:tc>
        <w:tc>
          <w:tcPr>
            <w:tcW w:w="3686" w:type="dxa"/>
            <w:tcBorders>
              <w:top w:val="single" w:sz="8" w:space="0" w:color="auto"/>
              <w:left w:val="nil"/>
              <w:bottom w:val="nil"/>
              <w:right w:val="single" w:sz="8" w:space="0" w:color="000000"/>
            </w:tcBorders>
            <w:shd w:val="clear" w:color="000000" w:fill="CCFFCC"/>
            <w:noWrap/>
            <w:vAlign w:val="center"/>
            <w:hideMark/>
          </w:tcPr>
          <w:p w14:paraId="2B768336" w14:textId="77777777" w:rsidR="00087CDF" w:rsidRPr="00C50854" w:rsidRDefault="00087CDF" w:rsidP="00087CDF">
            <w:pPr>
              <w:suppressAutoHyphens w:val="0"/>
              <w:jc w:val="center"/>
              <w:rPr>
                <w:b/>
                <w:bCs/>
                <w:color w:val="000000"/>
                <w:sz w:val="16"/>
                <w:szCs w:val="16"/>
                <w:lang w:eastAsia="et-EE"/>
              </w:rPr>
            </w:pPr>
            <w:r w:rsidRPr="00C50854">
              <w:rPr>
                <w:b/>
                <w:bCs/>
                <w:color w:val="000000"/>
                <w:sz w:val="16"/>
                <w:szCs w:val="16"/>
                <w:lang w:eastAsia="et-EE"/>
              </w:rPr>
              <w:t xml:space="preserve"> Kiirus </w:t>
            </w:r>
          </w:p>
        </w:tc>
        <w:tc>
          <w:tcPr>
            <w:tcW w:w="850" w:type="dxa"/>
            <w:tcBorders>
              <w:top w:val="single" w:sz="8" w:space="0" w:color="auto"/>
              <w:left w:val="nil"/>
              <w:bottom w:val="nil"/>
              <w:right w:val="single" w:sz="8" w:space="0" w:color="000000"/>
            </w:tcBorders>
            <w:shd w:val="clear" w:color="000000" w:fill="CCFFCC"/>
            <w:vAlign w:val="center"/>
            <w:hideMark/>
          </w:tcPr>
          <w:p w14:paraId="7C94883A" w14:textId="43F85483" w:rsidR="00087CDF" w:rsidRPr="00C50854" w:rsidRDefault="00087CDF" w:rsidP="00087CDF">
            <w:pPr>
              <w:suppressAutoHyphens w:val="0"/>
              <w:rPr>
                <w:b/>
                <w:bCs/>
                <w:color w:val="000000"/>
                <w:sz w:val="16"/>
                <w:szCs w:val="16"/>
                <w:lang w:eastAsia="et-EE"/>
              </w:rPr>
            </w:pPr>
            <w:r w:rsidRPr="00C50854">
              <w:rPr>
                <w:b/>
                <w:bCs/>
                <w:color w:val="000000"/>
                <w:sz w:val="16"/>
                <w:szCs w:val="16"/>
                <w:lang w:eastAsia="et-EE"/>
              </w:rPr>
              <w:t>€/kuu (km-</w:t>
            </w:r>
            <w:proofErr w:type="spellStart"/>
            <w:r w:rsidRPr="00C50854">
              <w:rPr>
                <w:b/>
                <w:bCs/>
                <w:color w:val="000000"/>
                <w:sz w:val="16"/>
                <w:szCs w:val="16"/>
                <w:lang w:eastAsia="et-EE"/>
              </w:rPr>
              <w:t>ga</w:t>
            </w:r>
            <w:proofErr w:type="spellEnd"/>
            <w:r w:rsidRPr="00C50854">
              <w:rPr>
                <w:b/>
                <w:bCs/>
                <w:color w:val="000000"/>
                <w:sz w:val="16"/>
                <w:szCs w:val="16"/>
                <w:lang w:eastAsia="et-EE"/>
              </w:rPr>
              <w:t>)</w:t>
            </w:r>
          </w:p>
        </w:tc>
        <w:tc>
          <w:tcPr>
            <w:tcW w:w="831" w:type="dxa"/>
            <w:tcBorders>
              <w:top w:val="single" w:sz="8" w:space="0" w:color="auto"/>
              <w:left w:val="nil"/>
              <w:bottom w:val="nil"/>
              <w:right w:val="single" w:sz="8" w:space="0" w:color="auto"/>
            </w:tcBorders>
            <w:shd w:val="clear" w:color="000000" w:fill="CCFFCC"/>
            <w:vAlign w:val="center"/>
            <w:hideMark/>
          </w:tcPr>
          <w:p w14:paraId="693B2290" w14:textId="45E15E9E" w:rsidR="00087CDF" w:rsidRPr="00C50854" w:rsidRDefault="00087CDF" w:rsidP="00056B43">
            <w:pPr>
              <w:suppressAutoHyphens w:val="0"/>
              <w:rPr>
                <w:b/>
                <w:bCs/>
                <w:color w:val="000000"/>
                <w:sz w:val="16"/>
                <w:szCs w:val="16"/>
                <w:lang w:eastAsia="et-EE"/>
              </w:rPr>
            </w:pPr>
            <w:r w:rsidRPr="00C50854">
              <w:rPr>
                <w:b/>
                <w:bCs/>
                <w:color w:val="000000"/>
                <w:sz w:val="16"/>
                <w:szCs w:val="16"/>
                <w:lang w:eastAsia="et-EE"/>
              </w:rPr>
              <w:t> </w:t>
            </w:r>
            <w:proofErr w:type="spellStart"/>
            <w:r w:rsidR="00BB04E0" w:rsidRPr="00C50854">
              <w:rPr>
                <w:b/>
                <w:bCs/>
                <w:color w:val="000000"/>
                <w:sz w:val="16"/>
                <w:szCs w:val="16"/>
                <w:lang w:eastAsia="et-EE"/>
              </w:rPr>
              <w:t>Fix</w:t>
            </w:r>
            <w:proofErr w:type="spellEnd"/>
            <w:r w:rsidR="00BB04E0" w:rsidRPr="00C50854">
              <w:rPr>
                <w:b/>
                <w:bCs/>
                <w:color w:val="000000"/>
                <w:sz w:val="16"/>
                <w:szCs w:val="16"/>
                <w:lang w:eastAsia="et-EE"/>
              </w:rPr>
              <w:t xml:space="preserve"> </w:t>
            </w:r>
            <w:r w:rsidR="00760686" w:rsidRPr="00C50854">
              <w:rPr>
                <w:b/>
                <w:bCs/>
                <w:color w:val="000000"/>
                <w:sz w:val="16"/>
                <w:szCs w:val="16"/>
                <w:lang w:eastAsia="et-EE"/>
              </w:rPr>
              <w:t xml:space="preserve"> ja </w:t>
            </w:r>
            <w:proofErr w:type="spellStart"/>
            <w:r w:rsidR="00760686" w:rsidRPr="00C50854">
              <w:rPr>
                <w:b/>
                <w:bCs/>
                <w:color w:val="000000"/>
                <w:sz w:val="16"/>
                <w:szCs w:val="16"/>
                <w:lang w:eastAsia="et-EE"/>
              </w:rPr>
              <w:t>mob</w:t>
            </w:r>
            <w:proofErr w:type="spellEnd"/>
            <w:r w:rsidR="00760686" w:rsidRPr="00C50854">
              <w:rPr>
                <w:b/>
                <w:bCs/>
                <w:color w:val="000000"/>
                <w:sz w:val="16"/>
                <w:szCs w:val="16"/>
                <w:lang w:eastAsia="et-EE"/>
              </w:rPr>
              <w:t xml:space="preserve"> vahe </w:t>
            </w:r>
            <w:r w:rsidRPr="00C50854">
              <w:rPr>
                <w:b/>
                <w:bCs/>
                <w:color w:val="000000"/>
                <w:sz w:val="16"/>
                <w:szCs w:val="16"/>
                <w:lang w:eastAsia="et-EE"/>
              </w:rPr>
              <w:t>(%)</w:t>
            </w:r>
          </w:p>
        </w:tc>
      </w:tr>
      <w:tr w:rsidR="00087CDF" w:rsidRPr="00C50854" w14:paraId="68425CC4" w14:textId="77777777" w:rsidTr="009C0AC9">
        <w:trPr>
          <w:trHeight w:val="126"/>
        </w:trPr>
        <w:tc>
          <w:tcPr>
            <w:tcW w:w="139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A3C3D26" w14:textId="77777777" w:rsidR="00087CDF" w:rsidRPr="00C50854" w:rsidRDefault="00087CDF" w:rsidP="00056B43">
            <w:pPr>
              <w:suppressAutoHyphens w:val="0"/>
              <w:jc w:val="center"/>
              <w:rPr>
                <w:color w:val="000000"/>
                <w:sz w:val="20"/>
                <w:szCs w:val="20"/>
                <w:lang w:eastAsia="et-EE"/>
              </w:rPr>
            </w:pPr>
            <w:r w:rsidRPr="00C50854">
              <w:rPr>
                <w:color w:val="000000"/>
                <w:sz w:val="20"/>
                <w:szCs w:val="20"/>
                <w:lang w:eastAsia="et-EE"/>
              </w:rPr>
              <w:t>Telia</w:t>
            </w:r>
          </w:p>
        </w:tc>
        <w:tc>
          <w:tcPr>
            <w:tcW w:w="2567" w:type="dxa"/>
            <w:vMerge w:val="restart"/>
            <w:tcBorders>
              <w:top w:val="single" w:sz="8" w:space="0" w:color="auto"/>
              <w:left w:val="single" w:sz="4" w:space="0" w:color="auto"/>
              <w:bottom w:val="single" w:sz="4" w:space="0" w:color="000000"/>
              <w:right w:val="single" w:sz="4" w:space="0" w:color="auto"/>
            </w:tcBorders>
            <w:shd w:val="clear" w:color="auto" w:fill="FFFFFF" w:themeFill="background1"/>
            <w:noWrap/>
            <w:vAlign w:val="center"/>
            <w:hideMark/>
          </w:tcPr>
          <w:p w14:paraId="3402AD01" w14:textId="77777777" w:rsidR="00087CDF" w:rsidRPr="00C50854" w:rsidRDefault="00087CDF" w:rsidP="00056B43">
            <w:pPr>
              <w:suppressAutoHyphens w:val="0"/>
              <w:jc w:val="center"/>
              <w:rPr>
                <w:color w:val="000000"/>
                <w:sz w:val="16"/>
                <w:szCs w:val="16"/>
                <w:lang w:eastAsia="et-EE"/>
              </w:rPr>
            </w:pPr>
            <w:r w:rsidRPr="00C50854">
              <w:rPr>
                <w:color w:val="000000"/>
                <w:sz w:val="16"/>
                <w:szCs w:val="16"/>
                <w:lang w:eastAsia="et-EE"/>
              </w:rPr>
              <w:t>Koduinternet</w:t>
            </w:r>
          </w:p>
        </w:tc>
        <w:tc>
          <w:tcPr>
            <w:tcW w:w="3686" w:type="dxa"/>
            <w:tcBorders>
              <w:top w:val="single" w:sz="8" w:space="0" w:color="auto"/>
              <w:left w:val="nil"/>
              <w:bottom w:val="single" w:sz="4" w:space="0" w:color="auto"/>
              <w:right w:val="single" w:sz="4" w:space="0" w:color="auto"/>
            </w:tcBorders>
            <w:shd w:val="clear" w:color="auto" w:fill="FFFFFF" w:themeFill="background1"/>
            <w:noWrap/>
            <w:vAlign w:val="bottom"/>
            <w:hideMark/>
          </w:tcPr>
          <w:p w14:paraId="65B3BCCD" w14:textId="77777777" w:rsidR="00087CDF" w:rsidRPr="00C50854" w:rsidRDefault="00087CDF" w:rsidP="00056B43">
            <w:pPr>
              <w:suppressAutoHyphens w:val="0"/>
              <w:rPr>
                <w:color w:val="000000"/>
                <w:sz w:val="16"/>
                <w:szCs w:val="16"/>
                <w:lang w:eastAsia="et-EE"/>
              </w:rPr>
            </w:pPr>
            <w:r w:rsidRPr="00C50854">
              <w:rPr>
                <w:color w:val="000000"/>
                <w:sz w:val="16"/>
                <w:szCs w:val="16"/>
                <w:lang w:eastAsia="et-EE"/>
              </w:rPr>
              <w:t>kuni 5 Mbit/s / 1 Mbit/s; 10 Mbit/s / 2 Mbit/s; 10 Mbit/s / 10 Mbit/s</w:t>
            </w:r>
          </w:p>
        </w:tc>
        <w:tc>
          <w:tcPr>
            <w:tcW w:w="850" w:type="dxa"/>
            <w:tcBorders>
              <w:top w:val="single" w:sz="8" w:space="0" w:color="auto"/>
              <w:left w:val="nil"/>
              <w:bottom w:val="single" w:sz="4" w:space="0" w:color="auto"/>
              <w:right w:val="single" w:sz="4" w:space="0" w:color="auto"/>
            </w:tcBorders>
            <w:shd w:val="clear" w:color="auto" w:fill="FFFFFF" w:themeFill="background1"/>
            <w:noWrap/>
            <w:vAlign w:val="bottom"/>
            <w:hideMark/>
          </w:tcPr>
          <w:p w14:paraId="3B5F0294"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16</w:t>
            </w:r>
          </w:p>
        </w:tc>
        <w:tc>
          <w:tcPr>
            <w:tcW w:w="831" w:type="dxa"/>
            <w:tcBorders>
              <w:top w:val="single" w:sz="8" w:space="0" w:color="auto"/>
              <w:left w:val="nil"/>
              <w:bottom w:val="single" w:sz="4" w:space="0" w:color="auto"/>
              <w:right w:val="single" w:sz="8" w:space="0" w:color="auto"/>
            </w:tcBorders>
            <w:shd w:val="clear" w:color="auto" w:fill="FFFFFF" w:themeFill="background1"/>
            <w:noWrap/>
            <w:vAlign w:val="bottom"/>
            <w:hideMark/>
          </w:tcPr>
          <w:p w14:paraId="46F2B624"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59BA8AE2" w14:textId="77777777" w:rsidTr="009C0AC9">
        <w:trPr>
          <w:trHeight w:val="126"/>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54EDB54D" w14:textId="77777777" w:rsidR="00087CDF" w:rsidRPr="00C50854" w:rsidRDefault="00087CDF" w:rsidP="00056B43">
            <w:pPr>
              <w:suppressAutoHyphens w:val="0"/>
              <w:rPr>
                <w:color w:val="000000"/>
                <w:sz w:val="16"/>
                <w:szCs w:val="16"/>
                <w:lang w:eastAsia="et-EE"/>
              </w:rPr>
            </w:pPr>
          </w:p>
        </w:tc>
        <w:tc>
          <w:tcPr>
            <w:tcW w:w="2567" w:type="dxa"/>
            <w:vMerge/>
            <w:tcBorders>
              <w:top w:val="single" w:sz="8" w:space="0" w:color="auto"/>
              <w:left w:val="single" w:sz="4" w:space="0" w:color="auto"/>
              <w:bottom w:val="single" w:sz="4" w:space="0" w:color="000000"/>
              <w:right w:val="single" w:sz="4" w:space="0" w:color="auto"/>
            </w:tcBorders>
            <w:shd w:val="clear" w:color="auto" w:fill="FFFFFF" w:themeFill="background1"/>
            <w:vAlign w:val="center"/>
            <w:hideMark/>
          </w:tcPr>
          <w:p w14:paraId="3E512C9B" w14:textId="77777777" w:rsidR="00087CDF" w:rsidRPr="00C50854" w:rsidRDefault="00087CDF" w:rsidP="00056B43">
            <w:pPr>
              <w:suppressAutoHyphens w:val="0"/>
              <w:rPr>
                <w:color w:val="000000"/>
                <w:sz w:val="16"/>
                <w:szCs w:val="16"/>
                <w:lang w:eastAsia="et-EE"/>
              </w:rPr>
            </w:pPr>
          </w:p>
        </w:tc>
        <w:tc>
          <w:tcPr>
            <w:tcW w:w="3686" w:type="dxa"/>
            <w:tcBorders>
              <w:top w:val="nil"/>
              <w:left w:val="nil"/>
              <w:bottom w:val="single" w:sz="4" w:space="0" w:color="auto"/>
              <w:right w:val="single" w:sz="4" w:space="0" w:color="auto"/>
            </w:tcBorders>
            <w:shd w:val="clear" w:color="auto" w:fill="FFFFFF" w:themeFill="background1"/>
            <w:noWrap/>
            <w:vAlign w:val="center"/>
            <w:hideMark/>
          </w:tcPr>
          <w:p w14:paraId="4B2903C9" w14:textId="77777777" w:rsidR="00087CDF" w:rsidRPr="00C50854" w:rsidRDefault="00087CDF" w:rsidP="00056B43">
            <w:pPr>
              <w:suppressAutoHyphens w:val="0"/>
              <w:rPr>
                <w:color w:val="000000"/>
                <w:sz w:val="16"/>
                <w:szCs w:val="16"/>
                <w:lang w:eastAsia="et-EE"/>
              </w:rPr>
            </w:pPr>
            <w:r w:rsidRPr="00C50854">
              <w:rPr>
                <w:color w:val="000000"/>
                <w:sz w:val="16"/>
                <w:szCs w:val="16"/>
                <w:lang w:eastAsia="et-EE"/>
              </w:rPr>
              <w:t xml:space="preserve">kuni 12 Mbit/s / 1 Mbit/s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7F8308D0"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21</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60F608C0"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6A38FCEF" w14:textId="77777777" w:rsidTr="009C0AC9">
        <w:trPr>
          <w:trHeight w:val="126"/>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646EF7D6" w14:textId="77777777" w:rsidR="00087CDF" w:rsidRPr="00C50854" w:rsidRDefault="00087CDF" w:rsidP="00056B43">
            <w:pPr>
              <w:suppressAutoHyphens w:val="0"/>
              <w:rPr>
                <w:color w:val="000000"/>
                <w:sz w:val="16"/>
                <w:szCs w:val="16"/>
                <w:lang w:eastAsia="et-EE"/>
              </w:rPr>
            </w:pPr>
          </w:p>
        </w:tc>
        <w:tc>
          <w:tcPr>
            <w:tcW w:w="2567" w:type="dxa"/>
            <w:vMerge/>
            <w:tcBorders>
              <w:top w:val="single" w:sz="8" w:space="0" w:color="auto"/>
              <w:left w:val="single" w:sz="4" w:space="0" w:color="auto"/>
              <w:bottom w:val="single" w:sz="4" w:space="0" w:color="000000"/>
              <w:right w:val="single" w:sz="4" w:space="0" w:color="auto"/>
            </w:tcBorders>
            <w:shd w:val="clear" w:color="auto" w:fill="FFFFFF" w:themeFill="background1"/>
            <w:vAlign w:val="center"/>
            <w:hideMark/>
          </w:tcPr>
          <w:p w14:paraId="1026B0A0" w14:textId="77777777" w:rsidR="00087CDF" w:rsidRPr="00C50854" w:rsidRDefault="00087CDF" w:rsidP="00056B43">
            <w:pPr>
              <w:suppressAutoHyphens w:val="0"/>
              <w:rPr>
                <w:color w:val="000000"/>
                <w:sz w:val="16"/>
                <w:szCs w:val="16"/>
                <w:lang w:eastAsia="et-EE"/>
              </w:rPr>
            </w:pPr>
          </w:p>
        </w:tc>
        <w:tc>
          <w:tcPr>
            <w:tcW w:w="3686" w:type="dxa"/>
            <w:tcBorders>
              <w:top w:val="nil"/>
              <w:left w:val="nil"/>
              <w:bottom w:val="single" w:sz="4" w:space="0" w:color="auto"/>
              <w:right w:val="single" w:sz="4" w:space="0" w:color="auto"/>
            </w:tcBorders>
            <w:shd w:val="clear" w:color="auto" w:fill="FFFFFF" w:themeFill="background1"/>
            <w:noWrap/>
            <w:vAlign w:val="center"/>
            <w:hideMark/>
          </w:tcPr>
          <w:p w14:paraId="3752A279" w14:textId="77777777" w:rsidR="00087CDF" w:rsidRPr="00C50854" w:rsidRDefault="00087CDF" w:rsidP="00056B43">
            <w:pPr>
              <w:suppressAutoHyphens w:val="0"/>
              <w:rPr>
                <w:color w:val="000000"/>
                <w:sz w:val="16"/>
                <w:szCs w:val="16"/>
                <w:lang w:eastAsia="et-EE"/>
              </w:rPr>
            </w:pPr>
            <w:r w:rsidRPr="00C50854">
              <w:rPr>
                <w:color w:val="000000"/>
                <w:sz w:val="16"/>
                <w:szCs w:val="16"/>
                <w:lang w:eastAsia="et-EE"/>
              </w:rPr>
              <w:t xml:space="preserve">kuni 20 Mbit/s / 5 Mbit/s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782FC635"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21</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5BD3DFAE"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131F243C" w14:textId="77777777" w:rsidTr="009C0AC9">
        <w:trPr>
          <w:trHeight w:val="126"/>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274C5E27" w14:textId="77777777" w:rsidR="00087CDF" w:rsidRPr="00C50854" w:rsidRDefault="00087CDF" w:rsidP="00056B43">
            <w:pPr>
              <w:suppressAutoHyphens w:val="0"/>
              <w:rPr>
                <w:color w:val="000000"/>
                <w:sz w:val="16"/>
                <w:szCs w:val="16"/>
                <w:lang w:eastAsia="et-EE"/>
              </w:rPr>
            </w:pPr>
          </w:p>
        </w:tc>
        <w:tc>
          <w:tcPr>
            <w:tcW w:w="2567" w:type="dxa"/>
            <w:vMerge/>
            <w:tcBorders>
              <w:top w:val="single" w:sz="8" w:space="0" w:color="auto"/>
              <w:left w:val="single" w:sz="4" w:space="0" w:color="auto"/>
              <w:bottom w:val="single" w:sz="4" w:space="0" w:color="000000"/>
              <w:right w:val="single" w:sz="4" w:space="0" w:color="auto"/>
            </w:tcBorders>
            <w:shd w:val="clear" w:color="auto" w:fill="FFFFFF" w:themeFill="background1"/>
            <w:vAlign w:val="center"/>
            <w:hideMark/>
          </w:tcPr>
          <w:p w14:paraId="37C4C547" w14:textId="77777777" w:rsidR="00087CDF" w:rsidRPr="00C50854" w:rsidRDefault="00087CDF" w:rsidP="00056B43">
            <w:pPr>
              <w:suppressAutoHyphens w:val="0"/>
              <w:rPr>
                <w:color w:val="000000"/>
                <w:sz w:val="16"/>
                <w:szCs w:val="16"/>
                <w:lang w:eastAsia="et-EE"/>
              </w:rPr>
            </w:pPr>
          </w:p>
        </w:tc>
        <w:tc>
          <w:tcPr>
            <w:tcW w:w="3686" w:type="dxa"/>
            <w:tcBorders>
              <w:top w:val="nil"/>
              <w:left w:val="nil"/>
              <w:bottom w:val="single" w:sz="4" w:space="0" w:color="auto"/>
              <w:right w:val="single" w:sz="4" w:space="0" w:color="auto"/>
            </w:tcBorders>
            <w:shd w:val="clear" w:color="auto" w:fill="FFFFFF" w:themeFill="background1"/>
            <w:noWrap/>
            <w:vAlign w:val="center"/>
            <w:hideMark/>
          </w:tcPr>
          <w:p w14:paraId="12D0F6BC" w14:textId="77777777" w:rsidR="00087CDF" w:rsidRPr="00C50854" w:rsidRDefault="00087CDF" w:rsidP="00056B43">
            <w:pPr>
              <w:suppressAutoHyphens w:val="0"/>
              <w:rPr>
                <w:color w:val="000000"/>
                <w:sz w:val="16"/>
                <w:szCs w:val="16"/>
                <w:lang w:eastAsia="et-EE"/>
              </w:rPr>
            </w:pPr>
            <w:r w:rsidRPr="00C50854">
              <w:rPr>
                <w:color w:val="000000"/>
                <w:sz w:val="16"/>
                <w:szCs w:val="16"/>
                <w:lang w:eastAsia="et-EE"/>
              </w:rPr>
              <w:t xml:space="preserve">kuni 30 Mbit/s / 10 Mbit/s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759637C7"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21</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1EE6B0F3"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729E5E6D" w14:textId="77777777" w:rsidTr="009C0AC9">
        <w:trPr>
          <w:trHeight w:val="126"/>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2CBDCFFD" w14:textId="77777777" w:rsidR="00087CDF" w:rsidRPr="00C50854" w:rsidRDefault="00087CDF" w:rsidP="00056B43">
            <w:pPr>
              <w:suppressAutoHyphens w:val="0"/>
              <w:rPr>
                <w:color w:val="000000"/>
                <w:sz w:val="16"/>
                <w:szCs w:val="16"/>
                <w:lang w:eastAsia="et-EE"/>
              </w:rPr>
            </w:pPr>
          </w:p>
        </w:tc>
        <w:tc>
          <w:tcPr>
            <w:tcW w:w="2567" w:type="dxa"/>
            <w:vMerge/>
            <w:tcBorders>
              <w:top w:val="single" w:sz="8" w:space="0" w:color="auto"/>
              <w:left w:val="single" w:sz="4" w:space="0" w:color="auto"/>
              <w:bottom w:val="single" w:sz="4" w:space="0" w:color="000000"/>
              <w:right w:val="single" w:sz="4" w:space="0" w:color="auto"/>
            </w:tcBorders>
            <w:shd w:val="clear" w:color="auto" w:fill="FFFFFF" w:themeFill="background1"/>
            <w:vAlign w:val="center"/>
            <w:hideMark/>
          </w:tcPr>
          <w:p w14:paraId="08E0ED9D" w14:textId="77777777" w:rsidR="00087CDF" w:rsidRPr="00C50854" w:rsidRDefault="00087CDF" w:rsidP="00056B43">
            <w:pPr>
              <w:suppressAutoHyphens w:val="0"/>
              <w:rPr>
                <w:color w:val="000000"/>
                <w:sz w:val="16"/>
                <w:szCs w:val="16"/>
                <w:lang w:eastAsia="et-EE"/>
              </w:rPr>
            </w:pPr>
          </w:p>
        </w:tc>
        <w:tc>
          <w:tcPr>
            <w:tcW w:w="3686" w:type="dxa"/>
            <w:tcBorders>
              <w:top w:val="nil"/>
              <w:left w:val="nil"/>
              <w:bottom w:val="single" w:sz="4" w:space="0" w:color="auto"/>
              <w:right w:val="single" w:sz="4" w:space="0" w:color="auto"/>
            </w:tcBorders>
            <w:shd w:val="clear" w:color="auto" w:fill="FFFFFF" w:themeFill="background1"/>
            <w:noWrap/>
            <w:vAlign w:val="center"/>
            <w:hideMark/>
          </w:tcPr>
          <w:p w14:paraId="38084533" w14:textId="77777777" w:rsidR="00087CDF" w:rsidRPr="00C50854" w:rsidRDefault="00087CDF" w:rsidP="00056B43">
            <w:pPr>
              <w:suppressAutoHyphens w:val="0"/>
              <w:rPr>
                <w:color w:val="000000"/>
                <w:sz w:val="16"/>
                <w:szCs w:val="16"/>
                <w:lang w:eastAsia="et-EE"/>
              </w:rPr>
            </w:pPr>
            <w:r w:rsidRPr="00C50854">
              <w:rPr>
                <w:color w:val="000000"/>
                <w:sz w:val="16"/>
                <w:szCs w:val="16"/>
                <w:lang w:eastAsia="et-EE"/>
              </w:rPr>
              <w:t xml:space="preserve">kuni 40 Mbit/s / 10 Mbit/s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305392F7"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26</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1139D49E"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1EA854D7" w14:textId="77777777" w:rsidTr="009C0AC9">
        <w:trPr>
          <w:trHeight w:val="211"/>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4099822B" w14:textId="77777777" w:rsidR="00087CDF" w:rsidRPr="00C50854" w:rsidRDefault="00087CDF" w:rsidP="00056B43">
            <w:pPr>
              <w:suppressAutoHyphens w:val="0"/>
              <w:rPr>
                <w:color w:val="000000"/>
                <w:sz w:val="16"/>
                <w:szCs w:val="16"/>
                <w:lang w:eastAsia="et-EE"/>
              </w:rPr>
            </w:pPr>
          </w:p>
        </w:tc>
        <w:tc>
          <w:tcPr>
            <w:tcW w:w="2567" w:type="dxa"/>
            <w:vMerge/>
            <w:tcBorders>
              <w:top w:val="single" w:sz="8" w:space="0" w:color="auto"/>
              <w:left w:val="single" w:sz="4" w:space="0" w:color="auto"/>
              <w:bottom w:val="single" w:sz="4" w:space="0" w:color="000000"/>
              <w:right w:val="single" w:sz="4" w:space="0" w:color="auto"/>
            </w:tcBorders>
            <w:shd w:val="clear" w:color="auto" w:fill="FFFFFF" w:themeFill="background1"/>
            <w:vAlign w:val="center"/>
            <w:hideMark/>
          </w:tcPr>
          <w:p w14:paraId="5C238E27" w14:textId="77777777" w:rsidR="00087CDF" w:rsidRPr="00C50854" w:rsidRDefault="00087CDF" w:rsidP="00056B43">
            <w:pPr>
              <w:suppressAutoHyphens w:val="0"/>
              <w:rPr>
                <w:color w:val="000000"/>
                <w:sz w:val="16"/>
                <w:szCs w:val="16"/>
                <w:lang w:eastAsia="et-EE"/>
              </w:rPr>
            </w:pPr>
          </w:p>
        </w:tc>
        <w:tc>
          <w:tcPr>
            <w:tcW w:w="3686" w:type="dxa"/>
            <w:tcBorders>
              <w:top w:val="nil"/>
              <w:left w:val="nil"/>
              <w:bottom w:val="single" w:sz="4" w:space="0" w:color="auto"/>
              <w:right w:val="single" w:sz="4" w:space="0" w:color="auto"/>
            </w:tcBorders>
            <w:shd w:val="clear" w:color="auto" w:fill="FFFFFF" w:themeFill="background1"/>
            <w:noWrap/>
            <w:vAlign w:val="center"/>
            <w:hideMark/>
          </w:tcPr>
          <w:p w14:paraId="5B114289" w14:textId="77777777" w:rsidR="00087CDF" w:rsidRPr="00C50854" w:rsidRDefault="00087CDF" w:rsidP="00056B43">
            <w:pPr>
              <w:suppressAutoHyphens w:val="0"/>
              <w:rPr>
                <w:color w:val="000000"/>
                <w:sz w:val="16"/>
                <w:szCs w:val="16"/>
                <w:lang w:eastAsia="et-EE"/>
              </w:rPr>
            </w:pPr>
            <w:r w:rsidRPr="00C50854">
              <w:rPr>
                <w:color w:val="000000"/>
                <w:sz w:val="16"/>
                <w:szCs w:val="16"/>
                <w:lang w:eastAsia="et-EE"/>
              </w:rPr>
              <w:t xml:space="preserve">kuni 50 Mbit/s / 10 Mbit/s; 50 Mbit/s / 50 Mbit/s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40326FD7"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22</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69F95E6C"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3A3875F3" w14:textId="77777777" w:rsidTr="009C0AC9">
        <w:trPr>
          <w:trHeight w:val="211"/>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3ACB7C65" w14:textId="77777777" w:rsidR="00087CDF" w:rsidRPr="00C50854" w:rsidRDefault="00087CDF" w:rsidP="00056B43">
            <w:pPr>
              <w:suppressAutoHyphens w:val="0"/>
              <w:rPr>
                <w:color w:val="000000"/>
                <w:sz w:val="16"/>
                <w:szCs w:val="16"/>
                <w:lang w:eastAsia="et-EE"/>
              </w:rPr>
            </w:pPr>
          </w:p>
        </w:tc>
        <w:tc>
          <w:tcPr>
            <w:tcW w:w="2567" w:type="dxa"/>
            <w:vMerge/>
            <w:tcBorders>
              <w:top w:val="single" w:sz="8" w:space="0" w:color="auto"/>
              <w:left w:val="single" w:sz="4" w:space="0" w:color="auto"/>
              <w:bottom w:val="single" w:sz="4" w:space="0" w:color="000000"/>
              <w:right w:val="single" w:sz="4" w:space="0" w:color="auto"/>
            </w:tcBorders>
            <w:shd w:val="clear" w:color="auto" w:fill="FFFFFF" w:themeFill="background1"/>
            <w:vAlign w:val="center"/>
            <w:hideMark/>
          </w:tcPr>
          <w:p w14:paraId="2B7002B0" w14:textId="77777777" w:rsidR="00087CDF" w:rsidRPr="00C50854" w:rsidRDefault="00087CDF" w:rsidP="00056B43">
            <w:pPr>
              <w:suppressAutoHyphens w:val="0"/>
              <w:rPr>
                <w:color w:val="000000"/>
                <w:sz w:val="16"/>
                <w:szCs w:val="16"/>
                <w:lang w:eastAsia="et-EE"/>
              </w:rPr>
            </w:pPr>
          </w:p>
        </w:tc>
        <w:tc>
          <w:tcPr>
            <w:tcW w:w="3686" w:type="dxa"/>
            <w:tcBorders>
              <w:top w:val="nil"/>
              <w:left w:val="nil"/>
              <w:bottom w:val="single" w:sz="4" w:space="0" w:color="auto"/>
              <w:right w:val="single" w:sz="4" w:space="0" w:color="auto"/>
            </w:tcBorders>
            <w:shd w:val="clear" w:color="auto" w:fill="FFFFFF" w:themeFill="background1"/>
            <w:noWrap/>
            <w:vAlign w:val="center"/>
            <w:hideMark/>
          </w:tcPr>
          <w:p w14:paraId="0323E52B" w14:textId="77777777" w:rsidR="00087CDF" w:rsidRPr="00C50854" w:rsidRDefault="00087CDF" w:rsidP="00056B43">
            <w:pPr>
              <w:suppressAutoHyphens w:val="0"/>
              <w:rPr>
                <w:color w:val="000000"/>
                <w:sz w:val="16"/>
                <w:szCs w:val="16"/>
                <w:lang w:eastAsia="et-EE"/>
              </w:rPr>
            </w:pPr>
            <w:r w:rsidRPr="00C50854">
              <w:rPr>
                <w:color w:val="000000"/>
                <w:sz w:val="16"/>
                <w:szCs w:val="16"/>
                <w:lang w:eastAsia="et-EE"/>
              </w:rPr>
              <w:t xml:space="preserve">kuni 60 Mbit/s / 10 Mbit/s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131B6430"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28</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1CDF3672"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64F39D72" w14:textId="77777777" w:rsidTr="009C0AC9">
        <w:trPr>
          <w:trHeight w:val="126"/>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2311D082" w14:textId="77777777" w:rsidR="00087CDF" w:rsidRPr="00C50854" w:rsidRDefault="00087CDF" w:rsidP="00056B43">
            <w:pPr>
              <w:suppressAutoHyphens w:val="0"/>
              <w:rPr>
                <w:color w:val="000000"/>
                <w:sz w:val="16"/>
                <w:szCs w:val="16"/>
                <w:lang w:eastAsia="et-EE"/>
              </w:rPr>
            </w:pPr>
          </w:p>
        </w:tc>
        <w:tc>
          <w:tcPr>
            <w:tcW w:w="2567" w:type="dxa"/>
            <w:vMerge/>
            <w:tcBorders>
              <w:top w:val="single" w:sz="8" w:space="0" w:color="auto"/>
              <w:left w:val="single" w:sz="4" w:space="0" w:color="auto"/>
              <w:bottom w:val="single" w:sz="4" w:space="0" w:color="000000"/>
              <w:right w:val="single" w:sz="4" w:space="0" w:color="auto"/>
            </w:tcBorders>
            <w:shd w:val="clear" w:color="auto" w:fill="FFFFFF" w:themeFill="background1"/>
            <w:vAlign w:val="center"/>
            <w:hideMark/>
          </w:tcPr>
          <w:p w14:paraId="7D78CDE9" w14:textId="77777777" w:rsidR="00087CDF" w:rsidRPr="00C50854" w:rsidRDefault="00087CDF" w:rsidP="00056B43">
            <w:pPr>
              <w:suppressAutoHyphens w:val="0"/>
              <w:rPr>
                <w:color w:val="000000"/>
                <w:sz w:val="16"/>
                <w:szCs w:val="16"/>
                <w:lang w:eastAsia="et-EE"/>
              </w:rPr>
            </w:pPr>
          </w:p>
        </w:tc>
        <w:tc>
          <w:tcPr>
            <w:tcW w:w="3686" w:type="dxa"/>
            <w:tcBorders>
              <w:top w:val="nil"/>
              <w:left w:val="nil"/>
              <w:bottom w:val="single" w:sz="4" w:space="0" w:color="auto"/>
              <w:right w:val="single" w:sz="4" w:space="0" w:color="auto"/>
            </w:tcBorders>
            <w:shd w:val="clear" w:color="auto" w:fill="FFFFFF" w:themeFill="background1"/>
            <w:noWrap/>
            <w:vAlign w:val="center"/>
            <w:hideMark/>
          </w:tcPr>
          <w:p w14:paraId="1E8056D0" w14:textId="77777777" w:rsidR="00087CDF" w:rsidRPr="00C50854" w:rsidRDefault="00087CDF" w:rsidP="00056B43">
            <w:pPr>
              <w:suppressAutoHyphens w:val="0"/>
              <w:rPr>
                <w:color w:val="000000"/>
                <w:sz w:val="16"/>
                <w:szCs w:val="16"/>
                <w:lang w:eastAsia="et-EE"/>
              </w:rPr>
            </w:pPr>
            <w:r w:rsidRPr="00C50854">
              <w:rPr>
                <w:color w:val="000000"/>
                <w:sz w:val="16"/>
                <w:szCs w:val="16"/>
                <w:lang w:eastAsia="et-EE"/>
              </w:rPr>
              <w:t xml:space="preserve">kuni 100 Mbit/s / 25 Mbit/s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3C8F2415"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25</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5A680E26"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086F28EA" w14:textId="77777777" w:rsidTr="009C0AC9">
        <w:trPr>
          <w:trHeight w:val="126"/>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70EC0FDA" w14:textId="77777777" w:rsidR="00087CDF" w:rsidRPr="00C50854" w:rsidRDefault="00087CDF" w:rsidP="00056B43">
            <w:pPr>
              <w:suppressAutoHyphens w:val="0"/>
              <w:rPr>
                <w:color w:val="000000"/>
                <w:sz w:val="16"/>
                <w:szCs w:val="16"/>
                <w:lang w:eastAsia="et-EE"/>
              </w:rPr>
            </w:pPr>
          </w:p>
        </w:tc>
        <w:tc>
          <w:tcPr>
            <w:tcW w:w="2567" w:type="dxa"/>
            <w:vMerge/>
            <w:tcBorders>
              <w:top w:val="single" w:sz="8" w:space="0" w:color="auto"/>
              <w:left w:val="single" w:sz="4" w:space="0" w:color="auto"/>
              <w:bottom w:val="single" w:sz="4" w:space="0" w:color="000000"/>
              <w:right w:val="single" w:sz="4" w:space="0" w:color="auto"/>
            </w:tcBorders>
            <w:shd w:val="clear" w:color="auto" w:fill="FFFFFF" w:themeFill="background1"/>
            <w:vAlign w:val="center"/>
            <w:hideMark/>
          </w:tcPr>
          <w:p w14:paraId="2B291E8D" w14:textId="77777777" w:rsidR="00087CDF" w:rsidRPr="00C50854" w:rsidRDefault="00087CDF" w:rsidP="00056B43">
            <w:pPr>
              <w:suppressAutoHyphens w:val="0"/>
              <w:rPr>
                <w:color w:val="000000"/>
                <w:sz w:val="16"/>
                <w:szCs w:val="16"/>
                <w:lang w:eastAsia="et-EE"/>
              </w:rPr>
            </w:pPr>
          </w:p>
        </w:tc>
        <w:tc>
          <w:tcPr>
            <w:tcW w:w="3686" w:type="dxa"/>
            <w:tcBorders>
              <w:top w:val="nil"/>
              <w:left w:val="nil"/>
              <w:bottom w:val="single" w:sz="4" w:space="0" w:color="auto"/>
              <w:right w:val="single" w:sz="4" w:space="0" w:color="auto"/>
            </w:tcBorders>
            <w:shd w:val="clear" w:color="auto" w:fill="FFFFFF" w:themeFill="background1"/>
            <w:noWrap/>
            <w:vAlign w:val="center"/>
            <w:hideMark/>
          </w:tcPr>
          <w:p w14:paraId="6385C08A" w14:textId="77777777" w:rsidR="00087CDF" w:rsidRPr="00C50854" w:rsidRDefault="00087CDF" w:rsidP="00056B43">
            <w:pPr>
              <w:suppressAutoHyphens w:val="0"/>
              <w:rPr>
                <w:color w:val="000000"/>
                <w:sz w:val="16"/>
                <w:szCs w:val="16"/>
                <w:lang w:eastAsia="et-EE"/>
              </w:rPr>
            </w:pPr>
            <w:r w:rsidRPr="00C50854">
              <w:rPr>
                <w:color w:val="000000"/>
                <w:sz w:val="16"/>
                <w:szCs w:val="16"/>
                <w:lang w:eastAsia="et-EE"/>
              </w:rPr>
              <w:t>kuni 100 Mbit/s / 100 Mbit/s</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1D386C9D"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25</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18AB8DE4"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012E132A" w14:textId="77777777" w:rsidTr="009C0AC9">
        <w:trPr>
          <w:trHeight w:val="126"/>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2B815E9E" w14:textId="77777777" w:rsidR="00087CDF" w:rsidRPr="00C50854" w:rsidRDefault="00087CDF" w:rsidP="00056B43">
            <w:pPr>
              <w:suppressAutoHyphens w:val="0"/>
              <w:rPr>
                <w:color w:val="000000"/>
                <w:sz w:val="16"/>
                <w:szCs w:val="16"/>
                <w:lang w:eastAsia="et-EE"/>
              </w:rPr>
            </w:pPr>
          </w:p>
        </w:tc>
        <w:tc>
          <w:tcPr>
            <w:tcW w:w="2567" w:type="dxa"/>
            <w:vMerge/>
            <w:tcBorders>
              <w:top w:val="single" w:sz="8" w:space="0" w:color="auto"/>
              <w:left w:val="single" w:sz="4" w:space="0" w:color="auto"/>
              <w:bottom w:val="single" w:sz="4" w:space="0" w:color="000000"/>
              <w:right w:val="single" w:sz="4" w:space="0" w:color="auto"/>
            </w:tcBorders>
            <w:shd w:val="clear" w:color="auto" w:fill="FFFFFF" w:themeFill="background1"/>
            <w:vAlign w:val="center"/>
            <w:hideMark/>
          </w:tcPr>
          <w:p w14:paraId="1D17A36D" w14:textId="77777777" w:rsidR="00087CDF" w:rsidRPr="00C50854" w:rsidRDefault="00087CDF" w:rsidP="00056B43">
            <w:pPr>
              <w:suppressAutoHyphens w:val="0"/>
              <w:rPr>
                <w:color w:val="000000"/>
                <w:sz w:val="16"/>
                <w:szCs w:val="16"/>
                <w:lang w:eastAsia="et-EE"/>
              </w:rPr>
            </w:pPr>
          </w:p>
        </w:tc>
        <w:tc>
          <w:tcPr>
            <w:tcW w:w="3686" w:type="dxa"/>
            <w:tcBorders>
              <w:top w:val="nil"/>
              <w:left w:val="nil"/>
              <w:bottom w:val="single" w:sz="4" w:space="0" w:color="auto"/>
              <w:right w:val="single" w:sz="4" w:space="0" w:color="auto"/>
            </w:tcBorders>
            <w:shd w:val="clear" w:color="auto" w:fill="FFFFFF" w:themeFill="background1"/>
            <w:noWrap/>
            <w:vAlign w:val="center"/>
            <w:hideMark/>
          </w:tcPr>
          <w:p w14:paraId="2EE53FC6" w14:textId="77777777" w:rsidR="00087CDF" w:rsidRPr="00C50854" w:rsidRDefault="00087CDF" w:rsidP="00056B43">
            <w:pPr>
              <w:suppressAutoHyphens w:val="0"/>
              <w:rPr>
                <w:color w:val="000000"/>
                <w:sz w:val="16"/>
                <w:szCs w:val="16"/>
                <w:lang w:eastAsia="et-EE"/>
              </w:rPr>
            </w:pPr>
            <w:r w:rsidRPr="00C50854">
              <w:rPr>
                <w:color w:val="000000"/>
                <w:sz w:val="16"/>
                <w:szCs w:val="16"/>
                <w:lang w:eastAsia="et-EE"/>
              </w:rPr>
              <w:t xml:space="preserve">kuni 200 Mbit/s / 50 Mbit/s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2BCC6B18"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30</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5C353B3A"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2557A314" w14:textId="77777777" w:rsidTr="009C0AC9">
        <w:trPr>
          <w:trHeight w:val="126"/>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5FA1E5BB" w14:textId="77777777" w:rsidR="00087CDF" w:rsidRPr="00C50854" w:rsidRDefault="00087CDF" w:rsidP="00056B43">
            <w:pPr>
              <w:suppressAutoHyphens w:val="0"/>
              <w:rPr>
                <w:color w:val="000000"/>
                <w:sz w:val="16"/>
                <w:szCs w:val="16"/>
                <w:lang w:eastAsia="et-EE"/>
              </w:rPr>
            </w:pPr>
          </w:p>
        </w:tc>
        <w:tc>
          <w:tcPr>
            <w:tcW w:w="2567" w:type="dxa"/>
            <w:vMerge/>
            <w:tcBorders>
              <w:top w:val="single" w:sz="8" w:space="0" w:color="auto"/>
              <w:left w:val="single" w:sz="4" w:space="0" w:color="auto"/>
              <w:bottom w:val="single" w:sz="4" w:space="0" w:color="000000"/>
              <w:right w:val="single" w:sz="4" w:space="0" w:color="auto"/>
            </w:tcBorders>
            <w:shd w:val="clear" w:color="auto" w:fill="FFFFFF" w:themeFill="background1"/>
            <w:vAlign w:val="center"/>
            <w:hideMark/>
          </w:tcPr>
          <w:p w14:paraId="60F72EF8" w14:textId="77777777" w:rsidR="00087CDF" w:rsidRPr="00C50854" w:rsidRDefault="00087CDF" w:rsidP="00056B43">
            <w:pPr>
              <w:suppressAutoHyphens w:val="0"/>
              <w:rPr>
                <w:color w:val="000000"/>
                <w:sz w:val="16"/>
                <w:szCs w:val="16"/>
                <w:lang w:eastAsia="et-EE"/>
              </w:rPr>
            </w:pPr>
          </w:p>
        </w:tc>
        <w:tc>
          <w:tcPr>
            <w:tcW w:w="3686" w:type="dxa"/>
            <w:tcBorders>
              <w:top w:val="nil"/>
              <w:left w:val="nil"/>
              <w:bottom w:val="single" w:sz="4" w:space="0" w:color="auto"/>
              <w:right w:val="single" w:sz="4" w:space="0" w:color="auto"/>
            </w:tcBorders>
            <w:shd w:val="clear" w:color="auto" w:fill="FFFFFF" w:themeFill="background1"/>
            <w:noWrap/>
            <w:vAlign w:val="center"/>
            <w:hideMark/>
          </w:tcPr>
          <w:p w14:paraId="05D1C4F3" w14:textId="77777777" w:rsidR="00087CDF" w:rsidRPr="00C50854" w:rsidRDefault="00087CDF" w:rsidP="00056B43">
            <w:pPr>
              <w:suppressAutoHyphens w:val="0"/>
              <w:rPr>
                <w:color w:val="000000"/>
                <w:sz w:val="16"/>
                <w:szCs w:val="16"/>
                <w:lang w:eastAsia="et-EE"/>
              </w:rPr>
            </w:pPr>
            <w:r w:rsidRPr="00C50854">
              <w:rPr>
                <w:color w:val="000000"/>
                <w:sz w:val="16"/>
                <w:szCs w:val="16"/>
                <w:lang w:eastAsia="et-EE"/>
              </w:rPr>
              <w:t xml:space="preserve">kuni 300 Mbit/s / 300 Mbit/s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5B7D647C"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33</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7484CA73"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130DB32B" w14:textId="77777777" w:rsidTr="009C0AC9">
        <w:trPr>
          <w:trHeight w:val="126"/>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2E17EF23" w14:textId="77777777" w:rsidR="00087CDF" w:rsidRPr="00C50854" w:rsidRDefault="00087CDF" w:rsidP="00056B43">
            <w:pPr>
              <w:suppressAutoHyphens w:val="0"/>
              <w:rPr>
                <w:color w:val="000000"/>
                <w:sz w:val="16"/>
                <w:szCs w:val="16"/>
                <w:lang w:eastAsia="et-EE"/>
              </w:rPr>
            </w:pPr>
          </w:p>
        </w:tc>
        <w:tc>
          <w:tcPr>
            <w:tcW w:w="2567" w:type="dxa"/>
            <w:vMerge/>
            <w:tcBorders>
              <w:top w:val="single" w:sz="8" w:space="0" w:color="auto"/>
              <w:left w:val="single" w:sz="4" w:space="0" w:color="auto"/>
              <w:bottom w:val="single" w:sz="4" w:space="0" w:color="000000"/>
              <w:right w:val="single" w:sz="4" w:space="0" w:color="auto"/>
            </w:tcBorders>
            <w:shd w:val="clear" w:color="auto" w:fill="FFFFFF" w:themeFill="background1"/>
            <w:vAlign w:val="center"/>
            <w:hideMark/>
          </w:tcPr>
          <w:p w14:paraId="673DE662" w14:textId="77777777" w:rsidR="00087CDF" w:rsidRPr="00C50854" w:rsidRDefault="00087CDF" w:rsidP="00056B43">
            <w:pPr>
              <w:suppressAutoHyphens w:val="0"/>
              <w:rPr>
                <w:color w:val="000000"/>
                <w:sz w:val="16"/>
                <w:szCs w:val="16"/>
                <w:lang w:eastAsia="et-EE"/>
              </w:rPr>
            </w:pPr>
          </w:p>
        </w:tc>
        <w:tc>
          <w:tcPr>
            <w:tcW w:w="3686" w:type="dxa"/>
            <w:tcBorders>
              <w:top w:val="nil"/>
              <w:left w:val="nil"/>
              <w:bottom w:val="single" w:sz="4" w:space="0" w:color="auto"/>
              <w:right w:val="single" w:sz="4" w:space="0" w:color="auto"/>
            </w:tcBorders>
            <w:shd w:val="clear" w:color="auto" w:fill="FFFFFF" w:themeFill="background1"/>
            <w:noWrap/>
            <w:vAlign w:val="center"/>
            <w:hideMark/>
          </w:tcPr>
          <w:p w14:paraId="4CBC212E" w14:textId="77777777" w:rsidR="00087CDF" w:rsidRPr="00C50854" w:rsidRDefault="00087CDF" w:rsidP="00056B43">
            <w:pPr>
              <w:suppressAutoHyphens w:val="0"/>
              <w:rPr>
                <w:color w:val="000000"/>
                <w:sz w:val="16"/>
                <w:szCs w:val="16"/>
                <w:lang w:eastAsia="et-EE"/>
              </w:rPr>
            </w:pPr>
            <w:r w:rsidRPr="00C50854">
              <w:rPr>
                <w:color w:val="000000"/>
                <w:sz w:val="16"/>
                <w:szCs w:val="16"/>
                <w:lang w:eastAsia="et-EE"/>
              </w:rPr>
              <w:t xml:space="preserve">kuni 500 Mbit/s / 500 Mbit/s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6851CAE8"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42</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24E22762"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37601E8C" w14:textId="77777777" w:rsidTr="009C0AC9">
        <w:trPr>
          <w:trHeight w:val="46"/>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0F9F46ED" w14:textId="77777777" w:rsidR="00087CDF" w:rsidRPr="00C50854" w:rsidRDefault="00087CDF" w:rsidP="00056B43">
            <w:pPr>
              <w:suppressAutoHyphens w:val="0"/>
              <w:rPr>
                <w:color w:val="000000"/>
                <w:sz w:val="16"/>
                <w:szCs w:val="16"/>
                <w:lang w:eastAsia="et-EE"/>
              </w:rPr>
            </w:pPr>
          </w:p>
        </w:tc>
        <w:tc>
          <w:tcPr>
            <w:tcW w:w="2567" w:type="dxa"/>
            <w:vMerge/>
            <w:tcBorders>
              <w:top w:val="single" w:sz="8" w:space="0" w:color="auto"/>
              <w:left w:val="single" w:sz="4" w:space="0" w:color="auto"/>
              <w:bottom w:val="single" w:sz="4" w:space="0" w:color="000000"/>
              <w:right w:val="single" w:sz="4" w:space="0" w:color="auto"/>
            </w:tcBorders>
            <w:shd w:val="clear" w:color="auto" w:fill="FFFFFF" w:themeFill="background1"/>
            <w:vAlign w:val="center"/>
            <w:hideMark/>
          </w:tcPr>
          <w:p w14:paraId="6C709E74" w14:textId="77777777" w:rsidR="00087CDF" w:rsidRPr="00C50854" w:rsidRDefault="00087CDF" w:rsidP="00056B43">
            <w:pPr>
              <w:suppressAutoHyphens w:val="0"/>
              <w:rPr>
                <w:color w:val="000000"/>
                <w:sz w:val="16"/>
                <w:szCs w:val="16"/>
                <w:lang w:eastAsia="et-EE"/>
              </w:rPr>
            </w:pPr>
          </w:p>
        </w:tc>
        <w:tc>
          <w:tcPr>
            <w:tcW w:w="3686" w:type="dxa"/>
            <w:tcBorders>
              <w:top w:val="nil"/>
              <w:left w:val="nil"/>
              <w:bottom w:val="single" w:sz="4" w:space="0" w:color="auto"/>
              <w:right w:val="single" w:sz="4" w:space="0" w:color="auto"/>
            </w:tcBorders>
            <w:shd w:val="clear" w:color="auto" w:fill="FFFFFF" w:themeFill="background1"/>
            <w:noWrap/>
            <w:vAlign w:val="bottom"/>
            <w:hideMark/>
          </w:tcPr>
          <w:p w14:paraId="377BB65C" w14:textId="77777777" w:rsidR="00087CDF" w:rsidRPr="00C50854" w:rsidRDefault="00087CDF" w:rsidP="00056B43">
            <w:pPr>
              <w:suppressAutoHyphens w:val="0"/>
              <w:rPr>
                <w:color w:val="000000"/>
                <w:sz w:val="16"/>
                <w:szCs w:val="16"/>
                <w:lang w:eastAsia="et-EE"/>
              </w:rPr>
            </w:pPr>
            <w:r w:rsidRPr="00C50854">
              <w:rPr>
                <w:color w:val="000000"/>
                <w:sz w:val="16"/>
                <w:szCs w:val="16"/>
                <w:lang w:eastAsia="et-EE"/>
              </w:rPr>
              <w:t xml:space="preserve">kuni 1 Gbit/s / 1 Gbit/s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200FC8C2"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99</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18956C15"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445B36C0" w14:textId="77777777" w:rsidTr="009C0AC9">
        <w:trPr>
          <w:trHeight w:val="327"/>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7D80AE2F" w14:textId="77777777" w:rsidR="00087CDF" w:rsidRPr="00C50854" w:rsidRDefault="00087CDF" w:rsidP="00056B43">
            <w:pPr>
              <w:suppressAutoHyphens w:val="0"/>
              <w:rPr>
                <w:color w:val="000000"/>
                <w:sz w:val="16"/>
                <w:szCs w:val="16"/>
                <w:lang w:eastAsia="et-EE"/>
              </w:rPr>
            </w:pPr>
          </w:p>
        </w:tc>
        <w:tc>
          <w:tcPr>
            <w:tcW w:w="7934" w:type="dxa"/>
            <w:gridSpan w:val="4"/>
            <w:tcBorders>
              <w:top w:val="nil"/>
              <w:left w:val="nil"/>
              <w:bottom w:val="single" w:sz="4" w:space="0" w:color="auto"/>
              <w:right w:val="single" w:sz="8" w:space="0" w:color="auto"/>
            </w:tcBorders>
            <w:shd w:val="clear" w:color="auto" w:fill="FFFFFF" w:themeFill="background1"/>
            <w:noWrap/>
            <w:vAlign w:val="bottom"/>
            <w:hideMark/>
          </w:tcPr>
          <w:p w14:paraId="4CA72C4C" w14:textId="4DF941A7" w:rsidR="00087CDF" w:rsidRPr="00C50854" w:rsidRDefault="00087CDF" w:rsidP="007D2DDC">
            <w:pPr>
              <w:suppressAutoHyphens w:val="0"/>
              <w:jc w:val="center"/>
              <w:rPr>
                <w:color w:val="000000"/>
                <w:sz w:val="16"/>
                <w:szCs w:val="16"/>
                <w:lang w:eastAsia="et-EE"/>
              </w:rPr>
            </w:pPr>
            <w:r w:rsidRPr="00C50854">
              <w:rPr>
                <w:color w:val="000000"/>
                <w:sz w:val="16"/>
                <w:szCs w:val="16"/>
                <w:lang w:eastAsia="et-EE"/>
              </w:rPr>
              <w:t>Andmemaht kasutamiseks Baltimaades ja Skandinaavias</w:t>
            </w:r>
          </w:p>
        </w:tc>
      </w:tr>
      <w:tr w:rsidR="00087CDF" w:rsidRPr="00C50854" w14:paraId="16CFC903" w14:textId="77777777" w:rsidTr="009C0AC9">
        <w:trPr>
          <w:trHeight w:val="217"/>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7A50471A" w14:textId="77777777" w:rsidR="00087CDF" w:rsidRPr="00C50854" w:rsidRDefault="00087CDF" w:rsidP="00056B43">
            <w:pPr>
              <w:suppressAutoHyphens w:val="0"/>
              <w:rPr>
                <w:color w:val="000000"/>
                <w:sz w:val="16"/>
                <w:szCs w:val="16"/>
                <w:lang w:eastAsia="et-EE"/>
              </w:rPr>
            </w:pPr>
          </w:p>
        </w:tc>
        <w:tc>
          <w:tcPr>
            <w:tcW w:w="2567" w:type="dxa"/>
            <w:tcBorders>
              <w:top w:val="nil"/>
              <w:left w:val="nil"/>
              <w:bottom w:val="single" w:sz="4" w:space="0" w:color="auto"/>
              <w:right w:val="single" w:sz="4" w:space="0" w:color="auto"/>
            </w:tcBorders>
            <w:shd w:val="clear" w:color="auto" w:fill="FFFFFF" w:themeFill="background1"/>
            <w:noWrap/>
            <w:vAlign w:val="bottom"/>
            <w:hideMark/>
          </w:tcPr>
          <w:p w14:paraId="74C4AB1A" w14:textId="77777777" w:rsidR="00087CDF" w:rsidRPr="00C50854" w:rsidRDefault="00087CDF" w:rsidP="00056B43">
            <w:pPr>
              <w:suppressAutoHyphens w:val="0"/>
              <w:rPr>
                <w:color w:val="000000"/>
                <w:sz w:val="16"/>
                <w:szCs w:val="16"/>
                <w:lang w:eastAsia="et-EE"/>
              </w:rPr>
            </w:pPr>
            <w:r w:rsidRPr="00C50854">
              <w:rPr>
                <w:color w:val="000000"/>
                <w:sz w:val="16"/>
                <w:szCs w:val="16"/>
                <w:lang w:eastAsia="et-EE"/>
              </w:rPr>
              <w:t>50 MB</w:t>
            </w:r>
          </w:p>
        </w:tc>
        <w:tc>
          <w:tcPr>
            <w:tcW w:w="3686" w:type="dxa"/>
            <w:vMerge w:val="restart"/>
            <w:tcBorders>
              <w:top w:val="nil"/>
              <w:left w:val="single" w:sz="4" w:space="0" w:color="auto"/>
              <w:bottom w:val="single" w:sz="4" w:space="0" w:color="auto"/>
              <w:right w:val="single" w:sz="4" w:space="0" w:color="auto"/>
            </w:tcBorders>
            <w:shd w:val="clear" w:color="auto" w:fill="FFFFFF" w:themeFill="background1"/>
            <w:vAlign w:val="bottom"/>
            <w:hideMark/>
          </w:tcPr>
          <w:p w14:paraId="37E4EB9F" w14:textId="77777777" w:rsidR="00087CDF" w:rsidRPr="00C50854" w:rsidRDefault="00087CDF" w:rsidP="00056B43">
            <w:pPr>
              <w:suppressAutoHyphens w:val="0"/>
              <w:jc w:val="center"/>
              <w:rPr>
                <w:color w:val="000000"/>
                <w:sz w:val="16"/>
                <w:szCs w:val="16"/>
                <w:lang w:eastAsia="et-EE"/>
              </w:rPr>
            </w:pPr>
            <w:r w:rsidRPr="00C50854">
              <w:rPr>
                <w:color w:val="000000"/>
                <w:sz w:val="16"/>
                <w:szCs w:val="16"/>
                <w:lang w:eastAsia="et-EE"/>
              </w:rPr>
              <w:t>Kõikidele mahuvalikutele rakendub maksimaalne võimalik üles- ja allalaadimise kiirus. See võimaldab 4G nutiseadmega kasutada kiiruseid kuni 1,2 Gbit/s alla ja 150 Mbit/s üles, 3G nutiseadmega kuni 42,2 Mbit/s alla ja 5,7Mbit/s üles.</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6430113F"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0</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2312799A"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68EE48BD" w14:textId="77777777" w:rsidTr="009C0AC9">
        <w:trPr>
          <w:trHeight w:val="187"/>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3C5F372E" w14:textId="77777777" w:rsidR="00087CDF" w:rsidRPr="00C50854" w:rsidRDefault="00087CDF" w:rsidP="00056B43">
            <w:pPr>
              <w:suppressAutoHyphens w:val="0"/>
              <w:rPr>
                <w:color w:val="000000"/>
                <w:sz w:val="16"/>
                <w:szCs w:val="16"/>
                <w:lang w:eastAsia="et-EE"/>
              </w:rPr>
            </w:pPr>
          </w:p>
        </w:tc>
        <w:tc>
          <w:tcPr>
            <w:tcW w:w="2567" w:type="dxa"/>
            <w:tcBorders>
              <w:top w:val="nil"/>
              <w:left w:val="nil"/>
              <w:bottom w:val="single" w:sz="4" w:space="0" w:color="auto"/>
              <w:right w:val="single" w:sz="4" w:space="0" w:color="auto"/>
            </w:tcBorders>
            <w:shd w:val="clear" w:color="auto" w:fill="FFFFFF" w:themeFill="background1"/>
            <w:noWrap/>
            <w:vAlign w:val="bottom"/>
            <w:hideMark/>
          </w:tcPr>
          <w:p w14:paraId="2BD4B74E" w14:textId="1F045681" w:rsidR="00087CDF" w:rsidRPr="00C50854" w:rsidRDefault="00087CDF" w:rsidP="00056B43">
            <w:pPr>
              <w:suppressAutoHyphens w:val="0"/>
              <w:rPr>
                <w:color w:val="000000"/>
                <w:sz w:val="16"/>
                <w:szCs w:val="16"/>
                <w:lang w:eastAsia="et-EE"/>
              </w:rPr>
            </w:pPr>
            <w:r w:rsidRPr="00C50854">
              <w:rPr>
                <w:color w:val="000000"/>
                <w:sz w:val="16"/>
                <w:szCs w:val="16"/>
                <w:lang w:eastAsia="et-EE"/>
              </w:rPr>
              <w:t>1</w:t>
            </w:r>
            <w:r w:rsidR="002D283E" w:rsidRPr="00C50854">
              <w:rPr>
                <w:color w:val="000000"/>
                <w:sz w:val="16"/>
                <w:szCs w:val="16"/>
                <w:lang w:eastAsia="et-EE"/>
              </w:rPr>
              <w:t xml:space="preserve"> </w:t>
            </w:r>
            <w:r w:rsidRPr="00C50854">
              <w:rPr>
                <w:color w:val="000000"/>
                <w:sz w:val="16"/>
                <w:szCs w:val="16"/>
                <w:lang w:eastAsia="et-EE"/>
              </w:rPr>
              <w:t>GB</w:t>
            </w:r>
          </w:p>
        </w:tc>
        <w:tc>
          <w:tcPr>
            <w:tcW w:w="368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88EBC7" w14:textId="77777777" w:rsidR="00087CDF" w:rsidRPr="00C50854" w:rsidRDefault="00087CDF" w:rsidP="00056B43">
            <w:pPr>
              <w:suppressAutoHyphens w:val="0"/>
              <w:rPr>
                <w:color w:val="000000"/>
                <w:sz w:val="16"/>
                <w:szCs w:val="16"/>
                <w:lang w:eastAsia="et-EE"/>
              </w:rPr>
            </w:pP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11C9ECDD"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5</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0A909D46"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21B7CE7D" w14:textId="77777777" w:rsidTr="009C0AC9">
        <w:trPr>
          <w:trHeight w:val="121"/>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18697159" w14:textId="77777777" w:rsidR="00087CDF" w:rsidRPr="00C50854" w:rsidRDefault="00087CDF" w:rsidP="00056B43">
            <w:pPr>
              <w:suppressAutoHyphens w:val="0"/>
              <w:rPr>
                <w:color w:val="000000"/>
                <w:sz w:val="16"/>
                <w:szCs w:val="16"/>
                <w:lang w:eastAsia="et-EE"/>
              </w:rPr>
            </w:pPr>
          </w:p>
        </w:tc>
        <w:tc>
          <w:tcPr>
            <w:tcW w:w="2567" w:type="dxa"/>
            <w:tcBorders>
              <w:top w:val="nil"/>
              <w:left w:val="nil"/>
              <w:bottom w:val="single" w:sz="4" w:space="0" w:color="auto"/>
              <w:right w:val="single" w:sz="4" w:space="0" w:color="auto"/>
            </w:tcBorders>
            <w:shd w:val="clear" w:color="auto" w:fill="FFFFFF" w:themeFill="background1"/>
            <w:noWrap/>
            <w:vAlign w:val="bottom"/>
            <w:hideMark/>
          </w:tcPr>
          <w:p w14:paraId="202E3262" w14:textId="04774E96" w:rsidR="00087CDF" w:rsidRPr="00C50854" w:rsidRDefault="00087CDF" w:rsidP="00056B43">
            <w:pPr>
              <w:suppressAutoHyphens w:val="0"/>
              <w:rPr>
                <w:color w:val="000000"/>
                <w:sz w:val="16"/>
                <w:szCs w:val="16"/>
                <w:lang w:eastAsia="et-EE"/>
              </w:rPr>
            </w:pPr>
            <w:r w:rsidRPr="00C50854">
              <w:rPr>
                <w:color w:val="000000"/>
                <w:sz w:val="16"/>
                <w:szCs w:val="16"/>
                <w:lang w:eastAsia="et-EE"/>
              </w:rPr>
              <w:t>5</w:t>
            </w:r>
            <w:r w:rsidR="002D283E" w:rsidRPr="00C50854">
              <w:rPr>
                <w:color w:val="000000"/>
                <w:sz w:val="16"/>
                <w:szCs w:val="16"/>
                <w:lang w:eastAsia="et-EE"/>
              </w:rPr>
              <w:t xml:space="preserve"> </w:t>
            </w:r>
            <w:r w:rsidRPr="00C50854">
              <w:rPr>
                <w:color w:val="000000"/>
                <w:sz w:val="16"/>
                <w:szCs w:val="16"/>
                <w:lang w:eastAsia="et-EE"/>
              </w:rPr>
              <w:t>GB</w:t>
            </w:r>
          </w:p>
        </w:tc>
        <w:tc>
          <w:tcPr>
            <w:tcW w:w="368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74FA548" w14:textId="77777777" w:rsidR="00087CDF" w:rsidRPr="00C50854" w:rsidRDefault="00087CDF" w:rsidP="00056B43">
            <w:pPr>
              <w:suppressAutoHyphens w:val="0"/>
              <w:rPr>
                <w:color w:val="000000"/>
                <w:sz w:val="16"/>
                <w:szCs w:val="16"/>
                <w:lang w:eastAsia="et-EE"/>
              </w:rPr>
            </w:pP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3584802B"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12</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3735B043"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2CE91500" w14:textId="77777777" w:rsidTr="009C0AC9">
        <w:trPr>
          <w:trHeight w:val="121"/>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23794437" w14:textId="77777777" w:rsidR="00087CDF" w:rsidRPr="00C50854" w:rsidRDefault="00087CDF" w:rsidP="00056B43">
            <w:pPr>
              <w:suppressAutoHyphens w:val="0"/>
              <w:rPr>
                <w:color w:val="000000"/>
                <w:sz w:val="16"/>
                <w:szCs w:val="16"/>
                <w:lang w:eastAsia="et-EE"/>
              </w:rPr>
            </w:pPr>
          </w:p>
        </w:tc>
        <w:tc>
          <w:tcPr>
            <w:tcW w:w="2567" w:type="dxa"/>
            <w:tcBorders>
              <w:top w:val="nil"/>
              <w:left w:val="nil"/>
              <w:bottom w:val="single" w:sz="4" w:space="0" w:color="auto"/>
              <w:right w:val="single" w:sz="4" w:space="0" w:color="auto"/>
            </w:tcBorders>
            <w:shd w:val="clear" w:color="auto" w:fill="FFFFFF" w:themeFill="background1"/>
            <w:noWrap/>
            <w:vAlign w:val="bottom"/>
            <w:hideMark/>
          </w:tcPr>
          <w:p w14:paraId="7E3AAB4C" w14:textId="700E7B0D" w:rsidR="00087CDF" w:rsidRPr="00C50854" w:rsidRDefault="00087CDF" w:rsidP="00056B43">
            <w:pPr>
              <w:suppressAutoHyphens w:val="0"/>
              <w:rPr>
                <w:color w:val="000000"/>
                <w:sz w:val="16"/>
                <w:szCs w:val="16"/>
                <w:lang w:eastAsia="et-EE"/>
              </w:rPr>
            </w:pPr>
            <w:r w:rsidRPr="00C50854">
              <w:rPr>
                <w:color w:val="000000"/>
                <w:sz w:val="16"/>
                <w:szCs w:val="16"/>
                <w:lang w:eastAsia="et-EE"/>
              </w:rPr>
              <w:t>10</w:t>
            </w:r>
            <w:r w:rsidR="002D283E" w:rsidRPr="00C50854">
              <w:rPr>
                <w:color w:val="000000"/>
                <w:sz w:val="16"/>
                <w:szCs w:val="16"/>
                <w:lang w:eastAsia="et-EE"/>
              </w:rPr>
              <w:t xml:space="preserve"> </w:t>
            </w:r>
            <w:r w:rsidRPr="00C50854">
              <w:rPr>
                <w:color w:val="000000"/>
                <w:sz w:val="16"/>
                <w:szCs w:val="16"/>
                <w:lang w:eastAsia="et-EE"/>
              </w:rPr>
              <w:t>GB</w:t>
            </w:r>
          </w:p>
        </w:tc>
        <w:tc>
          <w:tcPr>
            <w:tcW w:w="368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CA8117" w14:textId="77777777" w:rsidR="00087CDF" w:rsidRPr="00C50854" w:rsidRDefault="00087CDF" w:rsidP="00056B43">
            <w:pPr>
              <w:suppressAutoHyphens w:val="0"/>
              <w:rPr>
                <w:color w:val="000000"/>
                <w:sz w:val="16"/>
                <w:szCs w:val="16"/>
                <w:lang w:eastAsia="et-EE"/>
              </w:rPr>
            </w:pP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12C71A36"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16</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7B454EB3"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68429848" w14:textId="77777777" w:rsidTr="009C0AC9">
        <w:trPr>
          <w:trHeight w:val="121"/>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04D7711A" w14:textId="77777777" w:rsidR="00087CDF" w:rsidRPr="00C50854" w:rsidRDefault="00087CDF" w:rsidP="00056B43">
            <w:pPr>
              <w:suppressAutoHyphens w:val="0"/>
              <w:rPr>
                <w:color w:val="000000"/>
                <w:sz w:val="16"/>
                <w:szCs w:val="16"/>
                <w:lang w:eastAsia="et-EE"/>
              </w:rPr>
            </w:pPr>
          </w:p>
        </w:tc>
        <w:tc>
          <w:tcPr>
            <w:tcW w:w="2567" w:type="dxa"/>
            <w:tcBorders>
              <w:top w:val="nil"/>
              <w:left w:val="nil"/>
              <w:bottom w:val="single" w:sz="4" w:space="0" w:color="auto"/>
              <w:right w:val="single" w:sz="4" w:space="0" w:color="auto"/>
            </w:tcBorders>
            <w:shd w:val="clear" w:color="auto" w:fill="FFFFFF" w:themeFill="background1"/>
            <w:noWrap/>
            <w:vAlign w:val="bottom"/>
            <w:hideMark/>
          </w:tcPr>
          <w:p w14:paraId="581AAC97" w14:textId="76938227" w:rsidR="00087CDF" w:rsidRPr="00C50854" w:rsidRDefault="00087CDF" w:rsidP="00056B43">
            <w:pPr>
              <w:suppressAutoHyphens w:val="0"/>
              <w:rPr>
                <w:color w:val="000000"/>
                <w:sz w:val="16"/>
                <w:szCs w:val="16"/>
                <w:lang w:eastAsia="et-EE"/>
              </w:rPr>
            </w:pPr>
            <w:r w:rsidRPr="00C50854">
              <w:rPr>
                <w:color w:val="000000"/>
                <w:sz w:val="16"/>
                <w:szCs w:val="16"/>
                <w:lang w:eastAsia="et-EE"/>
              </w:rPr>
              <w:t>20</w:t>
            </w:r>
            <w:r w:rsidR="002D283E" w:rsidRPr="00C50854">
              <w:rPr>
                <w:color w:val="000000"/>
                <w:sz w:val="16"/>
                <w:szCs w:val="16"/>
                <w:lang w:eastAsia="et-EE"/>
              </w:rPr>
              <w:t xml:space="preserve"> </w:t>
            </w:r>
            <w:r w:rsidRPr="00C50854">
              <w:rPr>
                <w:color w:val="000000"/>
                <w:sz w:val="16"/>
                <w:szCs w:val="16"/>
                <w:lang w:eastAsia="et-EE"/>
              </w:rPr>
              <w:t>GB</w:t>
            </w:r>
          </w:p>
        </w:tc>
        <w:tc>
          <w:tcPr>
            <w:tcW w:w="368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25BF4E6" w14:textId="77777777" w:rsidR="00087CDF" w:rsidRPr="00C50854" w:rsidRDefault="00087CDF" w:rsidP="00056B43">
            <w:pPr>
              <w:suppressAutoHyphens w:val="0"/>
              <w:rPr>
                <w:color w:val="000000"/>
                <w:sz w:val="16"/>
                <w:szCs w:val="16"/>
                <w:lang w:eastAsia="et-EE"/>
              </w:rPr>
            </w:pP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6CCEDF70"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23</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575EBB41"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1F1F0E56" w14:textId="77777777" w:rsidTr="009C0AC9">
        <w:trPr>
          <w:trHeight w:val="121"/>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5DD90308" w14:textId="77777777" w:rsidR="00087CDF" w:rsidRPr="00C50854" w:rsidRDefault="00087CDF" w:rsidP="00056B43">
            <w:pPr>
              <w:suppressAutoHyphens w:val="0"/>
              <w:rPr>
                <w:color w:val="000000"/>
                <w:sz w:val="16"/>
                <w:szCs w:val="16"/>
                <w:lang w:eastAsia="et-EE"/>
              </w:rPr>
            </w:pPr>
          </w:p>
        </w:tc>
        <w:tc>
          <w:tcPr>
            <w:tcW w:w="2567" w:type="dxa"/>
            <w:tcBorders>
              <w:top w:val="nil"/>
              <w:left w:val="nil"/>
              <w:bottom w:val="single" w:sz="4" w:space="0" w:color="auto"/>
              <w:right w:val="single" w:sz="4" w:space="0" w:color="auto"/>
            </w:tcBorders>
            <w:shd w:val="clear" w:color="auto" w:fill="FFFFFF" w:themeFill="background1"/>
            <w:noWrap/>
            <w:vAlign w:val="bottom"/>
            <w:hideMark/>
          </w:tcPr>
          <w:p w14:paraId="695633ED" w14:textId="13F509AE" w:rsidR="00087CDF" w:rsidRPr="00C50854" w:rsidRDefault="00087CDF" w:rsidP="00056B43">
            <w:pPr>
              <w:suppressAutoHyphens w:val="0"/>
              <w:rPr>
                <w:color w:val="000000"/>
                <w:sz w:val="16"/>
                <w:szCs w:val="16"/>
                <w:lang w:eastAsia="et-EE"/>
              </w:rPr>
            </w:pPr>
            <w:r w:rsidRPr="00C50854">
              <w:rPr>
                <w:color w:val="000000"/>
                <w:sz w:val="16"/>
                <w:szCs w:val="16"/>
                <w:lang w:eastAsia="et-EE"/>
              </w:rPr>
              <w:t>40</w:t>
            </w:r>
            <w:r w:rsidR="002D283E" w:rsidRPr="00C50854">
              <w:rPr>
                <w:color w:val="000000"/>
                <w:sz w:val="16"/>
                <w:szCs w:val="16"/>
                <w:lang w:eastAsia="et-EE"/>
              </w:rPr>
              <w:t xml:space="preserve"> </w:t>
            </w:r>
            <w:r w:rsidRPr="00C50854">
              <w:rPr>
                <w:color w:val="000000"/>
                <w:sz w:val="16"/>
                <w:szCs w:val="16"/>
                <w:lang w:eastAsia="et-EE"/>
              </w:rPr>
              <w:t>GB</w:t>
            </w:r>
          </w:p>
        </w:tc>
        <w:tc>
          <w:tcPr>
            <w:tcW w:w="368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130C20" w14:textId="77777777" w:rsidR="00087CDF" w:rsidRPr="00C50854" w:rsidRDefault="00087CDF" w:rsidP="00056B43">
            <w:pPr>
              <w:suppressAutoHyphens w:val="0"/>
              <w:rPr>
                <w:color w:val="000000"/>
                <w:sz w:val="16"/>
                <w:szCs w:val="16"/>
                <w:lang w:eastAsia="et-EE"/>
              </w:rPr>
            </w:pP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14C4F93A"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29</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6399D220" w14:textId="55EB0D18" w:rsidR="00087CDF" w:rsidRPr="00C50854" w:rsidRDefault="00AE1283" w:rsidP="00F97131">
            <w:pPr>
              <w:suppressAutoHyphens w:val="0"/>
              <w:jc w:val="right"/>
              <w:rPr>
                <w:color w:val="000000"/>
                <w:sz w:val="16"/>
                <w:szCs w:val="16"/>
                <w:lang w:eastAsia="et-EE"/>
              </w:rPr>
            </w:pPr>
            <w:r w:rsidRPr="00C50854">
              <w:rPr>
                <w:color w:val="000000"/>
                <w:sz w:val="16"/>
                <w:szCs w:val="16"/>
                <w:lang w:eastAsia="et-EE"/>
              </w:rPr>
              <w:t>32%</w:t>
            </w:r>
            <w:r w:rsidR="00087CDF" w:rsidRPr="00C50854">
              <w:rPr>
                <w:color w:val="000000"/>
                <w:sz w:val="16"/>
                <w:szCs w:val="16"/>
                <w:lang w:eastAsia="et-EE"/>
              </w:rPr>
              <w:t> </w:t>
            </w:r>
          </w:p>
        </w:tc>
      </w:tr>
      <w:tr w:rsidR="00087CDF" w:rsidRPr="00C50854" w14:paraId="2AA15AA8" w14:textId="77777777" w:rsidTr="009C0AC9">
        <w:trPr>
          <w:trHeight w:val="60"/>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0575C4A0" w14:textId="77777777" w:rsidR="00087CDF" w:rsidRPr="00C50854" w:rsidRDefault="00087CDF" w:rsidP="00056B43">
            <w:pPr>
              <w:suppressAutoHyphens w:val="0"/>
              <w:rPr>
                <w:color w:val="000000"/>
                <w:sz w:val="16"/>
                <w:szCs w:val="16"/>
                <w:lang w:eastAsia="et-EE"/>
              </w:rPr>
            </w:pPr>
          </w:p>
        </w:tc>
        <w:tc>
          <w:tcPr>
            <w:tcW w:w="2567" w:type="dxa"/>
            <w:tcBorders>
              <w:top w:val="nil"/>
              <w:left w:val="nil"/>
              <w:bottom w:val="single" w:sz="4" w:space="0" w:color="auto"/>
              <w:right w:val="single" w:sz="4" w:space="0" w:color="auto"/>
            </w:tcBorders>
            <w:shd w:val="clear" w:color="auto" w:fill="FFFFFF" w:themeFill="background1"/>
            <w:noWrap/>
            <w:vAlign w:val="bottom"/>
            <w:hideMark/>
          </w:tcPr>
          <w:p w14:paraId="1204D744" w14:textId="3A812743" w:rsidR="00087CDF" w:rsidRPr="00C50854" w:rsidRDefault="00087CDF" w:rsidP="00056B43">
            <w:pPr>
              <w:suppressAutoHyphens w:val="0"/>
              <w:rPr>
                <w:color w:val="000000"/>
                <w:sz w:val="16"/>
                <w:szCs w:val="16"/>
                <w:lang w:eastAsia="et-EE"/>
              </w:rPr>
            </w:pPr>
            <w:r w:rsidRPr="00C50854">
              <w:rPr>
                <w:color w:val="000000"/>
                <w:sz w:val="16"/>
                <w:szCs w:val="16"/>
                <w:lang w:eastAsia="et-EE"/>
              </w:rPr>
              <w:t>100</w:t>
            </w:r>
            <w:r w:rsidR="002D283E" w:rsidRPr="00C50854">
              <w:rPr>
                <w:color w:val="000000"/>
                <w:sz w:val="16"/>
                <w:szCs w:val="16"/>
                <w:lang w:eastAsia="et-EE"/>
              </w:rPr>
              <w:t xml:space="preserve"> </w:t>
            </w:r>
            <w:r w:rsidRPr="00C50854">
              <w:rPr>
                <w:color w:val="000000"/>
                <w:sz w:val="16"/>
                <w:szCs w:val="16"/>
                <w:lang w:eastAsia="et-EE"/>
              </w:rPr>
              <w:t>GB</w:t>
            </w:r>
          </w:p>
        </w:tc>
        <w:tc>
          <w:tcPr>
            <w:tcW w:w="368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C2F476" w14:textId="77777777" w:rsidR="00087CDF" w:rsidRPr="00C50854" w:rsidRDefault="00087CDF" w:rsidP="00056B43">
            <w:pPr>
              <w:suppressAutoHyphens w:val="0"/>
              <w:rPr>
                <w:color w:val="000000"/>
                <w:sz w:val="16"/>
                <w:szCs w:val="16"/>
                <w:lang w:eastAsia="et-EE"/>
              </w:rPr>
            </w:pP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78294BE0"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40</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6350B7A0"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40B48676" w14:textId="77777777" w:rsidTr="009C0AC9">
        <w:trPr>
          <w:trHeight w:val="247"/>
        </w:trPr>
        <w:tc>
          <w:tcPr>
            <w:tcW w:w="1392" w:type="dxa"/>
            <w:vMerge/>
            <w:tcBorders>
              <w:top w:val="single" w:sz="8" w:space="0" w:color="auto"/>
              <w:left w:val="single" w:sz="8" w:space="0" w:color="auto"/>
              <w:bottom w:val="single" w:sz="8" w:space="0" w:color="000000"/>
              <w:right w:val="single" w:sz="4" w:space="0" w:color="auto"/>
            </w:tcBorders>
            <w:vAlign w:val="center"/>
            <w:hideMark/>
          </w:tcPr>
          <w:p w14:paraId="0B1F973B" w14:textId="77777777" w:rsidR="00087CDF" w:rsidRPr="00C50854" w:rsidRDefault="00087CDF" w:rsidP="00056B43">
            <w:pPr>
              <w:suppressAutoHyphens w:val="0"/>
              <w:rPr>
                <w:color w:val="000000"/>
                <w:sz w:val="16"/>
                <w:szCs w:val="16"/>
                <w:lang w:eastAsia="et-EE"/>
              </w:rPr>
            </w:pPr>
          </w:p>
        </w:tc>
        <w:tc>
          <w:tcPr>
            <w:tcW w:w="2567" w:type="dxa"/>
            <w:tcBorders>
              <w:top w:val="nil"/>
              <w:left w:val="nil"/>
              <w:bottom w:val="single" w:sz="8" w:space="0" w:color="auto"/>
              <w:right w:val="single" w:sz="4" w:space="0" w:color="auto"/>
            </w:tcBorders>
            <w:shd w:val="clear" w:color="auto" w:fill="FFFFFF" w:themeFill="background1"/>
            <w:vAlign w:val="bottom"/>
            <w:hideMark/>
          </w:tcPr>
          <w:p w14:paraId="55F96EC0" w14:textId="28CF1157" w:rsidR="00087CDF" w:rsidRPr="00C50854" w:rsidRDefault="00087CDF" w:rsidP="00056B43">
            <w:pPr>
              <w:suppressAutoHyphens w:val="0"/>
              <w:rPr>
                <w:color w:val="000000"/>
                <w:sz w:val="16"/>
                <w:szCs w:val="16"/>
                <w:lang w:eastAsia="et-EE"/>
              </w:rPr>
            </w:pPr>
            <w:r w:rsidRPr="00C50854">
              <w:rPr>
                <w:color w:val="000000"/>
                <w:sz w:val="16"/>
                <w:szCs w:val="16"/>
                <w:lang w:eastAsia="et-EE"/>
              </w:rPr>
              <w:t>Koduinternet üle 4G; piiramatu</w:t>
            </w:r>
          </w:p>
        </w:tc>
        <w:tc>
          <w:tcPr>
            <w:tcW w:w="3686" w:type="dxa"/>
            <w:tcBorders>
              <w:top w:val="nil"/>
              <w:left w:val="nil"/>
              <w:bottom w:val="single" w:sz="8" w:space="0" w:color="auto"/>
              <w:right w:val="single" w:sz="4" w:space="0" w:color="auto"/>
            </w:tcBorders>
            <w:shd w:val="clear" w:color="auto" w:fill="FFFFFF" w:themeFill="background1"/>
            <w:noWrap/>
            <w:vAlign w:val="bottom"/>
            <w:hideMark/>
          </w:tcPr>
          <w:p w14:paraId="5D1A9E0E" w14:textId="77777777" w:rsidR="00087CDF" w:rsidRPr="00C50854" w:rsidRDefault="00087CDF" w:rsidP="00056B43">
            <w:pPr>
              <w:suppressAutoHyphens w:val="0"/>
              <w:rPr>
                <w:color w:val="000000"/>
                <w:sz w:val="16"/>
                <w:szCs w:val="16"/>
                <w:lang w:eastAsia="et-EE"/>
              </w:rPr>
            </w:pPr>
            <w:r w:rsidRPr="00C50854">
              <w:rPr>
                <w:color w:val="000000"/>
                <w:sz w:val="16"/>
                <w:szCs w:val="16"/>
                <w:lang w:eastAsia="et-EE"/>
              </w:rPr>
              <w:t>20 Mbit/s 5 Mbit/s</w:t>
            </w:r>
          </w:p>
        </w:tc>
        <w:tc>
          <w:tcPr>
            <w:tcW w:w="850" w:type="dxa"/>
            <w:tcBorders>
              <w:top w:val="nil"/>
              <w:left w:val="nil"/>
              <w:bottom w:val="single" w:sz="8" w:space="0" w:color="auto"/>
              <w:right w:val="single" w:sz="4" w:space="0" w:color="auto"/>
            </w:tcBorders>
            <w:shd w:val="clear" w:color="auto" w:fill="FFFFFF" w:themeFill="background1"/>
            <w:noWrap/>
            <w:vAlign w:val="bottom"/>
            <w:hideMark/>
          </w:tcPr>
          <w:p w14:paraId="612E64E9"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21</w:t>
            </w:r>
          </w:p>
        </w:tc>
        <w:tc>
          <w:tcPr>
            <w:tcW w:w="831" w:type="dxa"/>
            <w:tcBorders>
              <w:top w:val="nil"/>
              <w:left w:val="nil"/>
              <w:bottom w:val="single" w:sz="8" w:space="0" w:color="auto"/>
              <w:right w:val="single" w:sz="4" w:space="0" w:color="auto"/>
            </w:tcBorders>
            <w:shd w:val="clear" w:color="auto" w:fill="FFFFFF" w:themeFill="background1"/>
            <w:noWrap/>
            <w:vAlign w:val="bottom"/>
            <w:hideMark/>
          </w:tcPr>
          <w:p w14:paraId="4BE23914" w14:textId="7777777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0%</w:t>
            </w:r>
          </w:p>
        </w:tc>
      </w:tr>
      <w:tr w:rsidR="00087CDF" w:rsidRPr="00C50854" w14:paraId="7EAD4920" w14:textId="77777777" w:rsidTr="009C0AC9">
        <w:trPr>
          <w:trHeight w:val="121"/>
        </w:trPr>
        <w:tc>
          <w:tcPr>
            <w:tcW w:w="1392"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89740AB" w14:textId="77777777" w:rsidR="00087CDF" w:rsidRPr="00C50854" w:rsidRDefault="00087CDF" w:rsidP="00056B43">
            <w:pPr>
              <w:suppressAutoHyphens w:val="0"/>
              <w:jc w:val="center"/>
              <w:rPr>
                <w:color w:val="000000"/>
                <w:sz w:val="20"/>
                <w:szCs w:val="20"/>
                <w:lang w:eastAsia="et-EE"/>
              </w:rPr>
            </w:pPr>
            <w:r w:rsidRPr="00C50854">
              <w:rPr>
                <w:color w:val="000000"/>
                <w:sz w:val="20"/>
                <w:szCs w:val="20"/>
                <w:lang w:eastAsia="et-EE"/>
              </w:rPr>
              <w:t>Elisa</w:t>
            </w:r>
          </w:p>
        </w:tc>
        <w:tc>
          <w:tcPr>
            <w:tcW w:w="2567" w:type="dxa"/>
            <w:tcBorders>
              <w:top w:val="nil"/>
              <w:left w:val="nil"/>
              <w:bottom w:val="single" w:sz="4" w:space="0" w:color="auto"/>
              <w:right w:val="single" w:sz="4" w:space="0" w:color="auto"/>
            </w:tcBorders>
            <w:shd w:val="clear" w:color="auto" w:fill="FFFFFF" w:themeFill="background1"/>
            <w:noWrap/>
            <w:vAlign w:val="bottom"/>
            <w:hideMark/>
          </w:tcPr>
          <w:p w14:paraId="0D98DE3B" w14:textId="638704E4" w:rsidR="00087CDF" w:rsidRPr="00C50854" w:rsidRDefault="00087CDF" w:rsidP="00056B43">
            <w:pPr>
              <w:suppressAutoHyphens w:val="0"/>
              <w:rPr>
                <w:color w:val="000000"/>
                <w:sz w:val="16"/>
                <w:szCs w:val="16"/>
                <w:lang w:eastAsia="et-EE"/>
              </w:rPr>
            </w:pPr>
            <w:r w:rsidRPr="00C50854">
              <w:rPr>
                <w:color w:val="000000"/>
                <w:sz w:val="16"/>
                <w:szCs w:val="16"/>
                <w:lang w:eastAsia="et-EE"/>
              </w:rPr>
              <w:t>Algaja 0.5 GB</w:t>
            </w:r>
          </w:p>
        </w:tc>
        <w:tc>
          <w:tcPr>
            <w:tcW w:w="3686" w:type="dxa"/>
            <w:tcBorders>
              <w:top w:val="nil"/>
              <w:left w:val="nil"/>
              <w:bottom w:val="single" w:sz="4" w:space="0" w:color="auto"/>
              <w:right w:val="single" w:sz="4" w:space="0" w:color="auto"/>
            </w:tcBorders>
            <w:shd w:val="clear" w:color="auto" w:fill="FFFFFF" w:themeFill="background1"/>
            <w:noWrap/>
            <w:vAlign w:val="bottom"/>
            <w:hideMark/>
          </w:tcPr>
          <w:p w14:paraId="3C922572" w14:textId="46D9F1FF" w:rsidR="00087CDF" w:rsidRPr="00C50854" w:rsidRDefault="00087CDF" w:rsidP="00056B43">
            <w:pPr>
              <w:suppressAutoHyphens w:val="0"/>
              <w:rPr>
                <w:color w:val="000000"/>
                <w:sz w:val="16"/>
                <w:szCs w:val="16"/>
                <w:lang w:eastAsia="et-EE"/>
              </w:rPr>
            </w:pPr>
            <w:r w:rsidRPr="00C50854">
              <w:rPr>
                <w:color w:val="000000"/>
                <w:sz w:val="16"/>
                <w:szCs w:val="16"/>
                <w:lang w:eastAsia="et-EE"/>
              </w:rPr>
              <w:t>2 Mbit/s 1 Mbit/s</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4DB3601A" w14:textId="695ED43F"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5</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757AAF8A" w14:textId="2F7A561A"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758447C3" w14:textId="77777777" w:rsidTr="009C0AC9">
        <w:trPr>
          <w:trHeight w:val="121"/>
        </w:trPr>
        <w:tc>
          <w:tcPr>
            <w:tcW w:w="1392" w:type="dxa"/>
            <w:vMerge/>
            <w:tcBorders>
              <w:top w:val="nil"/>
              <w:left w:val="single" w:sz="8" w:space="0" w:color="auto"/>
              <w:bottom w:val="single" w:sz="8" w:space="0" w:color="000000"/>
              <w:right w:val="single" w:sz="4" w:space="0" w:color="auto"/>
            </w:tcBorders>
            <w:vAlign w:val="center"/>
            <w:hideMark/>
          </w:tcPr>
          <w:p w14:paraId="58DB448A" w14:textId="77777777" w:rsidR="00087CDF" w:rsidRPr="00C50854" w:rsidRDefault="00087CDF" w:rsidP="00056B43">
            <w:pPr>
              <w:suppressAutoHyphens w:val="0"/>
              <w:rPr>
                <w:color w:val="000000"/>
                <w:sz w:val="16"/>
                <w:szCs w:val="16"/>
                <w:lang w:eastAsia="et-EE"/>
              </w:rPr>
            </w:pPr>
          </w:p>
        </w:tc>
        <w:tc>
          <w:tcPr>
            <w:tcW w:w="2567" w:type="dxa"/>
            <w:tcBorders>
              <w:top w:val="nil"/>
              <w:left w:val="nil"/>
              <w:bottom w:val="single" w:sz="4" w:space="0" w:color="auto"/>
              <w:right w:val="single" w:sz="4" w:space="0" w:color="auto"/>
            </w:tcBorders>
            <w:shd w:val="clear" w:color="auto" w:fill="FFFFFF" w:themeFill="background1"/>
            <w:noWrap/>
            <w:vAlign w:val="bottom"/>
            <w:hideMark/>
          </w:tcPr>
          <w:p w14:paraId="6EE13BF8" w14:textId="2A4FE207" w:rsidR="00087CDF" w:rsidRPr="00C50854" w:rsidRDefault="00087CDF" w:rsidP="00056B43">
            <w:pPr>
              <w:suppressAutoHyphens w:val="0"/>
              <w:rPr>
                <w:color w:val="000000"/>
                <w:sz w:val="16"/>
                <w:szCs w:val="16"/>
                <w:lang w:eastAsia="et-EE"/>
              </w:rPr>
            </w:pPr>
            <w:r w:rsidRPr="00C50854">
              <w:rPr>
                <w:color w:val="000000"/>
                <w:sz w:val="16"/>
                <w:szCs w:val="16"/>
                <w:lang w:eastAsia="et-EE"/>
              </w:rPr>
              <w:t>Uudistaja 5 GB</w:t>
            </w:r>
          </w:p>
        </w:tc>
        <w:tc>
          <w:tcPr>
            <w:tcW w:w="3686" w:type="dxa"/>
            <w:tcBorders>
              <w:top w:val="nil"/>
              <w:left w:val="nil"/>
              <w:bottom w:val="single" w:sz="4" w:space="0" w:color="auto"/>
              <w:right w:val="single" w:sz="4" w:space="0" w:color="auto"/>
            </w:tcBorders>
            <w:shd w:val="clear" w:color="auto" w:fill="FFFFFF" w:themeFill="background1"/>
            <w:noWrap/>
            <w:vAlign w:val="bottom"/>
            <w:hideMark/>
          </w:tcPr>
          <w:p w14:paraId="51C69121" w14:textId="4D32770E" w:rsidR="00087CDF" w:rsidRPr="00C50854" w:rsidRDefault="00087CDF" w:rsidP="00056B43">
            <w:pPr>
              <w:suppressAutoHyphens w:val="0"/>
              <w:rPr>
                <w:color w:val="000000"/>
                <w:sz w:val="16"/>
                <w:szCs w:val="16"/>
                <w:lang w:eastAsia="et-EE"/>
              </w:rPr>
            </w:pPr>
            <w:r w:rsidRPr="00C50854">
              <w:rPr>
                <w:color w:val="000000"/>
                <w:sz w:val="16"/>
                <w:szCs w:val="16"/>
                <w:lang w:eastAsia="et-EE"/>
              </w:rPr>
              <w:t>5 Mbit/s 2 Mbit/s</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49BA7887" w14:textId="50D939B0"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10</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11AEAF35" w14:textId="2E435A48"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71D05AC3" w14:textId="77777777" w:rsidTr="009C0AC9">
        <w:trPr>
          <w:trHeight w:val="121"/>
        </w:trPr>
        <w:tc>
          <w:tcPr>
            <w:tcW w:w="1392" w:type="dxa"/>
            <w:vMerge/>
            <w:tcBorders>
              <w:top w:val="nil"/>
              <w:left w:val="single" w:sz="8" w:space="0" w:color="auto"/>
              <w:bottom w:val="single" w:sz="8" w:space="0" w:color="000000"/>
              <w:right w:val="single" w:sz="4" w:space="0" w:color="auto"/>
            </w:tcBorders>
            <w:vAlign w:val="center"/>
            <w:hideMark/>
          </w:tcPr>
          <w:p w14:paraId="6EC1F6ED" w14:textId="77777777" w:rsidR="00087CDF" w:rsidRPr="00C50854" w:rsidRDefault="00087CDF" w:rsidP="00056B43">
            <w:pPr>
              <w:suppressAutoHyphens w:val="0"/>
              <w:rPr>
                <w:color w:val="000000"/>
                <w:sz w:val="16"/>
                <w:szCs w:val="16"/>
                <w:lang w:eastAsia="et-EE"/>
              </w:rPr>
            </w:pPr>
          </w:p>
        </w:tc>
        <w:tc>
          <w:tcPr>
            <w:tcW w:w="2567" w:type="dxa"/>
            <w:tcBorders>
              <w:top w:val="nil"/>
              <w:left w:val="nil"/>
              <w:bottom w:val="single" w:sz="4" w:space="0" w:color="auto"/>
              <w:right w:val="single" w:sz="4" w:space="0" w:color="auto"/>
            </w:tcBorders>
            <w:shd w:val="clear" w:color="auto" w:fill="FFFFFF" w:themeFill="background1"/>
            <w:noWrap/>
            <w:vAlign w:val="bottom"/>
            <w:hideMark/>
          </w:tcPr>
          <w:p w14:paraId="222AE24D" w14:textId="25691F2B" w:rsidR="00087CDF" w:rsidRPr="00C50854" w:rsidRDefault="00087CDF" w:rsidP="00056B43">
            <w:pPr>
              <w:suppressAutoHyphens w:val="0"/>
              <w:rPr>
                <w:color w:val="000000"/>
                <w:sz w:val="16"/>
                <w:szCs w:val="16"/>
                <w:lang w:eastAsia="et-EE"/>
              </w:rPr>
            </w:pPr>
            <w:r w:rsidRPr="00C50854">
              <w:rPr>
                <w:color w:val="000000"/>
                <w:sz w:val="16"/>
                <w:szCs w:val="16"/>
                <w:lang w:eastAsia="et-EE"/>
              </w:rPr>
              <w:t>Suhtleja piiramatu</w:t>
            </w:r>
          </w:p>
        </w:tc>
        <w:tc>
          <w:tcPr>
            <w:tcW w:w="3686" w:type="dxa"/>
            <w:tcBorders>
              <w:top w:val="nil"/>
              <w:left w:val="nil"/>
              <w:bottom w:val="single" w:sz="4" w:space="0" w:color="auto"/>
              <w:right w:val="single" w:sz="4" w:space="0" w:color="auto"/>
            </w:tcBorders>
            <w:shd w:val="clear" w:color="auto" w:fill="FFFFFF" w:themeFill="background1"/>
            <w:noWrap/>
            <w:vAlign w:val="bottom"/>
            <w:hideMark/>
          </w:tcPr>
          <w:p w14:paraId="623875B8" w14:textId="65C12F50" w:rsidR="00087CDF" w:rsidRPr="00C50854" w:rsidRDefault="00087CDF" w:rsidP="00056B43">
            <w:pPr>
              <w:suppressAutoHyphens w:val="0"/>
              <w:rPr>
                <w:color w:val="000000"/>
                <w:sz w:val="16"/>
                <w:szCs w:val="16"/>
                <w:lang w:eastAsia="et-EE"/>
              </w:rPr>
            </w:pPr>
            <w:r w:rsidRPr="00C50854">
              <w:rPr>
                <w:color w:val="000000"/>
                <w:sz w:val="16"/>
                <w:szCs w:val="16"/>
                <w:lang w:eastAsia="et-EE"/>
              </w:rPr>
              <w:t>50 Mbit/s 20 Mbit/s</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2B08F434" w14:textId="3931AAE4"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23</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118D38FF" w14:textId="5DEEC451"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5%</w:t>
            </w:r>
          </w:p>
        </w:tc>
      </w:tr>
      <w:tr w:rsidR="00087CDF" w:rsidRPr="00C50854" w14:paraId="283DD744" w14:textId="77777777" w:rsidTr="009C0AC9">
        <w:trPr>
          <w:trHeight w:val="121"/>
        </w:trPr>
        <w:tc>
          <w:tcPr>
            <w:tcW w:w="1392" w:type="dxa"/>
            <w:vMerge/>
            <w:tcBorders>
              <w:top w:val="nil"/>
              <w:left w:val="single" w:sz="8" w:space="0" w:color="auto"/>
              <w:bottom w:val="single" w:sz="8" w:space="0" w:color="000000"/>
              <w:right w:val="single" w:sz="4" w:space="0" w:color="auto"/>
            </w:tcBorders>
            <w:vAlign w:val="center"/>
            <w:hideMark/>
          </w:tcPr>
          <w:p w14:paraId="6136D9A8" w14:textId="77777777" w:rsidR="00087CDF" w:rsidRPr="00C50854" w:rsidRDefault="00087CDF" w:rsidP="00056B43">
            <w:pPr>
              <w:suppressAutoHyphens w:val="0"/>
              <w:rPr>
                <w:color w:val="000000"/>
                <w:sz w:val="16"/>
                <w:szCs w:val="16"/>
                <w:lang w:eastAsia="et-EE"/>
              </w:rPr>
            </w:pPr>
          </w:p>
        </w:tc>
        <w:tc>
          <w:tcPr>
            <w:tcW w:w="2567" w:type="dxa"/>
            <w:tcBorders>
              <w:top w:val="nil"/>
              <w:left w:val="nil"/>
              <w:bottom w:val="single" w:sz="4" w:space="0" w:color="auto"/>
              <w:right w:val="single" w:sz="4" w:space="0" w:color="auto"/>
            </w:tcBorders>
            <w:shd w:val="clear" w:color="auto" w:fill="FFFFFF" w:themeFill="background1"/>
            <w:noWrap/>
            <w:vAlign w:val="bottom"/>
            <w:hideMark/>
          </w:tcPr>
          <w:p w14:paraId="1048F4C0" w14:textId="7031BDD7" w:rsidR="00087CDF" w:rsidRPr="00C50854" w:rsidRDefault="00087CDF" w:rsidP="00056B43">
            <w:pPr>
              <w:suppressAutoHyphens w:val="0"/>
              <w:rPr>
                <w:color w:val="000000"/>
                <w:sz w:val="16"/>
                <w:szCs w:val="16"/>
                <w:lang w:eastAsia="et-EE"/>
              </w:rPr>
            </w:pPr>
            <w:r w:rsidRPr="00C50854">
              <w:rPr>
                <w:color w:val="000000"/>
                <w:sz w:val="16"/>
                <w:szCs w:val="16"/>
                <w:lang w:eastAsia="et-EE"/>
              </w:rPr>
              <w:t>Rändaja piiramatu</w:t>
            </w:r>
          </w:p>
        </w:tc>
        <w:tc>
          <w:tcPr>
            <w:tcW w:w="3686" w:type="dxa"/>
            <w:tcBorders>
              <w:top w:val="nil"/>
              <w:left w:val="nil"/>
              <w:bottom w:val="single" w:sz="4" w:space="0" w:color="auto"/>
              <w:right w:val="single" w:sz="4" w:space="0" w:color="auto"/>
            </w:tcBorders>
            <w:shd w:val="clear" w:color="auto" w:fill="FFFFFF" w:themeFill="background1"/>
            <w:noWrap/>
            <w:vAlign w:val="bottom"/>
            <w:hideMark/>
          </w:tcPr>
          <w:p w14:paraId="59E220BF" w14:textId="02894F98" w:rsidR="00087CDF" w:rsidRPr="00C50854" w:rsidRDefault="00087CDF" w:rsidP="00056B43">
            <w:pPr>
              <w:suppressAutoHyphens w:val="0"/>
              <w:rPr>
                <w:color w:val="000000"/>
                <w:sz w:val="16"/>
                <w:szCs w:val="16"/>
                <w:lang w:eastAsia="et-EE"/>
              </w:rPr>
            </w:pPr>
            <w:r w:rsidRPr="00C50854">
              <w:rPr>
                <w:color w:val="000000"/>
                <w:sz w:val="16"/>
                <w:szCs w:val="16"/>
                <w:lang w:eastAsia="et-EE"/>
              </w:rPr>
              <w:t>piiramatu</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530F25AA" w14:textId="06439A21"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39</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0724C247" w14:textId="4B9461D4"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18%</w:t>
            </w:r>
          </w:p>
        </w:tc>
      </w:tr>
      <w:tr w:rsidR="00087CDF" w:rsidRPr="00C50854" w14:paraId="7F399456" w14:textId="77777777" w:rsidTr="009C0AC9">
        <w:trPr>
          <w:trHeight w:val="121"/>
        </w:trPr>
        <w:tc>
          <w:tcPr>
            <w:tcW w:w="1392" w:type="dxa"/>
            <w:vMerge/>
            <w:tcBorders>
              <w:top w:val="nil"/>
              <w:left w:val="single" w:sz="8" w:space="0" w:color="auto"/>
              <w:bottom w:val="single" w:sz="8" w:space="0" w:color="000000"/>
              <w:right w:val="single" w:sz="4" w:space="0" w:color="auto"/>
            </w:tcBorders>
            <w:vAlign w:val="center"/>
            <w:hideMark/>
          </w:tcPr>
          <w:p w14:paraId="67780B64" w14:textId="77777777" w:rsidR="00087CDF" w:rsidRPr="00C50854" w:rsidRDefault="00087CDF" w:rsidP="00056B43">
            <w:pPr>
              <w:suppressAutoHyphens w:val="0"/>
              <w:rPr>
                <w:color w:val="000000"/>
                <w:sz w:val="16"/>
                <w:szCs w:val="16"/>
                <w:lang w:eastAsia="et-EE"/>
              </w:rPr>
            </w:pPr>
          </w:p>
        </w:tc>
        <w:tc>
          <w:tcPr>
            <w:tcW w:w="2567" w:type="dxa"/>
            <w:tcBorders>
              <w:top w:val="nil"/>
              <w:left w:val="nil"/>
              <w:bottom w:val="single" w:sz="8" w:space="0" w:color="auto"/>
              <w:right w:val="single" w:sz="4" w:space="0" w:color="auto"/>
            </w:tcBorders>
            <w:shd w:val="clear" w:color="auto" w:fill="FFFFFF" w:themeFill="background1"/>
            <w:noWrap/>
            <w:vAlign w:val="bottom"/>
            <w:hideMark/>
          </w:tcPr>
          <w:p w14:paraId="0359E44F" w14:textId="5DF3DB35" w:rsidR="00087CDF" w:rsidRPr="00C50854" w:rsidRDefault="00087CDF" w:rsidP="00056B43">
            <w:pPr>
              <w:suppressAutoHyphens w:val="0"/>
              <w:rPr>
                <w:color w:val="000000"/>
                <w:sz w:val="16"/>
                <w:szCs w:val="16"/>
                <w:lang w:eastAsia="et-EE"/>
              </w:rPr>
            </w:pPr>
            <w:r w:rsidRPr="00C50854">
              <w:rPr>
                <w:color w:val="000000"/>
                <w:sz w:val="16"/>
                <w:szCs w:val="16"/>
                <w:lang w:eastAsia="et-EE"/>
              </w:rPr>
              <w:t>Praktiline koduinternet</w:t>
            </w:r>
          </w:p>
        </w:tc>
        <w:tc>
          <w:tcPr>
            <w:tcW w:w="3686" w:type="dxa"/>
            <w:tcBorders>
              <w:top w:val="nil"/>
              <w:left w:val="nil"/>
              <w:bottom w:val="single" w:sz="8" w:space="0" w:color="auto"/>
              <w:right w:val="single" w:sz="4" w:space="0" w:color="auto"/>
            </w:tcBorders>
            <w:shd w:val="clear" w:color="auto" w:fill="FFFFFF" w:themeFill="background1"/>
            <w:noWrap/>
            <w:vAlign w:val="bottom"/>
            <w:hideMark/>
          </w:tcPr>
          <w:p w14:paraId="2A984A2C" w14:textId="3EE262F8" w:rsidR="00087CDF" w:rsidRPr="00C50854" w:rsidRDefault="00087CDF" w:rsidP="00056B43">
            <w:pPr>
              <w:suppressAutoHyphens w:val="0"/>
              <w:rPr>
                <w:color w:val="000000"/>
                <w:sz w:val="16"/>
                <w:szCs w:val="16"/>
                <w:lang w:eastAsia="et-EE"/>
              </w:rPr>
            </w:pPr>
            <w:r w:rsidRPr="00C50854">
              <w:rPr>
                <w:color w:val="000000"/>
                <w:sz w:val="16"/>
                <w:szCs w:val="16"/>
                <w:lang w:eastAsia="et-EE"/>
              </w:rPr>
              <w:t>50 Mbit/s 20 Mbit/s</w:t>
            </w:r>
          </w:p>
        </w:tc>
        <w:tc>
          <w:tcPr>
            <w:tcW w:w="850" w:type="dxa"/>
            <w:tcBorders>
              <w:top w:val="nil"/>
              <w:left w:val="nil"/>
              <w:bottom w:val="single" w:sz="8" w:space="0" w:color="auto"/>
              <w:right w:val="single" w:sz="4" w:space="0" w:color="auto"/>
            </w:tcBorders>
            <w:shd w:val="clear" w:color="auto" w:fill="FFFFFF" w:themeFill="background1"/>
            <w:noWrap/>
            <w:vAlign w:val="bottom"/>
            <w:hideMark/>
          </w:tcPr>
          <w:p w14:paraId="2F62388D" w14:textId="0A9B97D8"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23</w:t>
            </w:r>
          </w:p>
        </w:tc>
        <w:tc>
          <w:tcPr>
            <w:tcW w:w="831" w:type="dxa"/>
            <w:tcBorders>
              <w:top w:val="nil"/>
              <w:left w:val="nil"/>
              <w:bottom w:val="single" w:sz="8" w:space="0" w:color="auto"/>
              <w:right w:val="single" w:sz="8" w:space="0" w:color="auto"/>
            </w:tcBorders>
            <w:shd w:val="clear" w:color="auto" w:fill="FFFFFF" w:themeFill="background1"/>
            <w:noWrap/>
            <w:vAlign w:val="bottom"/>
            <w:hideMark/>
          </w:tcPr>
          <w:p w14:paraId="66204666" w14:textId="04C6A818"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5%</w:t>
            </w:r>
          </w:p>
        </w:tc>
      </w:tr>
      <w:tr w:rsidR="00087CDF" w:rsidRPr="00C50854" w14:paraId="0467CD24" w14:textId="77777777" w:rsidTr="009C0AC9">
        <w:trPr>
          <w:trHeight w:val="121"/>
        </w:trPr>
        <w:tc>
          <w:tcPr>
            <w:tcW w:w="1392"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9B0CDA8" w14:textId="77777777" w:rsidR="00087CDF" w:rsidRPr="00C50854" w:rsidRDefault="00087CDF" w:rsidP="00056B43">
            <w:pPr>
              <w:suppressAutoHyphens w:val="0"/>
              <w:jc w:val="center"/>
              <w:rPr>
                <w:color w:val="000000"/>
                <w:sz w:val="20"/>
                <w:szCs w:val="20"/>
                <w:lang w:eastAsia="et-EE"/>
              </w:rPr>
            </w:pPr>
            <w:r w:rsidRPr="00C50854">
              <w:rPr>
                <w:color w:val="000000"/>
                <w:sz w:val="20"/>
                <w:szCs w:val="20"/>
                <w:lang w:eastAsia="et-EE"/>
              </w:rPr>
              <w:t>Tele2</w:t>
            </w:r>
          </w:p>
        </w:tc>
        <w:tc>
          <w:tcPr>
            <w:tcW w:w="2567" w:type="dxa"/>
            <w:tcBorders>
              <w:top w:val="nil"/>
              <w:left w:val="nil"/>
              <w:bottom w:val="single" w:sz="4" w:space="0" w:color="auto"/>
              <w:right w:val="single" w:sz="4" w:space="0" w:color="auto"/>
            </w:tcBorders>
            <w:shd w:val="clear" w:color="auto" w:fill="FFFFFF" w:themeFill="background1"/>
            <w:noWrap/>
            <w:vAlign w:val="bottom"/>
            <w:hideMark/>
          </w:tcPr>
          <w:p w14:paraId="7ECE6724" w14:textId="74BBFA7D" w:rsidR="00087CDF" w:rsidRPr="00C50854" w:rsidRDefault="00087CDF" w:rsidP="00056B43">
            <w:pPr>
              <w:suppressAutoHyphens w:val="0"/>
              <w:rPr>
                <w:color w:val="000000"/>
                <w:sz w:val="16"/>
                <w:szCs w:val="16"/>
                <w:lang w:eastAsia="et-EE"/>
              </w:rPr>
            </w:pPr>
            <w:r w:rsidRPr="00C50854">
              <w:rPr>
                <w:color w:val="000000"/>
                <w:sz w:val="16"/>
                <w:szCs w:val="16"/>
                <w:lang w:eastAsia="et-EE"/>
              </w:rPr>
              <w:t>Netivabadus 5 5 GB</w:t>
            </w:r>
          </w:p>
        </w:tc>
        <w:tc>
          <w:tcPr>
            <w:tcW w:w="3686" w:type="dxa"/>
            <w:tcBorders>
              <w:top w:val="nil"/>
              <w:left w:val="nil"/>
              <w:bottom w:val="single" w:sz="4" w:space="0" w:color="auto"/>
              <w:right w:val="single" w:sz="4" w:space="0" w:color="auto"/>
            </w:tcBorders>
            <w:shd w:val="clear" w:color="auto" w:fill="FFFFFF" w:themeFill="background1"/>
            <w:noWrap/>
            <w:vAlign w:val="bottom"/>
            <w:hideMark/>
          </w:tcPr>
          <w:p w14:paraId="4F57CA5C" w14:textId="1FA23CDA" w:rsidR="00087CDF" w:rsidRPr="00C50854" w:rsidRDefault="00087CDF" w:rsidP="00056B43">
            <w:pPr>
              <w:suppressAutoHyphens w:val="0"/>
              <w:rPr>
                <w:color w:val="000000"/>
                <w:sz w:val="16"/>
                <w:szCs w:val="16"/>
                <w:lang w:eastAsia="et-EE"/>
              </w:rPr>
            </w:pPr>
            <w:r w:rsidRPr="00C50854">
              <w:rPr>
                <w:color w:val="000000"/>
                <w:sz w:val="16"/>
                <w:szCs w:val="16"/>
                <w:lang w:eastAsia="et-EE"/>
              </w:rPr>
              <w:t>piiramatu (keskmine 66,9 Mbit/s 25,4 Mbit/s)</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75FB160B" w14:textId="1A08DA3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6</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3C89900B" w14:textId="3002D30B"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26172E96" w14:textId="77777777" w:rsidTr="009C0AC9">
        <w:trPr>
          <w:trHeight w:val="121"/>
        </w:trPr>
        <w:tc>
          <w:tcPr>
            <w:tcW w:w="1392" w:type="dxa"/>
            <w:vMerge/>
            <w:tcBorders>
              <w:top w:val="nil"/>
              <w:left w:val="single" w:sz="8" w:space="0" w:color="auto"/>
              <w:bottom w:val="single" w:sz="8" w:space="0" w:color="000000"/>
              <w:right w:val="single" w:sz="4" w:space="0" w:color="auto"/>
            </w:tcBorders>
            <w:vAlign w:val="center"/>
            <w:hideMark/>
          </w:tcPr>
          <w:p w14:paraId="1D359B12" w14:textId="77777777" w:rsidR="00087CDF" w:rsidRPr="00C50854" w:rsidRDefault="00087CDF" w:rsidP="00056B43">
            <w:pPr>
              <w:suppressAutoHyphens w:val="0"/>
              <w:rPr>
                <w:color w:val="000000"/>
                <w:sz w:val="16"/>
                <w:szCs w:val="16"/>
                <w:lang w:eastAsia="et-EE"/>
              </w:rPr>
            </w:pPr>
          </w:p>
        </w:tc>
        <w:tc>
          <w:tcPr>
            <w:tcW w:w="2567" w:type="dxa"/>
            <w:tcBorders>
              <w:top w:val="nil"/>
              <w:left w:val="nil"/>
              <w:bottom w:val="single" w:sz="4" w:space="0" w:color="auto"/>
              <w:right w:val="single" w:sz="4" w:space="0" w:color="auto"/>
            </w:tcBorders>
            <w:shd w:val="clear" w:color="auto" w:fill="FFFFFF" w:themeFill="background1"/>
            <w:noWrap/>
            <w:vAlign w:val="bottom"/>
            <w:hideMark/>
          </w:tcPr>
          <w:p w14:paraId="2C8AD5D6" w14:textId="4B0D5421" w:rsidR="00087CDF" w:rsidRPr="00C50854" w:rsidRDefault="00087CDF" w:rsidP="00056B43">
            <w:pPr>
              <w:suppressAutoHyphens w:val="0"/>
              <w:rPr>
                <w:color w:val="000000"/>
                <w:sz w:val="16"/>
                <w:szCs w:val="16"/>
                <w:lang w:eastAsia="et-EE"/>
              </w:rPr>
            </w:pPr>
            <w:r w:rsidRPr="00C50854">
              <w:rPr>
                <w:color w:val="000000"/>
                <w:sz w:val="16"/>
                <w:szCs w:val="16"/>
                <w:lang w:eastAsia="et-EE"/>
              </w:rPr>
              <w:t>Netivabadus 30 30 GB</w:t>
            </w:r>
          </w:p>
        </w:tc>
        <w:tc>
          <w:tcPr>
            <w:tcW w:w="3686" w:type="dxa"/>
            <w:tcBorders>
              <w:top w:val="nil"/>
              <w:left w:val="nil"/>
              <w:bottom w:val="single" w:sz="4" w:space="0" w:color="auto"/>
              <w:right w:val="single" w:sz="4" w:space="0" w:color="auto"/>
            </w:tcBorders>
            <w:shd w:val="clear" w:color="auto" w:fill="FFFFFF" w:themeFill="background1"/>
            <w:noWrap/>
            <w:vAlign w:val="bottom"/>
            <w:hideMark/>
          </w:tcPr>
          <w:p w14:paraId="653A337A" w14:textId="06AA7965" w:rsidR="00087CDF" w:rsidRPr="00C50854" w:rsidRDefault="00087CDF" w:rsidP="00056B43">
            <w:pPr>
              <w:suppressAutoHyphens w:val="0"/>
              <w:rPr>
                <w:color w:val="000000"/>
                <w:sz w:val="16"/>
                <w:szCs w:val="16"/>
                <w:lang w:eastAsia="et-EE"/>
              </w:rPr>
            </w:pPr>
            <w:r w:rsidRPr="00C50854">
              <w:rPr>
                <w:color w:val="000000"/>
                <w:sz w:val="16"/>
                <w:szCs w:val="16"/>
                <w:lang w:eastAsia="et-EE"/>
              </w:rPr>
              <w:t>piiramatu</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04D5CD21" w14:textId="76BCE449"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11</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192B1D7E" w14:textId="4B7F7A8E"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 </w:t>
            </w:r>
          </w:p>
        </w:tc>
      </w:tr>
      <w:tr w:rsidR="00087CDF" w:rsidRPr="00C50854" w14:paraId="33949E2B" w14:textId="77777777" w:rsidTr="009C0AC9">
        <w:trPr>
          <w:trHeight w:val="121"/>
        </w:trPr>
        <w:tc>
          <w:tcPr>
            <w:tcW w:w="1392" w:type="dxa"/>
            <w:vMerge/>
            <w:tcBorders>
              <w:top w:val="nil"/>
              <w:left w:val="single" w:sz="8" w:space="0" w:color="auto"/>
              <w:bottom w:val="single" w:sz="8" w:space="0" w:color="000000"/>
              <w:right w:val="single" w:sz="4" w:space="0" w:color="auto"/>
            </w:tcBorders>
            <w:vAlign w:val="center"/>
            <w:hideMark/>
          </w:tcPr>
          <w:p w14:paraId="6262F2BA" w14:textId="77777777" w:rsidR="00087CDF" w:rsidRPr="00C50854" w:rsidRDefault="00087CDF" w:rsidP="00056B43">
            <w:pPr>
              <w:suppressAutoHyphens w:val="0"/>
              <w:rPr>
                <w:color w:val="000000"/>
                <w:sz w:val="16"/>
                <w:szCs w:val="16"/>
                <w:lang w:eastAsia="et-EE"/>
              </w:rPr>
            </w:pPr>
          </w:p>
        </w:tc>
        <w:tc>
          <w:tcPr>
            <w:tcW w:w="2567" w:type="dxa"/>
            <w:tcBorders>
              <w:top w:val="nil"/>
              <w:left w:val="nil"/>
              <w:bottom w:val="single" w:sz="4" w:space="0" w:color="auto"/>
              <w:right w:val="single" w:sz="4" w:space="0" w:color="auto"/>
            </w:tcBorders>
            <w:shd w:val="clear" w:color="auto" w:fill="FFFFFF" w:themeFill="background1"/>
            <w:noWrap/>
            <w:vAlign w:val="bottom"/>
            <w:hideMark/>
          </w:tcPr>
          <w:p w14:paraId="0906B94B" w14:textId="748BABFF" w:rsidR="00087CDF" w:rsidRPr="00C50854" w:rsidRDefault="00087CDF" w:rsidP="00056B43">
            <w:pPr>
              <w:suppressAutoHyphens w:val="0"/>
              <w:rPr>
                <w:color w:val="000000"/>
                <w:sz w:val="16"/>
                <w:szCs w:val="16"/>
                <w:lang w:eastAsia="et-EE"/>
              </w:rPr>
            </w:pPr>
            <w:r w:rsidRPr="00C50854">
              <w:rPr>
                <w:color w:val="000000"/>
                <w:sz w:val="16"/>
                <w:szCs w:val="16"/>
                <w:lang w:eastAsia="et-EE"/>
              </w:rPr>
              <w:t>Netivabadus reisijale 40 GB</w:t>
            </w:r>
          </w:p>
        </w:tc>
        <w:tc>
          <w:tcPr>
            <w:tcW w:w="3686" w:type="dxa"/>
            <w:tcBorders>
              <w:top w:val="nil"/>
              <w:left w:val="nil"/>
              <w:bottom w:val="single" w:sz="4" w:space="0" w:color="auto"/>
              <w:right w:val="single" w:sz="4" w:space="0" w:color="auto"/>
            </w:tcBorders>
            <w:shd w:val="clear" w:color="auto" w:fill="FFFFFF" w:themeFill="background1"/>
            <w:noWrap/>
            <w:vAlign w:val="bottom"/>
            <w:hideMark/>
          </w:tcPr>
          <w:p w14:paraId="61FF1F0D" w14:textId="47F68A68" w:rsidR="00087CDF" w:rsidRPr="00C50854" w:rsidRDefault="00087CDF" w:rsidP="00056B43">
            <w:pPr>
              <w:suppressAutoHyphens w:val="0"/>
              <w:rPr>
                <w:color w:val="000000"/>
                <w:sz w:val="16"/>
                <w:szCs w:val="16"/>
                <w:lang w:eastAsia="et-EE"/>
              </w:rPr>
            </w:pPr>
            <w:r w:rsidRPr="00C50854">
              <w:rPr>
                <w:color w:val="000000"/>
                <w:sz w:val="16"/>
                <w:szCs w:val="16"/>
                <w:lang w:eastAsia="et-EE"/>
              </w:rPr>
              <w:t>piiramatu</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13572764" w14:textId="2997D937"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18</w:t>
            </w:r>
          </w:p>
        </w:tc>
        <w:tc>
          <w:tcPr>
            <w:tcW w:w="831" w:type="dxa"/>
            <w:tcBorders>
              <w:top w:val="nil"/>
              <w:left w:val="nil"/>
              <w:bottom w:val="single" w:sz="4" w:space="0" w:color="auto"/>
              <w:right w:val="single" w:sz="8" w:space="0" w:color="auto"/>
            </w:tcBorders>
            <w:shd w:val="clear" w:color="auto" w:fill="FFFFFF" w:themeFill="background1"/>
            <w:noWrap/>
            <w:vAlign w:val="bottom"/>
            <w:hideMark/>
          </w:tcPr>
          <w:p w14:paraId="118EEFDD" w14:textId="4C61A10B" w:rsidR="00087CDF" w:rsidRPr="00C50854" w:rsidRDefault="00B64C53" w:rsidP="00F97131">
            <w:pPr>
              <w:suppressAutoHyphens w:val="0"/>
              <w:jc w:val="right"/>
              <w:rPr>
                <w:color w:val="000000"/>
                <w:sz w:val="16"/>
                <w:szCs w:val="16"/>
                <w:lang w:eastAsia="et-EE"/>
              </w:rPr>
            </w:pPr>
            <w:r w:rsidRPr="00C50854">
              <w:rPr>
                <w:color w:val="000000"/>
                <w:sz w:val="16"/>
                <w:szCs w:val="16"/>
                <w:lang w:eastAsia="et-EE"/>
              </w:rPr>
              <w:t>-38%</w:t>
            </w:r>
            <w:r w:rsidR="00087CDF" w:rsidRPr="00C50854">
              <w:rPr>
                <w:color w:val="000000"/>
                <w:sz w:val="16"/>
                <w:szCs w:val="16"/>
                <w:lang w:eastAsia="et-EE"/>
              </w:rPr>
              <w:t> </w:t>
            </w:r>
          </w:p>
        </w:tc>
      </w:tr>
      <w:tr w:rsidR="00087CDF" w:rsidRPr="00C50854" w14:paraId="296281B3" w14:textId="77777777" w:rsidTr="009C0AC9">
        <w:trPr>
          <w:trHeight w:val="121"/>
        </w:trPr>
        <w:tc>
          <w:tcPr>
            <w:tcW w:w="1392" w:type="dxa"/>
            <w:vMerge/>
            <w:tcBorders>
              <w:top w:val="nil"/>
              <w:left w:val="single" w:sz="8" w:space="0" w:color="auto"/>
              <w:bottom w:val="single" w:sz="8" w:space="0" w:color="000000"/>
              <w:right w:val="single" w:sz="4" w:space="0" w:color="auto"/>
            </w:tcBorders>
            <w:vAlign w:val="center"/>
            <w:hideMark/>
          </w:tcPr>
          <w:p w14:paraId="6784A9E4" w14:textId="77777777" w:rsidR="00087CDF" w:rsidRPr="00C50854" w:rsidRDefault="00087CDF" w:rsidP="00056B43">
            <w:pPr>
              <w:suppressAutoHyphens w:val="0"/>
              <w:rPr>
                <w:color w:val="000000"/>
                <w:sz w:val="16"/>
                <w:szCs w:val="16"/>
                <w:lang w:eastAsia="et-EE"/>
              </w:rPr>
            </w:pPr>
          </w:p>
        </w:tc>
        <w:tc>
          <w:tcPr>
            <w:tcW w:w="2567" w:type="dxa"/>
            <w:tcBorders>
              <w:top w:val="nil"/>
              <w:left w:val="nil"/>
              <w:bottom w:val="single" w:sz="8" w:space="0" w:color="auto"/>
              <w:right w:val="single" w:sz="4" w:space="0" w:color="auto"/>
            </w:tcBorders>
            <w:shd w:val="clear" w:color="auto" w:fill="FFFFFF" w:themeFill="background1"/>
            <w:noWrap/>
            <w:vAlign w:val="bottom"/>
            <w:hideMark/>
          </w:tcPr>
          <w:p w14:paraId="67767A99" w14:textId="44D27FF6" w:rsidR="00087CDF" w:rsidRPr="00C50854" w:rsidRDefault="00087CDF" w:rsidP="00056B43">
            <w:pPr>
              <w:suppressAutoHyphens w:val="0"/>
              <w:rPr>
                <w:color w:val="000000"/>
                <w:sz w:val="16"/>
                <w:szCs w:val="16"/>
                <w:lang w:eastAsia="et-EE"/>
              </w:rPr>
            </w:pPr>
            <w:r w:rsidRPr="00C50854">
              <w:rPr>
                <w:color w:val="000000"/>
                <w:sz w:val="16"/>
                <w:szCs w:val="16"/>
                <w:lang w:eastAsia="et-EE"/>
              </w:rPr>
              <w:t xml:space="preserve">Piiramatu netivabadus </w:t>
            </w:r>
          </w:p>
        </w:tc>
        <w:tc>
          <w:tcPr>
            <w:tcW w:w="3686" w:type="dxa"/>
            <w:tcBorders>
              <w:top w:val="nil"/>
              <w:left w:val="nil"/>
              <w:bottom w:val="single" w:sz="8" w:space="0" w:color="auto"/>
              <w:right w:val="single" w:sz="4" w:space="0" w:color="auto"/>
            </w:tcBorders>
            <w:shd w:val="clear" w:color="auto" w:fill="FFFFFF" w:themeFill="background1"/>
            <w:noWrap/>
            <w:vAlign w:val="bottom"/>
            <w:hideMark/>
          </w:tcPr>
          <w:p w14:paraId="474A3991" w14:textId="0DA4E875" w:rsidR="00087CDF" w:rsidRPr="00C50854" w:rsidRDefault="00087CDF" w:rsidP="00056B43">
            <w:pPr>
              <w:suppressAutoHyphens w:val="0"/>
              <w:rPr>
                <w:color w:val="000000"/>
                <w:sz w:val="16"/>
                <w:szCs w:val="16"/>
                <w:lang w:eastAsia="et-EE"/>
              </w:rPr>
            </w:pPr>
            <w:r w:rsidRPr="00C50854">
              <w:rPr>
                <w:color w:val="000000"/>
                <w:sz w:val="16"/>
                <w:szCs w:val="16"/>
                <w:lang w:eastAsia="et-EE"/>
              </w:rPr>
              <w:t>piiramatu</w:t>
            </w:r>
          </w:p>
        </w:tc>
        <w:tc>
          <w:tcPr>
            <w:tcW w:w="850" w:type="dxa"/>
            <w:tcBorders>
              <w:top w:val="nil"/>
              <w:left w:val="nil"/>
              <w:bottom w:val="single" w:sz="8" w:space="0" w:color="auto"/>
              <w:right w:val="single" w:sz="4" w:space="0" w:color="auto"/>
            </w:tcBorders>
            <w:shd w:val="clear" w:color="auto" w:fill="FFFFFF" w:themeFill="background1"/>
            <w:noWrap/>
            <w:vAlign w:val="bottom"/>
            <w:hideMark/>
          </w:tcPr>
          <w:p w14:paraId="058F3E6E" w14:textId="00E59806"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19</w:t>
            </w:r>
          </w:p>
        </w:tc>
        <w:tc>
          <w:tcPr>
            <w:tcW w:w="831" w:type="dxa"/>
            <w:tcBorders>
              <w:top w:val="nil"/>
              <w:left w:val="nil"/>
              <w:bottom w:val="single" w:sz="8" w:space="0" w:color="auto"/>
              <w:right w:val="single" w:sz="8" w:space="0" w:color="auto"/>
            </w:tcBorders>
            <w:shd w:val="clear" w:color="auto" w:fill="FFFFFF" w:themeFill="background1"/>
            <w:noWrap/>
            <w:vAlign w:val="bottom"/>
            <w:hideMark/>
          </w:tcPr>
          <w:p w14:paraId="635AB1C3" w14:textId="0E606D34" w:rsidR="00087CDF" w:rsidRPr="00C50854" w:rsidRDefault="00087CDF" w:rsidP="00F97131">
            <w:pPr>
              <w:suppressAutoHyphens w:val="0"/>
              <w:jc w:val="right"/>
              <w:rPr>
                <w:color w:val="000000"/>
                <w:sz w:val="16"/>
                <w:szCs w:val="16"/>
                <w:lang w:eastAsia="et-EE"/>
              </w:rPr>
            </w:pPr>
            <w:r w:rsidRPr="00C50854">
              <w:rPr>
                <w:color w:val="000000"/>
                <w:sz w:val="16"/>
                <w:szCs w:val="16"/>
                <w:lang w:eastAsia="et-EE"/>
              </w:rPr>
              <w:t>-24%</w:t>
            </w:r>
          </w:p>
        </w:tc>
      </w:tr>
    </w:tbl>
    <w:p w14:paraId="74575E14" w14:textId="447F7FED" w:rsidR="00035540" w:rsidRPr="00C50854" w:rsidRDefault="00035540" w:rsidP="000762B0">
      <w:pPr>
        <w:suppressAutoHyphens w:val="0"/>
        <w:rPr>
          <w:bCs/>
          <w:sz w:val="20"/>
          <w:szCs w:val="20"/>
          <w:lang w:eastAsia="et-EE"/>
        </w:rPr>
      </w:pPr>
      <w:bookmarkStart w:id="148" w:name="_Ref460230273"/>
      <w:r w:rsidRPr="00C50854">
        <w:rPr>
          <w:b/>
          <w:bCs/>
          <w:sz w:val="20"/>
          <w:szCs w:val="20"/>
          <w:lang w:eastAsia="et-EE"/>
        </w:rPr>
        <w:t xml:space="preserve">Tabel </w:t>
      </w:r>
      <w:r w:rsidR="00341D2F" w:rsidRPr="00C50854">
        <w:rPr>
          <w:b/>
          <w:bCs/>
          <w:sz w:val="20"/>
          <w:szCs w:val="20"/>
          <w:lang w:eastAsia="et-EE"/>
        </w:rPr>
        <w:fldChar w:fldCharType="begin"/>
      </w:r>
      <w:r w:rsidR="00341D2F" w:rsidRPr="00C50854">
        <w:rPr>
          <w:b/>
          <w:bCs/>
          <w:sz w:val="20"/>
          <w:szCs w:val="20"/>
          <w:lang w:eastAsia="et-EE"/>
        </w:rPr>
        <w:instrText xml:space="preserve"> SEQ Tabel \* ARABIC </w:instrText>
      </w:r>
      <w:r w:rsidR="00341D2F" w:rsidRPr="00C50854">
        <w:rPr>
          <w:b/>
          <w:bCs/>
          <w:sz w:val="20"/>
          <w:szCs w:val="20"/>
          <w:lang w:eastAsia="et-EE"/>
        </w:rPr>
        <w:fldChar w:fldCharType="separate"/>
      </w:r>
      <w:r w:rsidR="00D24389" w:rsidRPr="00C50854">
        <w:rPr>
          <w:b/>
          <w:bCs/>
          <w:noProof/>
          <w:sz w:val="20"/>
          <w:szCs w:val="20"/>
          <w:lang w:eastAsia="et-EE"/>
        </w:rPr>
        <w:t>3</w:t>
      </w:r>
      <w:r w:rsidR="00341D2F" w:rsidRPr="00C50854">
        <w:rPr>
          <w:b/>
          <w:bCs/>
          <w:sz w:val="20"/>
          <w:szCs w:val="20"/>
          <w:lang w:eastAsia="et-EE"/>
        </w:rPr>
        <w:fldChar w:fldCharType="end"/>
      </w:r>
      <w:bookmarkEnd w:id="148"/>
      <w:r w:rsidRPr="00C50854">
        <w:rPr>
          <w:b/>
          <w:bCs/>
          <w:sz w:val="20"/>
          <w:szCs w:val="20"/>
          <w:lang w:eastAsia="et-EE"/>
        </w:rPr>
        <w:t xml:space="preserve">. </w:t>
      </w:r>
      <w:r w:rsidRPr="00C50854">
        <w:rPr>
          <w:bCs/>
          <w:sz w:val="20"/>
          <w:szCs w:val="20"/>
          <w:lang w:eastAsia="et-EE"/>
        </w:rPr>
        <w:t>Andmesideteenused mobiiltelefonivõrgus ja fikseeritud võrgus (eur</w:t>
      </w:r>
      <w:r w:rsidR="007770C8" w:rsidRPr="00C50854">
        <w:rPr>
          <w:bCs/>
          <w:sz w:val="20"/>
          <w:szCs w:val="20"/>
          <w:lang w:eastAsia="et-EE"/>
        </w:rPr>
        <w:t>ot</w:t>
      </w:r>
      <w:r w:rsidRPr="00C50854">
        <w:rPr>
          <w:bCs/>
          <w:sz w:val="20"/>
          <w:szCs w:val="20"/>
          <w:lang w:eastAsia="et-EE"/>
        </w:rPr>
        <w:t xml:space="preserve"> km-</w:t>
      </w:r>
      <w:proofErr w:type="spellStart"/>
      <w:r w:rsidRPr="00C50854">
        <w:rPr>
          <w:bCs/>
          <w:sz w:val="20"/>
          <w:szCs w:val="20"/>
          <w:lang w:eastAsia="et-EE"/>
        </w:rPr>
        <w:t>ga</w:t>
      </w:r>
      <w:proofErr w:type="spellEnd"/>
      <w:r w:rsidRPr="00C50854">
        <w:rPr>
          <w:bCs/>
          <w:sz w:val="20"/>
          <w:szCs w:val="20"/>
          <w:lang w:eastAsia="et-EE"/>
        </w:rPr>
        <w:t>)</w:t>
      </w:r>
      <w:r w:rsidR="007770C8" w:rsidRPr="00C50854">
        <w:rPr>
          <w:bCs/>
          <w:sz w:val="20"/>
          <w:szCs w:val="20"/>
          <w:lang w:eastAsia="et-EE"/>
        </w:rPr>
        <w:t xml:space="preserve"> </w:t>
      </w:r>
      <w:r w:rsidR="00E20599" w:rsidRPr="00C50854">
        <w:rPr>
          <w:bCs/>
          <w:sz w:val="20"/>
          <w:szCs w:val="20"/>
          <w:lang w:eastAsia="et-EE"/>
        </w:rPr>
        <w:t>seisuga 0</w:t>
      </w:r>
      <w:r w:rsidR="009D7133" w:rsidRPr="00C50854">
        <w:rPr>
          <w:bCs/>
          <w:sz w:val="20"/>
          <w:szCs w:val="20"/>
          <w:lang w:eastAsia="et-EE"/>
        </w:rPr>
        <w:t>8</w:t>
      </w:r>
      <w:r w:rsidR="00E20599" w:rsidRPr="00C50854">
        <w:rPr>
          <w:bCs/>
          <w:sz w:val="20"/>
          <w:szCs w:val="20"/>
          <w:lang w:eastAsia="et-EE"/>
        </w:rPr>
        <w:t>.</w:t>
      </w:r>
      <w:r w:rsidR="009D7133" w:rsidRPr="00C50854">
        <w:rPr>
          <w:bCs/>
          <w:sz w:val="20"/>
          <w:szCs w:val="20"/>
          <w:lang w:eastAsia="et-EE"/>
        </w:rPr>
        <w:t>10</w:t>
      </w:r>
      <w:r w:rsidR="00E20599" w:rsidRPr="00C50854">
        <w:rPr>
          <w:bCs/>
          <w:sz w:val="20"/>
          <w:szCs w:val="20"/>
          <w:lang w:eastAsia="et-EE"/>
        </w:rPr>
        <w:t>.201</w:t>
      </w:r>
      <w:r w:rsidR="009D7133" w:rsidRPr="00C50854">
        <w:rPr>
          <w:bCs/>
          <w:sz w:val="20"/>
          <w:szCs w:val="20"/>
          <w:lang w:eastAsia="et-EE"/>
        </w:rPr>
        <w:t>9</w:t>
      </w:r>
    </w:p>
    <w:p w14:paraId="44F671DE" w14:textId="07CC0105" w:rsidR="000762B0" w:rsidRPr="00C50854" w:rsidRDefault="000762B0" w:rsidP="00311E1F">
      <w:pPr>
        <w:numPr>
          <w:ilvl w:val="0"/>
          <w:numId w:val="13"/>
        </w:numPr>
        <w:suppressAutoHyphens w:val="0"/>
        <w:autoSpaceDE w:val="0"/>
        <w:autoSpaceDN w:val="0"/>
        <w:adjustRightInd w:val="0"/>
        <w:spacing w:before="120" w:after="240"/>
        <w:jc w:val="both"/>
        <w:rPr>
          <w:lang w:eastAsia="et-EE"/>
        </w:rPr>
      </w:pPr>
      <w:r w:rsidRPr="00C50854">
        <w:rPr>
          <w:lang w:eastAsia="et-EE"/>
        </w:rPr>
        <w:t>Võrreldes fikseeritud sidevõrkudega on mobiiltelefonivõrkudes</w:t>
      </w:r>
      <w:r w:rsidR="00056B43" w:rsidRPr="00C50854">
        <w:rPr>
          <w:lang w:eastAsia="et-EE"/>
        </w:rPr>
        <w:t xml:space="preserve"> </w:t>
      </w:r>
      <w:r w:rsidRPr="00C50854">
        <w:rPr>
          <w:lang w:eastAsia="et-EE"/>
        </w:rPr>
        <w:t>keskmist andmeside mahtu (</w:t>
      </w:r>
      <w:r w:rsidR="00AE1283" w:rsidRPr="00C50854">
        <w:rPr>
          <w:lang w:eastAsia="et-EE"/>
        </w:rPr>
        <w:t>30-</w:t>
      </w:r>
      <w:r w:rsidR="00056B43" w:rsidRPr="00C50854">
        <w:rPr>
          <w:lang w:eastAsia="et-EE"/>
        </w:rPr>
        <w:t>5</w:t>
      </w:r>
      <w:r w:rsidRPr="00C50854">
        <w:rPr>
          <w:lang w:eastAsia="et-EE"/>
        </w:rPr>
        <w:t>0</w:t>
      </w:r>
      <w:r w:rsidR="002D283E" w:rsidRPr="00C50854">
        <w:rPr>
          <w:lang w:eastAsia="et-EE"/>
        </w:rPr>
        <w:t xml:space="preserve"> </w:t>
      </w:r>
      <w:r w:rsidRPr="00C50854">
        <w:rPr>
          <w:lang w:eastAsia="et-EE"/>
        </w:rPr>
        <w:t xml:space="preserve">GB) sisaldavate „arvuti pakettide“ andmeside-teenuste hinnad </w:t>
      </w:r>
      <w:r w:rsidR="00056B43" w:rsidRPr="00C50854">
        <w:rPr>
          <w:lang w:eastAsia="et-EE"/>
        </w:rPr>
        <w:t>5</w:t>
      </w:r>
      <w:r w:rsidR="00AE1283" w:rsidRPr="00C50854">
        <w:rPr>
          <w:lang w:eastAsia="et-EE"/>
        </w:rPr>
        <w:t>-32%</w:t>
      </w:r>
      <w:r w:rsidRPr="00C50854">
        <w:rPr>
          <w:lang w:eastAsia="et-EE"/>
        </w:rPr>
        <w:t xml:space="preserve"> kallimad Telia võrgus, kuid </w:t>
      </w:r>
      <w:r w:rsidR="00B64C53" w:rsidRPr="00C50854">
        <w:rPr>
          <w:lang w:eastAsia="et-EE"/>
        </w:rPr>
        <w:t>38</w:t>
      </w:r>
      <w:r w:rsidRPr="00C50854">
        <w:rPr>
          <w:lang w:eastAsia="et-EE"/>
        </w:rPr>
        <w:t>%</w:t>
      </w:r>
      <w:r w:rsidR="00A54163" w:rsidRPr="00C50854">
        <w:rPr>
          <w:lang w:eastAsia="et-EE"/>
        </w:rPr>
        <w:t xml:space="preserve"> </w:t>
      </w:r>
      <w:r w:rsidRPr="00C50854">
        <w:rPr>
          <w:lang w:eastAsia="et-EE"/>
        </w:rPr>
        <w:t>odavamad Tele2</w:t>
      </w:r>
      <w:r w:rsidR="00A54163" w:rsidRPr="00C50854">
        <w:rPr>
          <w:lang w:eastAsia="et-EE"/>
        </w:rPr>
        <w:t xml:space="preserve"> võrgus.</w:t>
      </w:r>
      <w:r w:rsidRPr="00C50854">
        <w:rPr>
          <w:lang w:eastAsia="et-EE"/>
        </w:rPr>
        <w:t xml:space="preserve"> Elisa võrgus </w:t>
      </w:r>
      <w:r w:rsidR="00A54163" w:rsidRPr="00C50854">
        <w:rPr>
          <w:lang w:eastAsia="et-EE"/>
        </w:rPr>
        <w:t xml:space="preserve">on </w:t>
      </w:r>
      <w:r w:rsidRPr="00C50854">
        <w:rPr>
          <w:lang w:eastAsia="et-EE"/>
        </w:rPr>
        <w:t xml:space="preserve">andmeside-teenuste hinnad </w:t>
      </w:r>
      <w:r w:rsidR="00A54163" w:rsidRPr="00C50854">
        <w:rPr>
          <w:lang w:eastAsia="et-EE"/>
        </w:rPr>
        <w:t>5-18%</w:t>
      </w:r>
      <w:r w:rsidRPr="00C50854">
        <w:rPr>
          <w:lang w:eastAsia="et-EE"/>
        </w:rPr>
        <w:t xml:space="preserve"> kallimad</w:t>
      </w:r>
      <w:r w:rsidR="00A54163" w:rsidRPr="00C50854">
        <w:rPr>
          <w:lang w:eastAsia="et-EE"/>
        </w:rPr>
        <w:t xml:space="preserve"> kui</w:t>
      </w:r>
      <w:r w:rsidRPr="00C50854">
        <w:rPr>
          <w:lang w:eastAsia="et-EE"/>
        </w:rPr>
        <w:t xml:space="preserve"> Telia </w:t>
      </w:r>
      <w:r w:rsidR="00BE5850" w:rsidRPr="00C50854">
        <w:rPr>
          <w:lang w:eastAsia="et-EE"/>
        </w:rPr>
        <w:t>fikseeritud side</w:t>
      </w:r>
      <w:r w:rsidRPr="00C50854">
        <w:rPr>
          <w:lang w:eastAsia="et-EE"/>
        </w:rPr>
        <w:t>võrgus</w:t>
      </w:r>
      <w:r w:rsidR="00A54163" w:rsidRPr="00C50854">
        <w:rPr>
          <w:lang w:eastAsia="et-EE"/>
        </w:rPr>
        <w:t>.</w:t>
      </w:r>
      <w:r w:rsidRPr="00C50854">
        <w:rPr>
          <w:lang w:eastAsia="et-EE"/>
        </w:rPr>
        <w:t xml:space="preserve"> Piiramatu mahuga mobiilse interneti „arvuti paketi“ hind on võrreldes fikseeritud sidevõrgu vastavate andmesideteenuste </w:t>
      </w:r>
      <w:r w:rsidR="00A54163" w:rsidRPr="00C50854">
        <w:rPr>
          <w:lang w:eastAsia="et-EE"/>
        </w:rPr>
        <w:t xml:space="preserve">tänaseks juba Tele2 võrgus 24% odavam. </w:t>
      </w:r>
      <w:r w:rsidRPr="00C50854">
        <w:rPr>
          <w:lang w:eastAsia="et-EE"/>
        </w:rPr>
        <w:t>Telia piiramatu mahuga mobiil</w:t>
      </w:r>
      <w:r w:rsidR="00B64C53" w:rsidRPr="00C50854">
        <w:rPr>
          <w:lang w:eastAsia="et-EE"/>
        </w:rPr>
        <w:t xml:space="preserve">se interneti teenust pakutakse piiramatult 4G tehnoloogiaga ning see hind on sama, mis Telia poolt pakutava samaväärse fikseeritud andmeside puhul. </w:t>
      </w:r>
    </w:p>
    <w:p w14:paraId="56C120F9" w14:textId="7F601E72" w:rsidR="00035540" w:rsidRPr="00C50854" w:rsidRDefault="000355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Viimase kolme aastaga on mobiiltelefonivõrgu baasil osutatavad andmesideteenused muutunud</w:t>
      </w:r>
      <w:r w:rsidR="00405777" w:rsidRPr="00C50854">
        <w:rPr>
          <w:lang w:eastAsia="et-EE"/>
        </w:rPr>
        <w:t xml:space="preserve"> </w:t>
      </w:r>
      <w:r w:rsidR="002A5D20" w:rsidRPr="00C50854">
        <w:rPr>
          <w:lang w:eastAsia="et-EE"/>
        </w:rPr>
        <w:t>lõppkasutaja</w:t>
      </w:r>
      <w:r w:rsidR="00405777" w:rsidRPr="00C50854">
        <w:rPr>
          <w:lang w:eastAsia="et-EE"/>
        </w:rPr>
        <w:t>te jaoks</w:t>
      </w:r>
      <w:r w:rsidRPr="00C50854">
        <w:rPr>
          <w:lang w:eastAsia="et-EE"/>
        </w:rPr>
        <w:t xml:space="preserve"> kvaliteetsemaks ja seetõttu ka atraktiivsemaks. Seda peegeldab ka mobiiltelefonivõrgu baasil lairibateenuste lõppkasutajate arv </w:t>
      </w:r>
      <w:r w:rsidR="00D74EB2" w:rsidRPr="00C50854">
        <w:rPr>
          <w:lang w:eastAsia="et-EE"/>
        </w:rPr>
        <w:t>jätkuv</w:t>
      </w:r>
      <w:r w:rsidR="00451280" w:rsidRPr="00C50854">
        <w:rPr>
          <w:lang w:eastAsia="et-EE"/>
        </w:rPr>
        <w:t xml:space="preserve"> tõusev trend</w:t>
      </w:r>
      <w:r w:rsidR="00B12AD3" w:rsidRPr="00C50854">
        <w:rPr>
          <w:lang w:eastAsia="et-EE"/>
        </w:rPr>
        <w:t>: 201</w:t>
      </w:r>
      <w:r w:rsidR="00017FBF" w:rsidRPr="00C50854">
        <w:rPr>
          <w:lang w:eastAsia="et-EE"/>
        </w:rPr>
        <w:t>9</w:t>
      </w:r>
      <w:r w:rsidRPr="00C50854">
        <w:rPr>
          <w:lang w:eastAsia="et-EE"/>
        </w:rPr>
        <w:t xml:space="preserve">. </w:t>
      </w:r>
      <w:r w:rsidR="00752BFE" w:rsidRPr="00C50854">
        <w:rPr>
          <w:lang w:eastAsia="et-EE"/>
        </w:rPr>
        <w:t xml:space="preserve">esimese </w:t>
      </w:r>
      <w:r w:rsidR="00017FBF" w:rsidRPr="00C50854">
        <w:rPr>
          <w:lang w:eastAsia="et-EE"/>
        </w:rPr>
        <w:t>pool</w:t>
      </w:r>
      <w:r w:rsidRPr="00C50854">
        <w:rPr>
          <w:lang w:eastAsia="et-EE"/>
        </w:rPr>
        <w:t>aasta lõpuks kokk</w:t>
      </w:r>
      <w:r w:rsidR="0046775E" w:rsidRPr="00C50854">
        <w:rPr>
          <w:lang w:eastAsia="et-EE"/>
        </w:rPr>
        <w:t xml:space="preserve">u </w:t>
      </w:r>
      <w:r w:rsidR="00752BFE" w:rsidRPr="00C50854">
        <w:rPr>
          <w:lang w:eastAsia="et-EE"/>
        </w:rPr>
        <w:t>238</w:t>
      </w:r>
      <w:r w:rsidR="004F01AE" w:rsidRPr="00C50854">
        <w:rPr>
          <w:lang w:eastAsia="et-EE"/>
        </w:rPr>
        <w:t> </w:t>
      </w:r>
      <w:r w:rsidR="00752BFE" w:rsidRPr="00C50854">
        <w:rPr>
          <w:lang w:eastAsia="et-EE"/>
        </w:rPr>
        <w:t>666</w:t>
      </w:r>
      <w:r w:rsidR="004F01AE" w:rsidRPr="00C50854">
        <w:rPr>
          <w:lang w:eastAsia="et-EE"/>
        </w:rPr>
        <w:t xml:space="preserve"> </w:t>
      </w:r>
      <w:r w:rsidRPr="00C50854">
        <w:rPr>
          <w:lang w:eastAsia="et-EE"/>
        </w:rPr>
        <w:t>mobiilse lairibaühenduse lõppkasutaja</w:t>
      </w:r>
      <w:r w:rsidR="0048158D" w:rsidRPr="00C50854">
        <w:rPr>
          <w:lang w:eastAsia="et-EE"/>
        </w:rPr>
        <w:t>t</w:t>
      </w:r>
      <w:r w:rsidRPr="00C50854">
        <w:rPr>
          <w:lang w:eastAsia="et-EE"/>
        </w:rPr>
        <w:t xml:space="preserve"> (nn </w:t>
      </w:r>
      <w:proofErr w:type="spellStart"/>
      <w:r w:rsidRPr="00C50854">
        <w:rPr>
          <w:lang w:eastAsia="et-EE"/>
        </w:rPr>
        <w:t>Data</w:t>
      </w:r>
      <w:proofErr w:type="spellEnd"/>
      <w:r w:rsidRPr="00C50854">
        <w:rPr>
          <w:lang w:eastAsia="et-EE"/>
        </w:rPr>
        <w:t xml:space="preserve"> </w:t>
      </w:r>
      <w:proofErr w:type="spellStart"/>
      <w:r w:rsidRPr="00C50854">
        <w:rPr>
          <w:lang w:eastAsia="et-EE"/>
        </w:rPr>
        <w:t>SIM-ide</w:t>
      </w:r>
      <w:proofErr w:type="spellEnd"/>
      <w:r w:rsidRPr="00C50854">
        <w:rPr>
          <w:lang w:eastAsia="et-EE"/>
        </w:rPr>
        <w:t xml:space="preserve"> kasutaja</w:t>
      </w:r>
      <w:r w:rsidR="0048158D" w:rsidRPr="00C50854">
        <w:rPr>
          <w:lang w:eastAsia="et-EE"/>
        </w:rPr>
        <w:t>t</w:t>
      </w:r>
      <w:r w:rsidRPr="00C50854">
        <w:rPr>
          <w:lang w:eastAsia="et-EE"/>
        </w:rPr>
        <w:t xml:space="preserve">), </w:t>
      </w:r>
      <w:r w:rsidR="00451280" w:rsidRPr="00C50854">
        <w:rPr>
          <w:lang w:eastAsia="et-EE"/>
        </w:rPr>
        <w:t>võrdluseks</w:t>
      </w:r>
      <w:r w:rsidRPr="00C50854">
        <w:rPr>
          <w:lang w:eastAsia="et-EE"/>
        </w:rPr>
        <w:t xml:space="preserve"> </w:t>
      </w:r>
      <w:r w:rsidR="00B12AD3" w:rsidRPr="00C50854">
        <w:rPr>
          <w:lang w:eastAsia="et-EE"/>
        </w:rPr>
        <w:t>201</w:t>
      </w:r>
      <w:r w:rsidR="00017FBF" w:rsidRPr="00C50854">
        <w:rPr>
          <w:lang w:eastAsia="et-EE"/>
        </w:rPr>
        <w:t>5</w:t>
      </w:r>
      <w:r w:rsidR="00451280" w:rsidRPr="00C50854">
        <w:rPr>
          <w:lang w:eastAsia="et-EE"/>
        </w:rPr>
        <w:t xml:space="preserve">. aastal oli see </w:t>
      </w:r>
      <w:r w:rsidR="00752BFE" w:rsidRPr="00C50854">
        <w:rPr>
          <w:lang w:eastAsia="et-EE"/>
        </w:rPr>
        <w:t>232 486</w:t>
      </w:r>
      <w:r w:rsidRPr="00C50854">
        <w:rPr>
          <w:lang w:eastAsia="et-EE"/>
        </w:rPr>
        <w:t>.</w:t>
      </w:r>
      <w:r w:rsidR="00674A87" w:rsidRPr="00C50854">
        <w:rPr>
          <w:lang w:eastAsia="et-EE"/>
        </w:rPr>
        <w:t xml:space="preserve"> Mobiilside lepingulisi kliente kokku oli 201</w:t>
      </w:r>
      <w:r w:rsidR="00752BFE" w:rsidRPr="00C50854">
        <w:rPr>
          <w:lang w:eastAsia="et-EE"/>
        </w:rPr>
        <w:t>9</w:t>
      </w:r>
      <w:r w:rsidR="00674A87" w:rsidRPr="00C50854">
        <w:rPr>
          <w:lang w:eastAsia="et-EE"/>
        </w:rPr>
        <w:t xml:space="preserve"> </w:t>
      </w:r>
      <w:r w:rsidR="00752BFE" w:rsidRPr="00C50854">
        <w:rPr>
          <w:lang w:eastAsia="et-EE"/>
        </w:rPr>
        <w:t>esimese pool</w:t>
      </w:r>
      <w:r w:rsidR="00674A87" w:rsidRPr="00C50854">
        <w:rPr>
          <w:lang w:eastAsia="et-EE"/>
        </w:rPr>
        <w:t xml:space="preserve">aasta lõpu seisuga </w:t>
      </w:r>
      <w:r w:rsidR="00752BFE" w:rsidRPr="00C50854">
        <w:rPr>
          <w:lang w:eastAsia="et-EE"/>
        </w:rPr>
        <w:t>1</w:t>
      </w:r>
      <w:r w:rsidR="00CA2960" w:rsidRPr="00C50854">
        <w:rPr>
          <w:lang w:eastAsia="et-EE"/>
        </w:rPr>
        <w:t xml:space="preserve"> </w:t>
      </w:r>
      <w:r w:rsidR="00752BFE" w:rsidRPr="00C50854">
        <w:rPr>
          <w:lang w:eastAsia="et-EE"/>
        </w:rPr>
        <w:t>599</w:t>
      </w:r>
      <w:r w:rsidR="00167EC3" w:rsidRPr="00C50854">
        <w:rPr>
          <w:lang w:eastAsia="et-EE"/>
        </w:rPr>
        <w:t> </w:t>
      </w:r>
      <w:r w:rsidR="00752BFE" w:rsidRPr="00C50854">
        <w:rPr>
          <w:lang w:eastAsia="et-EE"/>
        </w:rPr>
        <w:t>437</w:t>
      </w:r>
      <w:r w:rsidR="00167EC3" w:rsidRPr="00C50854">
        <w:rPr>
          <w:lang w:eastAsia="et-EE"/>
        </w:rPr>
        <w:t xml:space="preserve"> </w:t>
      </w:r>
      <w:r w:rsidR="00674A87" w:rsidRPr="00C50854">
        <w:rPr>
          <w:lang w:eastAsia="et-EE"/>
        </w:rPr>
        <w:t>ning 201</w:t>
      </w:r>
      <w:r w:rsidR="00752BFE" w:rsidRPr="00C50854">
        <w:rPr>
          <w:lang w:eastAsia="et-EE"/>
        </w:rPr>
        <w:t>5</w:t>
      </w:r>
      <w:r w:rsidR="00674A87" w:rsidRPr="00C50854">
        <w:rPr>
          <w:lang w:eastAsia="et-EE"/>
        </w:rPr>
        <w:t xml:space="preserve"> lõpus oli see number </w:t>
      </w:r>
      <w:r w:rsidR="00752BFE" w:rsidRPr="00C50854">
        <w:rPr>
          <w:lang w:eastAsia="et-EE"/>
        </w:rPr>
        <w:t>1 505 969</w:t>
      </w:r>
      <w:r w:rsidR="00674A87" w:rsidRPr="00C50854">
        <w:rPr>
          <w:lang w:eastAsia="et-EE"/>
        </w:rPr>
        <w:t xml:space="preserve">. Seega on lepinguliste klientide arv suurenenud 6% ning </w:t>
      </w:r>
      <w:r w:rsidR="006A2B68" w:rsidRPr="00C50854">
        <w:rPr>
          <w:lang w:eastAsia="et-EE"/>
        </w:rPr>
        <w:t xml:space="preserve">mobiilse lairiba kasutajate arv on suurenenud samal perioodil </w:t>
      </w:r>
      <w:r w:rsidR="00752BFE" w:rsidRPr="00C50854">
        <w:rPr>
          <w:lang w:eastAsia="et-EE"/>
        </w:rPr>
        <w:t>3</w:t>
      </w:r>
      <w:r w:rsidR="006A2B68" w:rsidRPr="00C50854">
        <w:rPr>
          <w:lang w:eastAsia="et-EE"/>
        </w:rPr>
        <w:t>%.</w:t>
      </w:r>
    </w:p>
    <w:p w14:paraId="4A1AC61A" w14:textId="6CEF3B68" w:rsidR="004E3F27" w:rsidRPr="00C50854" w:rsidRDefault="00EB690B" w:rsidP="00311E1F">
      <w:pPr>
        <w:numPr>
          <w:ilvl w:val="0"/>
          <w:numId w:val="13"/>
        </w:numPr>
        <w:suppressAutoHyphens w:val="0"/>
        <w:autoSpaceDE w:val="0"/>
        <w:autoSpaceDN w:val="0"/>
        <w:adjustRightInd w:val="0"/>
        <w:spacing w:before="120" w:after="120"/>
        <w:jc w:val="both"/>
        <w:rPr>
          <w:lang w:eastAsia="et-EE"/>
        </w:rPr>
      </w:pPr>
      <w:r w:rsidRPr="00C50854">
        <w:rPr>
          <w:lang w:eastAsia="et-EE"/>
        </w:rPr>
        <w:t>Samas seisneb</w:t>
      </w:r>
      <w:r w:rsidR="00F3463E" w:rsidRPr="00C50854">
        <w:rPr>
          <w:lang w:eastAsia="et-EE"/>
        </w:rPr>
        <w:t xml:space="preserve"> mobiilsete andmeside</w:t>
      </w:r>
      <w:r w:rsidRPr="00C50854">
        <w:rPr>
          <w:lang w:eastAsia="et-EE"/>
        </w:rPr>
        <w:t xml:space="preserve">teenuste oluline erinevus selles, et kui fikseeritud andmesideteenuste puhul mahupiirangud puuduvad, siis mobiilsete teenuste puhul on mahupiirangud </w:t>
      </w:r>
      <w:r w:rsidR="00F3463E" w:rsidRPr="00C50854">
        <w:rPr>
          <w:lang w:eastAsia="et-EE"/>
        </w:rPr>
        <w:t xml:space="preserve">üldjuhul </w:t>
      </w:r>
      <w:r w:rsidRPr="00C50854">
        <w:rPr>
          <w:lang w:eastAsia="et-EE"/>
        </w:rPr>
        <w:t xml:space="preserve">määratletud ja nende ületamisel andmesidekiirus </w:t>
      </w:r>
      <w:r w:rsidR="00F3463E" w:rsidRPr="00C50854">
        <w:rPr>
          <w:lang w:eastAsia="et-EE"/>
        </w:rPr>
        <w:t xml:space="preserve">kas </w:t>
      </w:r>
      <w:r w:rsidRPr="00C50854">
        <w:rPr>
          <w:lang w:eastAsia="et-EE"/>
        </w:rPr>
        <w:t>väheneb oluliselt</w:t>
      </w:r>
      <w:r w:rsidR="00F3463E" w:rsidRPr="00C50854">
        <w:rPr>
          <w:lang w:eastAsia="et-EE"/>
        </w:rPr>
        <w:t xml:space="preserve"> või </w:t>
      </w:r>
      <w:r w:rsidR="00D74EB2" w:rsidRPr="00C50854">
        <w:rPr>
          <w:lang w:eastAsia="et-EE"/>
        </w:rPr>
        <w:t xml:space="preserve">tuleb </w:t>
      </w:r>
      <w:r w:rsidR="00F57059" w:rsidRPr="00C50854">
        <w:rPr>
          <w:lang w:eastAsia="et-EE"/>
        </w:rPr>
        <w:t>lõppkasutaja</w:t>
      </w:r>
      <w:r w:rsidR="00D74EB2" w:rsidRPr="00C50854">
        <w:rPr>
          <w:lang w:eastAsia="et-EE"/>
        </w:rPr>
        <w:t>l osta juurde lisamahtu</w:t>
      </w:r>
      <w:r w:rsidRPr="00C50854">
        <w:rPr>
          <w:lang w:eastAsia="et-EE"/>
        </w:rPr>
        <w:t xml:space="preserve">. </w:t>
      </w:r>
    </w:p>
    <w:p w14:paraId="4AB103BB" w14:textId="07087079" w:rsidR="00035540" w:rsidRPr="00C50854" w:rsidRDefault="000355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Lisaks andmemahu ja allalaadimiskiiruste erisustele on üheks kvalitatiivseks erinevuseks mobiilside </w:t>
      </w:r>
      <w:r w:rsidR="004E124B" w:rsidRPr="00C50854">
        <w:rPr>
          <w:lang w:eastAsia="et-EE"/>
        </w:rPr>
        <w:t>ning</w:t>
      </w:r>
      <w:r w:rsidRPr="00C50854">
        <w:rPr>
          <w:lang w:eastAsia="et-EE"/>
        </w:rPr>
        <w:t xml:space="preserve"> </w:t>
      </w:r>
      <w:r w:rsidR="004E124B" w:rsidRPr="00C50854">
        <w:rPr>
          <w:lang w:eastAsia="et-EE"/>
        </w:rPr>
        <w:t>vask- ja valguskaablil</w:t>
      </w:r>
      <w:r w:rsidRPr="00C50854">
        <w:rPr>
          <w:lang w:eastAsia="et-EE"/>
        </w:rPr>
        <w:t xml:space="preserve"> põhineva juurdepääsuvõrgu baasil osutatavatele </w:t>
      </w:r>
      <w:r w:rsidRPr="00C50854">
        <w:rPr>
          <w:lang w:eastAsia="et-EE"/>
        </w:rPr>
        <w:lastRenderedPageBreak/>
        <w:t>teenuste vahel ka võrkude viiteaegade (</w:t>
      </w:r>
      <w:r w:rsidR="001B260C" w:rsidRPr="00C50854">
        <w:rPr>
          <w:i/>
          <w:lang w:eastAsia="et-EE"/>
        </w:rPr>
        <w:t xml:space="preserve">RTT </w:t>
      </w:r>
      <w:proofErr w:type="spellStart"/>
      <w:r w:rsidRPr="00C50854">
        <w:rPr>
          <w:i/>
          <w:lang w:eastAsia="et-EE"/>
        </w:rPr>
        <w:t>latency</w:t>
      </w:r>
      <w:proofErr w:type="spellEnd"/>
      <w:r w:rsidRPr="00C50854">
        <w:rPr>
          <w:lang w:eastAsia="et-EE"/>
        </w:rPr>
        <w:t>) erinevused (mediaanina on erinevus 26-96%). Kui mobiilsidevõrkudes on raadiosidevõrgu juurdepääsu viiteajad valdavalt vahemikus 50-300</w:t>
      </w:r>
      <w:r w:rsidR="00864595" w:rsidRPr="00C50854">
        <w:rPr>
          <w:lang w:eastAsia="et-EE"/>
        </w:rPr>
        <w:t xml:space="preserve"> </w:t>
      </w:r>
      <w:r w:rsidRPr="00C50854">
        <w:rPr>
          <w:lang w:eastAsia="et-EE"/>
        </w:rPr>
        <w:t xml:space="preserve">ms, siis </w:t>
      </w:r>
      <w:r w:rsidR="00864595" w:rsidRPr="00C50854">
        <w:rPr>
          <w:lang w:eastAsia="et-EE"/>
        </w:rPr>
        <w:t xml:space="preserve">valguskaablil </w:t>
      </w:r>
      <w:r w:rsidRPr="00C50854">
        <w:rPr>
          <w:lang w:eastAsia="et-EE"/>
        </w:rPr>
        <w:t>põhinevates võrkudes on need näitajad reeglina oluliselt paremad</w:t>
      </w:r>
      <w:r w:rsidR="008922C3" w:rsidRPr="00C50854">
        <w:rPr>
          <w:lang w:eastAsia="et-EE"/>
        </w:rPr>
        <w:t xml:space="preserve"> (</w:t>
      </w:r>
      <w:r w:rsidR="00864595" w:rsidRPr="00C50854">
        <w:rPr>
          <w:lang w:eastAsia="et-EE"/>
        </w:rPr>
        <w:t>0</w:t>
      </w:r>
      <w:r w:rsidR="00167EC3" w:rsidRPr="00C50854">
        <w:rPr>
          <w:lang w:eastAsia="et-EE"/>
        </w:rPr>
        <w:t>,</w:t>
      </w:r>
      <w:r w:rsidR="00864595" w:rsidRPr="00C50854">
        <w:rPr>
          <w:lang w:eastAsia="et-EE"/>
        </w:rPr>
        <w:t xml:space="preserve">3 ms (5 µs </w:t>
      </w:r>
      <w:proofErr w:type="spellStart"/>
      <w:r w:rsidR="00864595" w:rsidRPr="00C50854">
        <w:rPr>
          <w:i/>
          <w:lang w:eastAsia="et-EE"/>
        </w:rPr>
        <w:t>per</w:t>
      </w:r>
      <w:proofErr w:type="spellEnd"/>
      <w:r w:rsidR="00864595" w:rsidRPr="00C50854">
        <w:rPr>
          <w:lang w:eastAsia="et-EE"/>
        </w:rPr>
        <w:t xml:space="preserve"> km)</w:t>
      </w:r>
      <w:r w:rsidR="00335BCA" w:rsidRPr="00C50854">
        <w:rPr>
          <w:lang w:eastAsia="et-EE"/>
        </w:rPr>
        <w:t>)</w:t>
      </w:r>
      <w:r w:rsidR="00864595" w:rsidRPr="00C50854">
        <w:rPr>
          <w:rStyle w:val="Allmrkuseviide"/>
          <w:lang w:eastAsia="et-EE"/>
        </w:rPr>
        <w:footnoteReference w:id="27"/>
      </w:r>
      <w:r w:rsidRPr="00C50854">
        <w:rPr>
          <w:lang w:eastAsia="et-EE"/>
        </w:rPr>
        <w:t>.</w:t>
      </w:r>
    </w:p>
    <w:p w14:paraId="1C2999D4" w14:textId="459A1BE2" w:rsidR="00043585" w:rsidRPr="00C50854" w:rsidRDefault="004D4356"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Kokkuvõtvalt </w:t>
      </w:r>
      <w:r w:rsidR="00451280" w:rsidRPr="00C50854">
        <w:rPr>
          <w:lang w:eastAsia="et-EE"/>
        </w:rPr>
        <w:t>Telia</w:t>
      </w:r>
      <w:r w:rsidR="00035540" w:rsidRPr="00C50854">
        <w:rPr>
          <w:lang w:eastAsia="et-EE"/>
        </w:rPr>
        <w:t xml:space="preserve">, Elisa ja Tele2 pakutavad mobiilse </w:t>
      </w:r>
      <w:r w:rsidRPr="00C50854">
        <w:rPr>
          <w:lang w:eastAsia="et-EE"/>
        </w:rPr>
        <w:t>i</w:t>
      </w:r>
      <w:r w:rsidR="00035540" w:rsidRPr="00C50854">
        <w:rPr>
          <w:lang w:eastAsia="et-EE"/>
        </w:rPr>
        <w:t>nterneti teenused:</w:t>
      </w:r>
    </w:p>
    <w:p w14:paraId="0D1D134E" w14:textId="69CF96BD" w:rsidR="00EF5B19" w:rsidRPr="00C50854" w:rsidRDefault="00035540" w:rsidP="00BE48A9">
      <w:pPr>
        <w:numPr>
          <w:ilvl w:val="0"/>
          <w:numId w:val="12"/>
        </w:numPr>
        <w:suppressAutoHyphens w:val="0"/>
        <w:spacing w:before="120" w:after="120"/>
        <w:jc w:val="both"/>
        <w:rPr>
          <w:lang w:eastAsia="et-EE"/>
        </w:rPr>
      </w:pPr>
      <w:r w:rsidRPr="00C50854">
        <w:rPr>
          <w:lang w:eastAsia="et-EE"/>
        </w:rPr>
        <w:t xml:space="preserve">on </w:t>
      </w:r>
      <w:r w:rsidR="004E124B" w:rsidRPr="00C50854">
        <w:rPr>
          <w:lang w:eastAsia="et-EE"/>
        </w:rPr>
        <w:t xml:space="preserve">osaliselt </w:t>
      </w:r>
      <w:r w:rsidRPr="00C50854">
        <w:rPr>
          <w:lang w:eastAsia="et-EE"/>
        </w:rPr>
        <w:t>mahupiiranguga (</w:t>
      </w:r>
      <w:r w:rsidR="00C85764" w:rsidRPr="00C50854">
        <w:rPr>
          <w:lang w:eastAsia="et-EE"/>
        </w:rPr>
        <w:t xml:space="preserve">soodsamate pakettide puhul </w:t>
      </w:r>
      <w:r w:rsidRPr="00C50854">
        <w:rPr>
          <w:lang w:eastAsia="et-EE"/>
        </w:rPr>
        <w:t xml:space="preserve">paketile vastavaid mahte ületava andmeside tarbimise eest tuleb </w:t>
      </w:r>
      <w:r w:rsidR="00167EC3" w:rsidRPr="00C50854">
        <w:rPr>
          <w:lang w:eastAsia="et-EE"/>
        </w:rPr>
        <w:t>megabiti</w:t>
      </w:r>
      <w:r w:rsidRPr="00C50854">
        <w:rPr>
          <w:lang w:eastAsia="et-EE"/>
        </w:rPr>
        <w:t>-</w:t>
      </w:r>
      <w:r w:rsidR="001B260C" w:rsidRPr="00C50854">
        <w:rPr>
          <w:lang w:eastAsia="et-EE"/>
        </w:rPr>
        <w:t xml:space="preserve">põhiselt </w:t>
      </w:r>
      <w:r w:rsidRPr="00C50854">
        <w:rPr>
          <w:lang w:eastAsia="et-EE"/>
        </w:rPr>
        <w:t>juurde maksta), kuid fikseeritud sidevõrkudes on lairibateenuste tarbimismaht piiramatu;</w:t>
      </w:r>
      <w:r w:rsidR="0037342D" w:rsidRPr="00C50854">
        <w:rPr>
          <w:lang w:eastAsia="et-EE"/>
        </w:rPr>
        <w:t xml:space="preserve"> </w:t>
      </w:r>
    </w:p>
    <w:p w14:paraId="2F7A3E9A" w14:textId="45462D20" w:rsidR="004A6F68" w:rsidRPr="00C50854" w:rsidRDefault="00035540" w:rsidP="00BE48A9">
      <w:pPr>
        <w:numPr>
          <w:ilvl w:val="0"/>
          <w:numId w:val="12"/>
        </w:numPr>
        <w:suppressAutoHyphens w:val="0"/>
        <w:spacing w:before="120" w:after="120"/>
        <w:jc w:val="both"/>
        <w:rPr>
          <w:lang w:eastAsia="et-EE"/>
        </w:rPr>
      </w:pPr>
      <w:r w:rsidRPr="00C50854">
        <w:rPr>
          <w:lang w:eastAsia="et-EE"/>
        </w:rPr>
        <w:t>ei ole tagatud kvaliteediga</w:t>
      </w:r>
      <w:r w:rsidR="007D255A" w:rsidRPr="00C50854">
        <w:rPr>
          <w:lang w:eastAsia="et-EE"/>
        </w:rPr>
        <w:t xml:space="preserve"> teenus</w:t>
      </w:r>
      <w:r w:rsidR="004D4356" w:rsidRPr="00C50854">
        <w:rPr>
          <w:lang w:eastAsia="et-EE"/>
        </w:rPr>
        <w:t>ed</w:t>
      </w:r>
      <w:r w:rsidRPr="00C50854">
        <w:rPr>
          <w:lang w:eastAsia="et-EE"/>
        </w:rPr>
        <w:t xml:space="preserve"> - andmeedastuskiirus võib kõikuda ja sõltub</w:t>
      </w:r>
      <w:r w:rsidR="004A6F68" w:rsidRPr="00C50854">
        <w:rPr>
          <w:lang w:eastAsia="et-EE"/>
        </w:rPr>
        <w:t xml:space="preserve"> teenuse tarbimisel</w:t>
      </w:r>
      <w:r w:rsidRPr="00C50854">
        <w:rPr>
          <w:lang w:eastAsia="et-EE"/>
        </w:rPr>
        <w:t xml:space="preserve"> levi tugevusest, võrgu koormusest ning tehnoloogiast (</w:t>
      </w:r>
      <w:r w:rsidRPr="00C50854">
        <w:rPr>
          <w:i/>
          <w:lang w:eastAsia="et-EE"/>
        </w:rPr>
        <w:t>3,5G</w:t>
      </w:r>
      <w:r w:rsidR="004370AC" w:rsidRPr="00C50854">
        <w:rPr>
          <w:i/>
          <w:lang w:eastAsia="et-EE"/>
        </w:rPr>
        <w:t xml:space="preserve">, 4G </w:t>
      </w:r>
      <w:r w:rsidR="007D255A" w:rsidRPr="00C50854">
        <w:rPr>
          <w:i/>
          <w:lang w:eastAsia="et-EE"/>
        </w:rPr>
        <w:t>ja</w:t>
      </w:r>
      <w:r w:rsidR="00B507AD" w:rsidRPr="00C50854">
        <w:rPr>
          <w:i/>
          <w:lang w:eastAsia="et-EE"/>
        </w:rPr>
        <w:t xml:space="preserve"> </w:t>
      </w:r>
      <w:r w:rsidRPr="00C50854">
        <w:rPr>
          <w:i/>
          <w:lang w:eastAsia="et-EE"/>
        </w:rPr>
        <w:t>4G</w:t>
      </w:r>
      <w:r w:rsidR="004370AC" w:rsidRPr="00C50854">
        <w:rPr>
          <w:i/>
          <w:lang w:eastAsia="et-EE"/>
        </w:rPr>
        <w:t>+</w:t>
      </w:r>
      <w:r w:rsidR="002E0A59" w:rsidRPr="00C50854">
        <w:rPr>
          <w:lang w:eastAsia="et-EE"/>
        </w:rPr>
        <w:t>).</w:t>
      </w:r>
    </w:p>
    <w:p w14:paraId="04109D77" w14:textId="1C70B9B9" w:rsidR="00B507AD" w:rsidRPr="00C50854" w:rsidRDefault="008E62BC" w:rsidP="00311E1F">
      <w:pPr>
        <w:numPr>
          <w:ilvl w:val="0"/>
          <w:numId w:val="13"/>
        </w:numPr>
        <w:suppressAutoHyphens w:val="0"/>
        <w:autoSpaceDE w:val="0"/>
        <w:autoSpaceDN w:val="0"/>
        <w:adjustRightInd w:val="0"/>
        <w:spacing w:before="120" w:after="120"/>
        <w:jc w:val="both"/>
        <w:rPr>
          <w:lang w:eastAsia="et-EE"/>
        </w:rPr>
      </w:pPr>
      <w:r w:rsidRPr="00C50854">
        <w:rPr>
          <w:lang w:eastAsia="et-EE"/>
        </w:rPr>
        <w:t>T</w:t>
      </w:r>
      <w:r w:rsidR="00451280" w:rsidRPr="00C50854">
        <w:rPr>
          <w:lang w:eastAsia="et-EE"/>
        </w:rPr>
        <w:t>TJA</w:t>
      </w:r>
      <w:r w:rsidR="00035540" w:rsidRPr="00C50854">
        <w:rPr>
          <w:lang w:eastAsia="et-EE"/>
        </w:rPr>
        <w:t xml:space="preserve"> on seisukohal, et ka </w:t>
      </w:r>
      <w:r w:rsidR="007D255A" w:rsidRPr="00C50854">
        <w:rPr>
          <w:lang w:eastAsia="et-EE"/>
        </w:rPr>
        <w:t>vask- ja valguskaablil</w:t>
      </w:r>
      <w:r w:rsidR="00035540" w:rsidRPr="00C50854">
        <w:rPr>
          <w:lang w:eastAsia="et-EE"/>
        </w:rPr>
        <w:t xml:space="preserve"> põhineva juurdepääsuvõrgu vahendusel osutatava lairiba</w:t>
      </w:r>
      <w:r w:rsidR="003C7C5B" w:rsidRPr="00C50854">
        <w:rPr>
          <w:lang w:eastAsia="et-EE"/>
        </w:rPr>
        <w:t xml:space="preserve"> </w:t>
      </w:r>
      <w:r w:rsidR="00B507AD" w:rsidRPr="00C50854">
        <w:rPr>
          <w:lang w:eastAsia="et-EE"/>
        </w:rPr>
        <w:t>jaeteenuse</w:t>
      </w:r>
      <w:r w:rsidR="00035540" w:rsidRPr="00C50854">
        <w:rPr>
          <w:lang w:eastAsia="et-EE"/>
        </w:rPr>
        <w:t xml:space="preserve"> püsiva suhtelise hinnatõusu (5-10%) korral ei ole eeltoodud põhjustel tõenäoline, et lairiba</w:t>
      </w:r>
      <w:r w:rsidR="003C7C5B" w:rsidRPr="00C50854">
        <w:rPr>
          <w:lang w:eastAsia="et-EE"/>
        </w:rPr>
        <w:t xml:space="preserve"> </w:t>
      </w:r>
      <w:r w:rsidR="00B507AD" w:rsidRPr="00C50854">
        <w:rPr>
          <w:lang w:eastAsia="et-EE"/>
        </w:rPr>
        <w:t>jaeteenuse</w:t>
      </w:r>
      <w:r w:rsidR="00035540" w:rsidRPr="00C50854">
        <w:rPr>
          <w:lang w:eastAsia="et-EE"/>
        </w:rPr>
        <w:t xml:space="preserve"> kasutajad lülituksid ümber mobiiltelefonivõrgu vahendusel osutatavale </w:t>
      </w:r>
      <w:r w:rsidR="007D255A" w:rsidRPr="00C50854">
        <w:rPr>
          <w:lang w:eastAsia="et-EE"/>
        </w:rPr>
        <w:t xml:space="preserve">mobiilsele andmeside </w:t>
      </w:r>
      <w:r w:rsidR="003C7C5B" w:rsidRPr="00C50854">
        <w:rPr>
          <w:lang w:eastAsia="et-EE"/>
        </w:rPr>
        <w:t>jae</w:t>
      </w:r>
      <w:r w:rsidR="00B507AD" w:rsidRPr="00C50854">
        <w:rPr>
          <w:lang w:eastAsia="et-EE"/>
        </w:rPr>
        <w:t xml:space="preserve"> </w:t>
      </w:r>
      <w:r w:rsidR="00035540" w:rsidRPr="00C50854">
        <w:rPr>
          <w:lang w:eastAsia="et-EE"/>
        </w:rPr>
        <w:t xml:space="preserve">teenusele. Lisaks eeldaks potentsiaalse hulgiteenuse tarbimine fikseeritud andmesidevõrguga </w:t>
      </w:r>
      <w:r w:rsidR="003C7C5B" w:rsidRPr="00C50854">
        <w:rPr>
          <w:lang w:eastAsia="et-EE"/>
        </w:rPr>
        <w:t xml:space="preserve">sideettevõtja </w:t>
      </w:r>
      <w:r w:rsidR="00035540" w:rsidRPr="00C50854">
        <w:rPr>
          <w:lang w:eastAsia="et-EE"/>
        </w:rPr>
        <w:t xml:space="preserve">poolt mobiiltelefonitehnoloogia kasutuselevõtmist, mille soetamine tähendab suuremahulisi investeeringuid. Ilma vastavat </w:t>
      </w:r>
      <w:r w:rsidR="003C7C5B" w:rsidRPr="00C50854">
        <w:rPr>
          <w:lang w:eastAsia="et-EE"/>
        </w:rPr>
        <w:t>mobiil</w:t>
      </w:r>
      <w:r w:rsidR="007D255A" w:rsidRPr="00C50854">
        <w:rPr>
          <w:lang w:eastAsia="et-EE"/>
        </w:rPr>
        <w:t xml:space="preserve">set </w:t>
      </w:r>
      <w:r w:rsidR="00035540" w:rsidRPr="00C50854">
        <w:rPr>
          <w:lang w:eastAsia="et-EE"/>
        </w:rPr>
        <w:t xml:space="preserve">tehnoloogilist platvormi omamata ei saa tarbida mobiiltelefonivõrgu juurdepääsu </w:t>
      </w:r>
      <w:r w:rsidR="003C7C5B" w:rsidRPr="00C50854">
        <w:rPr>
          <w:lang w:eastAsia="et-EE"/>
        </w:rPr>
        <w:t>hulgi</w:t>
      </w:r>
      <w:r w:rsidR="00035540" w:rsidRPr="00C50854">
        <w:rPr>
          <w:lang w:eastAsia="et-EE"/>
        </w:rPr>
        <w:t xml:space="preserve">teenust. </w:t>
      </w:r>
      <w:r w:rsidR="007A4098" w:rsidRPr="00C50854">
        <w:rPr>
          <w:lang w:eastAsia="et-EE"/>
        </w:rPr>
        <w:t xml:space="preserve">Oma olemuselt on </w:t>
      </w:r>
      <w:r w:rsidR="003C7C5B" w:rsidRPr="00C50854">
        <w:rPr>
          <w:lang w:eastAsia="et-EE"/>
        </w:rPr>
        <w:t xml:space="preserve">mobiiltelefonivõrgus ja fikseeritud andmesidevõrgus lairibaühendusele juurdepääsu </w:t>
      </w:r>
      <w:r w:rsidR="007A4098" w:rsidRPr="00C50854">
        <w:rPr>
          <w:lang w:eastAsia="et-EE"/>
        </w:rPr>
        <w:t xml:space="preserve">teenused küll sarnased, kuid </w:t>
      </w:r>
      <w:r w:rsidR="002A5D20" w:rsidRPr="00C50854">
        <w:rPr>
          <w:lang w:eastAsia="et-EE"/>
        </w:rPr>
        <w:t>lõppkasutaja</w:t>
      </w:r>
      <w:r w:rsidR="007A4098" w:rsidRPr="00C50854">
        <w:rPr>
          <w:lang w:eastAsia="et-EE"/>
        </w:rPr>
        <w:t xml:space="preserve"> seisukohast pigem täiendavad üksteist, kui asendavad</w:t>
      </w:r>
      <w:r w:rsidR="006570F8" w:rsidRPr="00C50854">
        <w:rPr>
          <w:lang w:eastAsia="et-EE"/>
        </w:rPr>
        <w:t>. Seega vaatamata võrreldavatele hindadele ja -kiirustele ei ole need tooted siiski asendatavad andmeedastusteenuste läbilaskevõime-, kvaliteedi- ja mahupiirangute erinevuste tõttu.</w:t>
      </w:r>
    </w:p>
    <w:p w14:paraId="13E18A55" w14:textId="77777777" w:rsidR="00035540" w:rsidRPr="00C50854" w:rsidRDefault="00035540" w:rsidP="00B507AD">
      <w:pPr>
        <w:suppressAutoHyphens w:val="0"/>
        <w:autoSpaceDE w:val="0"/>
        <w:autoSpaceDN w:val="0"/>
        <w:adjustRightInd w:val="0"/>
        <w:spacing w:before="240" w:after="120"/>
        <w:ind w:left="360"/>
        <w:jc w:val="both"/>
        <w:rPr>
          <w:b/>
          <w:lang w:eastAsia="et-EE"/>
        </w:rPr>
      </w:pPr>
      <w:r w:rsidRPr="00C50854">
        <w:rPr>
          <w:b/>
          <w:lang w:eastAsia="et-EE"/>
        </w:rPr>
        <w:t>Pakkumisepoolne asendatavus</w:t>
      </w:r>
    </w:p>
    <w:p w14:paraId="4E84ABD4" w14:textId="4DC301BF" w:rsidR="00035540" w:rsidRPr="00C50854" w:rsidRDefault="000355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Mobiiltelefonivõrkudes osutatav </w:t>
      </w:r>
      <w:r w:rsidR="005F2CE9" w:rsidRPr="00C50854">
        <w:rPr>
          <w:lang w:eastAsia="et-EE"/>
        </w:rPr>
        <w:t xml:space="preserve">hulgitasandi </w:t>
      </w:r>
      <w:r w:rsidRPr="00C50854">
        <w:rPr>
          <w:lang w:eastAsia="et-EE"/>
        </w:rPr>
        <w:t>juurdepääsuteenus</w:t>
      </w:r>
      <w:r w:rsidR="00556A20" w:rsidRPr="00C50854">
        <w:rPr>
          <w:lang w:eastAsia="et-EE"/>
        </w:rPr>
        <w:t xml:space="preserve"> peaks tehnilise</w:t>
      </w:r>
      <w:r w:rsidR="00782543" w:rsidRPr="00C50854">
        <w:rPr>
          <w:lang w:eastAsia="et-EE"/>
        </w:rPr>
        <w:t>l</w:t>
      </w:r>
      <w:r w:rsidR="00556A20" w:rsidRPr="00C50854">
        <w:rPr>
          <w:lang w:eastAsia="et-EE"/>
        </w:rPr>
        <w:t>t seisnema siseriikliku rändlusteenuse osutamises. Käesoleval hetkel ükski mobiiltelefonivõrgu operaator siseriikliku rändlusteenust ei osuta.</w:t>
      </w:r>
      <w:r w:rsidR="00B75546" w:rsidRPr="00C50854">
        <w:rPr>
          <w:lang w:eastAsia="et-EE"/>
        </w:rPr>
        <w:t xml:space="preserve"> Seega mobiiltelefoni võrgus hulgitasandi juurdepääsu osutamine</w:t>
      </w:r>
      <w:r w:rsidRPr="00C50854">
        <w:rPr>
          <w:lang w:eastAsia="et-EE"/>
        </w:rPr>
        <w:t xml:space="preserve"> ei ole võrreldav </w:t>
      </w:r>
      <w:r w:rsidR="00FF5296" w:rsidRPr="00C50854">
        <w:rPr>
          <w:lang w:eastAsia="et-EE"/>
        </w:rPr>
        <w:t>juurdepääsuteenusega</w:t>
      </w:r>
      <w:r w:rsidR="00556A20" w:rsidRPr="00C50854">
        <w:rPr>
          <w:lang w:eastAsia="et-EE"/>
        </w:rPr>
        <w:t xml:space="preserve"> vask- ja </w:t>
      </w:r>
      <w:r w:rsidR="00782543" w:rsidRPr="00C50854">
        <w:rPr>
          <w:lang w:eastAsia="et-EE"/>
        </w:rPr>
        <w:t>valguskaab</w:t>
      </w:r>
      <w:r w:rsidR="00B75546" w:rsidRPr="00C50854">
        <w:rPr>
          <w:lang w:eastAsia="et-EE"/>
        </w:rPr>
        <w:t>el võrkudes</w:t>
      </w:r>
      <w:r w:rsidRPr="00C50854">
        <w:rPr>
          <w:lang w:eastAsia="et-EE"/>
        </w:rPr>
        <w:t xml:space="preserve">, kuna mobiiltelefonivõrgu baasil </w:t>
      </w:r>
      <w:r w:rsidR="00B75546" w:rsidRPr="00C50854">
        <w:rPr>
          <w:lang w:eastAsia="et-EE"/>
        </w:rPr>
        <w:t xml:space="preserve">teoreetiliselt </w:t>
      </w:r>
      <w:r w:rsidRPr="00C50854">
        <w:rPr>
          <w:lang w:eastAsia="et-EE"/>
        </w:rPr>
        <w:t>osutatav juurdepääsuteenuse puhul o</w:t>
      </w:r>
      <w:r w:rsidR="00B75546" w:rsidRPr="00C50854">
        <w:rPr>
          <w:lang w:eastAsia="et-EE"/>
        </w:rPr>
        <w:t>leks</w:t>
      </w:r>
      <w:r w:rsidRPr="00C50854">
        <w:rPr>
          <w:lang w:eastAsia="et-EE"/>
        </w:rPr>
        <w:t xml:space="preserve"> tegemist pigem </w:t>
      </w:r>
      <w:r w:rsidR="00B507AD" w:rsidRPr="00C50854">
        <w:rPr>
          <w:lang w:eastAsia="et-EE"/>
        </w:rPr>
        <w:t xml:space="preserve">keskse </w:t>
      </w:r>
      <w:r w:rsidRPr="00C50854">
        <w:rPr>
          <w:lang w:eastAsia="et-EE"/>
        </w:rPr>
        <w:t>juurdepääsu</w:t>
      </w:r>
      <w:r w:rsidR="00782543" w:rsidRPr="00C50854">
        <w:rPr>
          <w:lang w:eastAsia="et-EE"/>
        </w:rPr>
        <w:t xml:space="preserve"> </w:t>
      </w:r>
      <w:r w:rsidRPr="00C50854">
        <w:rPr>
          <w:lang w:eastAsia="et-EE"/>
        </w:rPr>
        <w:t>teenusega</w:t>
      </w:r>
      <w:r w:rsidR="00782543" w:rsidRPr="00C50854">
        <w:rPr>
          <w:lang w:eastAsia="et-EE"/>
        </w:rPr>
        <w:t>, kui kohaliku juurdepääsu teenusega</w:t>
      </w:r>
      <w:r w:rsidRPr="00C50854">
        <w:rPr>
          <w:lang w:eastAsia="et-EE"/>
        </w:rPr>
        <w:t xml:space="preserve">. </w:t>
      </w:r>
    </w:p>
    <w:p w14:paraId="52C0D2C2" w14:textId="5D831A19" w:rsidR="00035540" w:rsidRPr="00C50854" w:rsidRDefault="000355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Kaasaegne mobiilsidevõrk koosnebki peamiselt üleriigilisest </w:t>
      </w:r>
      <w:r w:rsidR="00B507AD" w:rsidRPr="00C50854">
        <w:rPr>
          <w:lang w:eastAsia="et-EE"/>
        </w:rPr>
        <w:t xml:space="preserve">valguskaabel </w:t>
      </w:r>
      <w:r w:rsidRPr="00C50854">
        <w:rPr>
          <w:lang w:eastAsia="et-EE"/>
        </w:rPr>
        <w:t>võrgust, mille lõpp-punkt</w:t>
      </w:r>
      <w:r w:rsidR="004B3336" w:rsidRPr="00C50854">
        <w:rPr>
          <w:lang w:eastAsia="et-EE"/>
        </w:rPr>
        <w:t xml:space="preserve">ideks on mobiilside tugijaamad ning </w:t>
      </w:r>
      <w:r w:rsidRPr="00C50854">
        <w:rPr>
          <w:lang w:eastAsia="et-EE"/>
        </w:rPr>
        <w:t xml:space="preserve">mille vahendusel levib teenus omakorda </w:t>
      </w:r>
      <w:r w:rsidR="002A5D20" w:rsidRPr="00C50854">
        <w:rPr>
          <w:lang w:eastAsia="et-EE"/>
        </w:rPr>
        <w:t>lõppkasutaja</w:t>
      </w:r>
      <w:r w:rsidRPr="00C50854">
        <w:rPr>
          <w:lang w:eastAsia="et-EE"/>
        </w:rPr>
        <w:t xml:space="preserve">ni. </w:t>
      </w:r>
      <w:r w:rsidR="004B3336" w:rsidRPr="00C50854">
        <w:rPr>
          <w:lang w:eastAsia="et-EE"/>
        </w:rPr>
        <w:t>Kuna m</w:t>
      </w:r>
      <w:r w:rsidRPr="00C50854">
        <w:rPr>
          <w:lang w:eastAsia="et-EE"/>
        </w:rPr>
        <w:t>obiiltelefonivõrgus on võrgule juur</w:t>
      </w:r>
      <w:r w:rsidR="004B3336" w:rsidRPr="00C50854">
        <w:rPr>
          <w:lang w:eastAsia="et-EE"/>
        </w:rPr>
        <w:t xml:space="preserve">depääs võimalik ainult </w:t>
      </w:r>
      <w:r w:rsidR="002D283E" w:rsidRPr="00C50854">
        <w:rPr>
          <w:lang w:eastAsia="et-EE"/>
        </w:rPr>
        <w:t xml:space="preserve">tuumikvõrgu </w:t>
      </w:r>
      <w:proofErr w:type="spellStart"/>
      <w:r w:rsidR="002D283E" w:rsidRPr="00C50854">
        <w:rPr>
          <w:lang w:eastAsia="et-EE"/>
        </w:rPr>
        <w:t>keskseadmete</w:t>
      </w:r>
      <w:proofErr w:type="spellEnd"/>
      <w:r w:rsidR="004B3336" w:rsidRPr="00C50854">
        <w:rPr>
          <w:lang w:eastAsia="et-EE"/>
        </w:rPr>
        <w:t xml:space="preserve"> ja </w:t>
      </w:r>
      <w:r w:rsidRPr="00C50854">
        <w:rPr>
          <w:lang w:eastAsia="et-EE"/>
        </w:rPr>
        <w:t xml:space="preserve">mitte baasjaama vahendusel, </w:t>
      </w:r>
      <w:r w:rsidR="00B75546" w:rsidRPr="00C50854">
        <w:rPr>
          <w:lang w:eastAsia="et-EE"/>
        </w:rPr>
        <w:t xml:space="preserve">siis </w:t>
      </w:r>
      <w:r w:rsidRPr="00C50854">
        <w:rPr>
          <w:lang w:eastAsia="et-EE"/>
        </w:rPr>
        <w:t xml:space="preserve">ei ole mobiiltelefonivõrgus </w:t>
      </w:r>
      <w:r w:rsidR="00B75546" w:rsidRPr="00C50854">
        <w:rPr>
          <w:lang w:eastAsia="et-EE"/>
        </w:rPr>
        <w:t xml:space="preserve">võimalik </w:t>
      </w:r>
      <w:r w:rsidRPr="00C50854">
        <w:rPr>
          <w:lang w:eastAsia="et-EE"/>
        </w:rPr>
        <w:t>osut</w:t>
      </w:r>
      <w:r w:rsidR="00B75546" w:rsidRPr="00C50854">
        <w:rPr>
          <w:lang w:eastAsia="et-EE"/>
        </w:rPr>
        <w:t>ada vask- ja valguskaablil</w:t>
      </w:r>
      <w:r w:rsidRPr="00C50854">
        <w:rPr>
          <w:lang w:eastAsia="et-EE"/>
        </w:rPr>
        <w:t xml:space="preserve"> p</w:t>
      </w:r>
      <w:r w:rsidR="004B3336" w:rsidRPr="00C50854">
        <w:rPr>
          <w:lang w:eastAsia="et-EE"/>
        </w:rPr>
        <w:t xml:space="preserve">õhineva </w:t>
      </w:r>
      <w:r w:rsidR="00782543" w:rsidRPr="00C50854">
        <w:rPr>
          <w:lang w:eastAsia="et-EE"/>
        </w:rPr>
        <w:t>kohaliku</w:t>
      </w:r>
      <w:r w:rsidR="00A93CB0" w:rsidRPr="00C50854">
        <w:rPr>
          <w:lang w:eastAsia="et-EE"/>
        </w:rPr>
        <w:t xml:space="preserve"> </w:t>
      </w:r>
      <w:r w:rsidR="004B3336" w:rsidRPr="00C50854">
        <w:rPr>
          <w:lang w:eastAsia="et-EE"/>
        </w:rPr>
        <w:t xml:space="preserve">juurdepääsu </w:t>
      </w:r>
      <w:r w:rsidR="00782543" w:rsidRPr="00C50854">
        <w:rPr>
          <w:lang w:eastAsia="et-EE"/>
        </w:rPr>
        <w:t>hulgi</w:t>
      </w:r>
      <w:r w:rsidR="004B3336" w:rsidRPr="00C50854">
        <w:rPr>
          <w:lang w:eastAsia="et-EE"/>
        </w:rPr>
        <w:t xml:space="preserve">teenusega </w:t>
      </w:r>
      <w:r w:rsidR="00B75546" w:rsidRPr="00C50854">
        <w:rPr>
          <w:lang w:eastAsia="et-EE"/>
        </w:rPr>
        <w:t xml:space="preserve">võrreldavat teenust </w:t>
      </w:r>
      <w:r w:rsidR="004B3336" w:rsidRPr="00C50854">
        <w:rPr>
          <w:lang w:eastAsia="et-EE"/>
        </w:rPr>
        <w:t>ning</w:t>
      </w:r>
      <w:r w:rsidRPr="00C50854">
        <w:rPr>
          <w:lang w:eastAsia="et-EE"/>
        </w:rPr>
        <w:t xml:space="preserve"> se</w:t>
      </w:r>
      <w:r w:rsidR="00344071" w:rsidRPr="00C50854">
        <w:rPr>
          <w:lang w:eastAsia="et-EE"/>
        </w:rPr>
        <w:t>ega</w:t>
      </w:r>
      <w:r w:rsidRPr="00C50854">
        <w:rPr>
          <w:lang w:eastAsia="et-EE"/>
        </w:rPr>
        <w:t xml:space="preserve"> ei saa </w:t>
      </w:r>
      <w:r w:rsidR="00B75546" w:rsidRPr="00C50854">
        <w:rPr>
          <w:lang w:eastAsia="et-EE"/>
        </w:rPr>
        <w:t xml:space="preserve">mobiiltelefoni võrku </w:t>
      </w:r>
      <w:r w:rsidR="00CB6210" w:rsidRPr="00C50854">
        <w:rPr>
          <w:lang w:eastAsia="et-EE"/>
        </w:rPr>
        <w:t xml:space="preserve">käsitleda </w:t>
      </w:r>
      <w:r w:rsidR="00344071" w:rsidRPr="00C50854">
        <w:rPr>
          <w:lang w:eastAsia="et-EE"/>
        </w:rPr>
        <w:t>vaadeldaval turul</w:t>
      </w:r>
      <w:r w:rsidRPr="00C50854">
        <w:rPr>
          <w:lang w:eastAsia="et-EE"/>
        </w:rPr>
        <w:t xml:space="preserve"> asendusteenusena.</w:t>
      </w:r>
    </w:p>
    <w:p w14:paraId="5FF07173" w14:textId="77777777" w:rsidR="00035540" w:rsidRPr="00C50854" w:rsidRDefault="00035540" w:rsidP="00035540">
      <w:pPr>
        <w:suppressAutoHyphens w:val="0"/>
        <w:rPr>
          <w:b/>
          <w:lang w:eastAsia="et-EE"/>
        </w:rPr>
      </w:pPr>
      <w:r w:rsidRPr="00C50854">
        <w:rPr>
          <w:b/>
          <w:lang w:eastAsia="et-EE"/>
        </w:rPr>
        <w:t>Järeldus</w:t>
      </w:r>
    </w:p>
    <w:p w14:paraId="128577A7" w14:textId="385181FD" w:rsidR="00035540" w:rsidRPr="00C50854" w:rsidRDefault="000355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Eeltoodud nõudluse- ja pakkumisepoolse asendatavuse hindamise tulemusena leiab </w:t>
      </w:r>
      <w:r w:rsidR="00483BCD" w:rsidRPr="00C50854">
        <w:rPr>
          <w:lang w:eastAsia="et-EE"/>
        </w:rPr>
        <w:t>T</w:t>
      </w:r>
      <w:r w:rsidR="0041424D" w:rsidRPr="00C50854">
        <w:rPr>
          <w:lang w:eastAsia="et-EE"/>
        </w:rPr>
        <w:t>T</w:t>
      </w:r>
      <w:r w:rsidR="00483BCD" w:rsidRPr="00C50854">
        <w:rPr>
          <w:lang w:eastAsia="et-EE"/>
        </w:rPr>
        <w:t>JA</w:t>
      </w:r>
      <w:r w:rsidRPr="00C50854">
        <w:rPr>
          <w:lang w:eastAsia="et-EE"/>
        </w:rPr>
        <w:t xml:space="preserve">, et mobiiltelefonivõrgul põhineva juurdepääsuvõrgu baasil ei ole võimalik osutada hulgiteenuseid, mis oleksid oma omaduste ja kasutamisvõimaluste poolest </w:t>
      </w:r>
      <w:r w:rsidR="00483BCD" w:rsidRPr="00C50854">
        <w:rPr>
          <w:lang w:eastAsia="et-EE"/>
        </w:rPr>
        <w:t xml:space="preserve">kohaliku </w:t>
      </w:r>
      <w:r w:rsidRPr="00C50854">
        <w:rPr>
          <w:lang w:eastAsia="et-EE"/>
        </w:rPr>
        <w:t>juurdepääsu hulgituru teenuste asendusteenusteks ja mõjutaksid nimetatud turul oluliselt konkurentsi</w:t>
      </w:r>
      <w:r w:rsidR="00FF5296" w:rsidRPr="00C50854">
        <w:rPr>
          <w:lang w:eastAsia="et-EE"/>
        </w:rPr>
        <w:t xml:space="preserve"> </w:t>
      </w:r>
      <w:r w:rsidRPr="00C50854">
        <w:rPr>
          <w:lang w:eastAsia="et-EE"/>
        </w:rPr>
        <w:t>olukorda. Sellest tulenevalt ei ole põhjendatud mobiiltelefonivõrgul põhineva juurdepääsuvõrgu baasil osutatava juurdepääsuteenuse kaasamine asjakohase turu koosseisu.</w:t>
      </w:r>
    </w:p>
    <w:p w14:paraId="6CEBCAEA" w14:textId="1914EDF6" w:rsidR="00493EA8" w:rsidRPr="00C50854" w:rsidRDefault="00D82259" w:rsidP="004D4AF8">
      <w:pPr>
        <w:pStyle w:val="Pealkiri4"/>
      </w:pPr>
      <w:bookmarkStart w:id="149" w:name="_Toc464639331"/>
      <w:bookmarkEnd w:id="139"/>
      <w:bookmarkEnd w:id="140"/>
      <w:bookmarkEnd w:id="141"/>
      <w:bookmarkEnd w:id="142"/>
      <w:bookmarkEnd w:id="143"/>
      <w:r w:rsidRPr="00C50854">
        <w:lastRenderedPageBreak/>
        <w:t>3.2.3.</w:t>
      </w:r>
      <w:r w:rsidR="008D4015" w:rsidRPr="00C50854">
        <w:t>3</w:t>
      </w:r>
      <w:r w:rsidRPr="00C50854">
        <w:t>. Kaabellevivõrgul põhinev juurdepääsuvõrk</w:t>
      </w:r>
      <w:bookmarkEnd w:id="149"/>
    </w:p>
    <w:p w14:paraId="2CD464C0" w14:textId="77777777" w:rsidR="00D82259" w:rsidRPr="00C50854" w:rsidRDefault="00D82259" w:rsidP="00D82259">
      <w:pPr>
        <w:suppressAutoHyphens w:val="0"/>
        <w:spacing w:before="240" w:after="120"/>
        <w:rPr>
          <w:b/>
          <w:lang w:eastAsia="et-EE"/>
        </w:rPr>
      </w:pPr>
      <w:r w:rsidRPr="00C50854">
        <w:rPr>
          <w:b/>
          <w:lang w:eastAsia="et-EE"/>
        </w:rPr>
        <w:t>Nõudlusepoolne asendatavus</w:t>
      </w:r>
    </w:p>
    <w:p w14:paraId="6B29E965" w14:textId="1412FFB2" w:rsidR="00D82259" w:rsidRPr="00C50854" w:rsidRDefault="00D82259"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Kaabellevivõrgu juurdepääsuvõrgu kaudu on võimalik pakkuda </w:t>
      </w:r>
      <w:r w:rsidR="00C727F1" w:rsidRPr="00C50854">
        <w:rPr>
          <w:lang w:eastAsia="et-EE"/>
        </w:rPr>
        <w:t>vask- ja valguskaabli juurdepääsuvõrgu</w:t>
      </w:r>
      <w:r w:rsidRPr="00C50854">
        <w:rPr>
          <w:lang w:eastAsia="et-EE"/>
        </w:rPr>
        <w:t xml:space="preserve"> kaudu osutatavate jaeteenustega analoogseid teenuseid, kuid </w:t>
      </w:r>
      <w:r w:rsidR="00C727F1" w:rsidRPr="00C50854">
        <w:rPr>
          <w:lang w:eastAsia="et-EE"/>
        </w:rPr>
        <w:t>hulgiteenuste tasandil on võrkude vahelised erinevused suured</w:t>
      </w:r>
      <w:r w:rsidRPr="00C50854">
        <w:rPr>
          <w:lang w:eastAsia="et-EE"/>
        </w:rPr>
        <w:t>.</w:t>
      </w:r>
    </w:p>
    <w:p w14:paraId="41EBCB1E" w14:textId="6B597509" w:rsidR="00A47186" w:rsidRPr="00C50854" w:rsidRDefault="00D82259"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Võrreldes </w:t>
      </w:r>
      <w:r w:rsidR="00C259C0" w:rsidRPr="00C50854">
        <w:rPr>
          <w:lang w:eastAsia="et-EE"/>
        </w:rPr>
        <w:t xml:space="preserve">vask- </w:t>
      </w:r>
      <w:r w:rsidRPr="00C50854">
        <w:rPr>
          <w:lang w:eastAsia="et-EE"/>
        </w:rPr>
        <w:t>ja valguskaablil põhineva juurdepääsuvõr</w:t>
      </w:r>
      <w:r w:rsidR="00C259C0" w:rsidRPr="00C50854">
        <w:rPr>
          <w:lang w:eastAsia="et-EE"/>
        </w:rPr>
        <w:t>guga</w:t>
      </w:r>
      <w:r w:rsidRPr="00C50854">
        <w:rPr>
          <w:lang w:eastAsia="et-EE"/>
        </w:rPr>
        <w:t xml:space="preserve"> on väljaehitatud kaabellevivõrkude geograafiline ulatus väiksema katvusalaga. Ükski kaabellevivõrgu omanik ei oma üle</w:t>
      </w:r>
      <w:r w:rsidR="00B27B51" w:rsidRPr="00C50854">
        <w:rPr>
          <w:lang w:eastAsia="et-EE"/>
        </w:rPr>
        <w:t>-</w:t>
      </w:r>
      <w:r w:rsidRPr="00C50854">
        <w:rPr>
          <w:lang w:eastAsia="et-EE"/>
        </w:rPr>
        <w:t>eestilist sidevõrku. Seal, kus kaabellevivõrgu</w:t>
      </w:r>
      <w:r w:rsidR="00D5502F" w:rsidRPr="00C50854">
        <w:rPr>
          <w:lang w:eastAsia="et-EE"/>
        </w:rPr>
        <w:t xml:space="preserve"> </w:t>
      </w:r>
      <w:r w:rsidRPr="00C50854">
        <w:rPr>
          <w:lang w:eastAsia="et-EE"/>
        </w:rPr>
        <w:t>põhised juurdepääsuvõrgud on olemas, eksisteerivad need reeglina paralleelselt</w:t>
      </w:r>
      <w:r w:rsidR="00C259C0" w:rsidRPr="00C50854">
        <w:rPr>
          <w:lang w:eastAsia="et-EE"/>
        </w:rPr>
        <w:t xml:space="preserve"> vask- ja valguskaablil</w:t>
      </w:r>
      <w:r w:rsidRPr="00C50854">
        <w:rPr>
          <w:lang w:eastAsia="et-EE"/>
        </w:rPr>
        <w:t xml:space="preserve"> põhineva</w:t>
      </w:r>
      <w:r w:rsidR="00C259C0" w:rsidRPr="00C50854">
        <w:rPr>
          <w:lang w:eastAsia="et-EE"/>
        </w:rPr>
        <w:t>te</w:t>
      </w:r>
      <w:r w:rsidRPr="00C50854">
        <w:rPr>
          <w:lang w:eastAsia="et-EE"/>
        </w:rPr>
        <w:t xml:space="preserve"> juurdepääsuvõr</w:t>
      </w:r>
      <w:r w:rsidR="00C259C0" w:rsidRPr="00C50854">
        <w:rPr>
          <w:lang w:eastAsia="et-EE"/>
        </w:rPr>
        <w:t>k</w:t>
      </w:r>
      <w:r w:rsidRPr="00C50854">
        <w:rPr>
          <w:lang w:eastAsia="et-EE"/>
        </w:rPr>
        <w:t>u</w:t>
      </w:r>
      <w:r w:rsidR="00C259C0" w:rsidRPr="00C50854">
        <w:rPr>
          <w:lang w:eastAsia="et-EE"/>
        </w:rPr>
        <w:t>de</w:t>
      </w:r>
      <w:r w:rsidRPr="00C50854">
        <w:rPr>
          <w:lang w:eastAsia="et-EE"/>
        </w:rPr>
        <w:t xml:space="preserve">ga ning sellistes piirkondades on nimetatud lahendustel põhinevad </w:t>
      </w:r>
      <w:r w:rsidR="00C259C0" w:rsidRPr="00C50854">
        <w:rPr>
          <w:lang w:eastAsia="et-EE"/>
        </w:rPr>
        <w:t>elektroonilise side teenused</w:t>
      </w:r>
      <w:r w:rsidRPr="00C50854">
        <w:rPr>
          <w:lang w:eastAsia="et-EE"/>
        </w:rPr>
        <w:t xml:space="preserve"> jaetasemel omavahel asendusteenusteks. Peamiselt paiknevad sellised sidevõrgud tiheasustusega piirkondades</w:t>
      </w:r>
      <w:r w:rsidR="002F11EB" w:rsidRPr="00C50854">
        <w:rPr>
          <w:lang w:eastAsia="et-EE"/>
        </w:rPr>
        <w:t xml:space="preserve"> (</w:t>
      </w:r>
      <w:r w:rsidRPr="00C50854">
        <w:rPr>
          <w:lang w:eastAsia="et-EE"/>
        </w:rPr>
        <w:t>enamasti linnade korrusmajade piirkondades</w:t>
      </w:r>
      <w:r w:rsidR="002F11EB" w:rsidRPr="00C50854">
        <w:rPr>
          <w:lang w:eastAsia="et-EE"/>
        </w:rPr>
        <w:t>), kus need sidevõrgud</w:t>
      </w:r>
      <w:r w:rsidRPr="00C50854">
        <w:rPr>
          <w:lang w:eastAsia="et-EE"/>
        </w:rPr>
        <w:t xml:space="preserve"> on </w:t>
      </w:r>
      <w:r w:rsidR="00C259C0" w:rsidRPr="00C50854">
        <w:rPr>
          <w:lang w:eastAsia="et-EE"/>
        </w:rPr>
        <w:t xml:space="preserve">vask- ja valguskaablil </w:t>
      </w:r>
      <w:r w:rsidRPr="00C50854">
        <w:rPr>
          <w:lang w:eastAsia="et-EE"/>
        </w:rPr>
        <w:t>põhinevate juurdepääsuvõrkudega paralleelselt väljaehitatud</w:t>
      </w:r>
      <w:r w:rsidR="002F11EB" w:rsidRPr="00C50854">
        <w:rPr>
          <w:lang w:eastAsia="et-EE"/>
        </w:rPr>
        <w:t>. Nende võrkude e</w:t>
      </w:r>
      <w:r w:rsidRPr="00C50854">
        <w:rPr>
          <w:lang w:eastAsia="et-EE"/>
        </w:rPr>
        <w:t xml:space="preserve">rinevus seisneb </w:t>
      </w:r>
      <w:r w:rsidR="002F11EB" w:rsidRPr="00C50854">
        <w:rPr>
          <w:lang w:eastAsia="et-EE"/>
        </w:rPr>
        <w:t xml:space="preserve">aga </w:t>
      </w:r>
      <w:r w:rsidRPr="00C50854">
        <w:rPr>
          <w:lang w:eastAsia="et-EE"/>
        </w:rPr>
        <w:t xml:space="preserve">asjaolus, et </w:t>
      </w:r>
      <w:r w:rsidR="00C259C0" w:rsidRPr="00C50854">
        <w:rPr>
          <w:lang w:eastAsia="et-EE"/>
        </w:rPr>
        <w:t xml:space="preserve">vask- ja valguskaablil </w:t>
      </w:r>
      <w:r w:rsidRPr="00C50854">
        <w:rPr>
          <w:lang w:eastAsia="et-EE"/>
        </w:rPr>
        <w:t xml:space="preserve">põhinevale juurdepääsuvõrgule on võimalik juurde pääseda lähimast võrgu sõlmest ehk peajaotajast, kuid kaabellevi puhul on juurdepääs võimalik ainult </w:t>
      </w:r>
      <w:r w:rsidR="00EC5EA6" w:rsidRPr="00C50854">
        <w:rPr>
          <w:lang w:eastAsia="et-EE"/>
        </w:rPr>
        <w:t xml:space="preserve">sidevõrgu </w:t>
      </w:r>
      <w:r w:rsidRPr="00C50854">
        <w:rPr>
          <w:lang w:eastAsia="et-EE"/>
        </w:rPr>
        <w:t>peajaama kaudu.</w:t>
      </w:r>
    </w:p>
    <w:p w14:paraId="0DDC0875" w14:textId="390FB878" w:rsidR="00434B6C" w:rsidRPr="00C50854" w:rsidRDefault="00D82259" w:rsidP="00311E1F">
      <w:pPr>
        <w:numPr>
          <w:ilvl w:val="0"/>
          <w:numId w:val="13"/>
        </w:numPr>
        <w:suppressAutoHyphens w:val="0"/>
        <w:autoSpaceDE w:val="0"/>
        <w:autoSpaceDN w:val="0"/>
        <w:adjustRightInd w:val="0"/>
        <w:spacing w:before="120" w:after="120"/>
        <w:jc w:val="both"/>
        <w:rPr>
          <w:lang w:eastAsia="et-EE"/>
        </w:rPr>
      </w:pPr>
      <w:r w:rsidRPr="00C50854">
        <w:rPr>
          <w:lang w:eastAsia="et-EE"/>
        </w:rPr>
        <w:t>Kaabellevivõrkudes luuakse kliendile (lõppkasutajale) individuaalne ühendus alles kaabellevivõrgu</w:t>
      </w:r>
      <w:r w:rsidR="00A47186" w:rsidRPr="00C50854">
        <w:rPr>
          <w:lang w:eastAsia="et-EE"/>
        </w:rPr>
        <w:t xml:space="preserve"> </w:t>
      </w:r>
      <w:r w:rsidRPr="00C50854">
        <w:rPr>
          <w:lang w:eastAsia="et-EE"/>
        </w:rPr>
        <w:t xml:space="preserve">lõpp-punktis. Seega puudub kaabellevivõrkudel </w:t>
      </w:r>
      <w:r w:rsidR="000812FF" w:rsidRPr="00C50854">
        <w:rPr>
          <w:lang w:eastAsia="et-EE"/>
        </w:rPr>
        <w:t xml:space="preserve">vask- </w:t>
      </w:r>
      <w:r w:rsidR="00C259C0" w:rsidRPr="00C50854">
        <w:rPr>
          <w:lang w:eastAsia="et-EE"/>
        </w:rPr>
        <w:t>ja</w:t>
      </w:r>
      <w:r w:rsidR="000812FF" w:rsidRPr="00C50854">
        <w:rPr>
          <w:lang w:eastAsia="et-EE"/>
        </w:rPr>
        <w:t xml:space="preserve"> valguskaabel </w:t>
      </w:r>
      <w:r w:rsidRPr="00C50854">
        <w:rPr>
          <w:lang w:eastAsia="et-EE"/>
        </w:rPr>
        <w:t xml:space="preserve">võrkudele iseloomulik juurdepääsuvõrgu osa </w:t>
      </w:r>
      <w:r w:rsidR="00C259C0" w:rsidRPr="00C50854">
        <w:rPr>
          <w:lang w:eastAsia="et-EE"/>
        </w:rPr>
        <w:t xml:space="preserve">ning </w:t>
      </w:r>
      <w:r w:rsidRPr="00C50854">
        <w:rPr>
          <w:lang w:eastAsia="et-EE"/>
        </w:rPr>
        <w:t>individuaalne juurdepääs kliendile luuakse liini vahendusel, mis üldjuhul kuulub kliendile.</w:t>
      </w:r>
    </w:p>
    <w:p w14:paraId="1864DBF9" w14:textId="0CB5D934" w:rsidR="007F512C" w:rsidRPr="00C50854" w:rsidRDefault="00B75304" w:rsidP="00311E1F">
      <w:pPr>
        <w:numPr>
          <w:ilvl w:val="0"/>
          <w:numId w:val="13"/>
        </w:numPr>
        <w:suppressAutoHyphens w:val="0"/>
        <w:autoSpaceDE w:val="0"/>
        <w:autoSpaceDN w:val="0"/>
        <w:adjustRightInd w:val="0"/>
        <w:spacing w:before="120" w:after="120"/>
        <w:jc w:val="both"/>
        <w:rPr>
          <w:lang w:eastAsia="et-EE"/>
        </w:rPr>
      </w:pPr>
      <w:r w:rsidRPr="00C50854">
        <w:rPr>
          <w:lang w:eastAsia="et-EE"/>
        </w:rPr>
        <w:t>Kaabellevivõrku omavad sideettevõtjad</w:t>
      </w:r>
      <w:r w:rsidRPr="00C50854" w:rsidDel="00B75304">
        <w:rPr>
          <w:lang w:eastAsia="et-EE"/>
        </w:rPr>
        <w:t xml:space="preserve"> </w:t>
      </w:r>
      <w:r w:rsidR="00C727F1" w:rsidRPr="00C50854">
        <w:rPr>
          <w:lang w:eastAsia="et-EE"/>
        </w:rPr>
        <w:t xml:space="preserve">pakuvad jaeteenuseid tavaliselt pakettidena. Telia </w:t>
      </w:r>
      <w:r w:rsidR="00D16DB5" w:rsidRPr="00C50854">
        <w:rPr>
          <w:lang w:eastAsia="et-EE"/>
        </w:rPr>
        <w:t>Koduinterneti</w:t>
      </w:r>
      <w:r w:rsidR="00C727F1" w:rsidRPr="00C50854">
        <w:rPr>
          <w:lang w:eastAsia="et-EE"/>
        </w:rPr>
        <w:t xml:space="preserve"> teenused on võrreldes kaabellevi</w:t>
      </w:r>
      <w:r w:rsidRPr="00C50854">
        <w:rPr>
          <w:lang w:eastAsia="et-EE"/>
        </w:rPr>
        <w:t xml:space="preserve">võrku omavate </w:t>
      </w:r>
      <w:r w:rsidR="00C727F1" w:rsidRPr="00C50854">
        <w:rPr>
          <w:lang w:eastAsia="et-EE"/>
        </w:rPr>
        <w:t xml:space="preserve"> </w:t>
      </w:r>
      <w:r w:rsidR="002A5D20" w:rsidRPr="00C50854">
        <w:rPr>
          <w:lang w:eastAsia="et-EE"/>
        </w:rPr>
        <w:t>sideettevõtja</w:t>
      </w:r>
      <w:r w:rsidR="00C727F1" w:rsidRPr="00C50854">
        <w:rPr>
          <w:lang w:eastAsia="et-EE"/>
        </w:rPr>
        <w:t xml:space="preserve">te samaväärsete teenuse pakettidega </w:t>
      </w:r>
      <w:r w:rsidR="00D16DB5" w:rsidRPr="00C50854">
        <w:rPr>
          <w:lang w:eastAsia="et-EE"/>
        </w:rPr>
        <w:t>5</w:t>
      </w:r>
      <w:r w:rsidR="00C727F1" w:rsidRPr="00C50854">
        <w:rPr>
          <w:lang w:eastAsia="et-EE"/>
        </w:rPr>
        <w:t>-</w:t>
      </w:r>
      <w:r w:rsidR="00D16DB5" w:rsidRPr="00C50854">
        <w:rPr>
          <w:lang w:eastAsia="et-EE"/>
        </w:rPr>
        <w:t>60</w:t>
      </w:r>
      <w:r w:rsidR="00C727F1" w:rsidRPr="00C50854">
        <w:rPr>
          <w:lang w:eastAsia="et-EE"/>
        </w:rPr>
        <w:t xml:space="preserve">% võrra kallimad (vt </w:t>
      </w:r>
      <w:r w:rsidR="00C727F1" w:rsidRPr="00C50854">
        <w:rPr>
          <w:lang w:eastAsia="et-EE"/>
        </w:rPr>
        <w:fldChar w:fldCharType="begin"/>
      </w:r>
      <w:r w:rsidR="00C727F1" w:rsidRPr="00C50854">
        <w:rPr>
          <w:lang w:eastAsia="et-EE"/>
        </w:rPr>
        <w:instrText xml:space="preserve"> REF _Ref462926821 \h  \* MERGEFORMAT </w:instrText>
      </w:r>
      <w:r w:rsidR="00C727F1" w:rsidRPr="00C50854">
        <w:rPr>
          <w:lang w:eastAsia="et-EE"/>
        </w:rPr>
      </w:r>
      <w:r w:rsidR="00C727F1" w:rsidRPr="00C50854">
        <w:rPr>
          <w:lang w:eastAsia="et-EE"/>
        </w:rPr>
        <w:fldChar w:fldCharType="separate"/>
      </w:r>
      <w:r w:rsidR="0079054B" w:rsidRPr="00C50854">
        <w:rPr>
          <w:bCs/>
          <w:lang w:eastAsia="et-EE"/>
        </w:rPr>
        <w:t xml:space="preserve">Tabel </w:t>
      </w:r>
      <w:r w:rsidR="0079054B" w:rsidRPr="00C50854">
        <w:rPr>
          <w:bCs/>
          <w:noProof/>
          <w:lang w:eastAsia="et-EE"/>
        </w:rPr>
        <w:t>4</w:t>
      </w:r>
      <w:r w:rsidR="00C727F1" w:rsidRPr="00C50854">
        <w:rPr>
          <w:lang w:eastAsia="et-EE"/>
        </w:rPr>
        <w:fldChar w:fldCharType="end"/>
      </w:r>
      <w:r w:rsidR="00C727F1" w:rsidRPr="00C50854">
        <w:rPr>
          <w:lang w:eastAsia="et-EE"/>
        </w:rPr>
        <w:t xml:space="preserve">). </w:t>
      </w:r>
    </w:p>
    <w:tbl>
      <w:tblPr>
        <w:tblW w:w="9137" w:type="dxa"/>
        <w:tblCellMar>
          <w:left w:w="70" w:type="dxa"/>
          <w:right w:w="70" w:type="dxa"/>
        </w:tblCellMar>
        <w:tblLook w:val="04A0" w:firstRow="1" w:lastRow="0" w:firstColumn="1" w:lastColumn="0" w:noHBand="0" w:noVBand="1"/>
      </w:tblPr>
      <w:tblGrid>
        <w:gridCol w:w="1913"/>
        <w:gridCol w:w="2629"/>
        <w:gridCol w:w="2318"/>
        <w:gridCol w:w="1138"/>
        <w:gridCol w:w="1139"/>
      </w:tblGrid>
      <w:tr w:rsidR="00D16DB5" w:rsidRPr="00C50854" w14:paraId="59669E0A" w14:textId="77777777" w:rsidTr="005451C5">
        <w:trPr>
          <w:trHeight w:val="430"/>
          <w:tblHeader/>
        </w:trPr>
        <w:tc>
          <w:tcPr>
            <w:tcW w:w="1913" w:type="dxa"/>
            <w:tcBorders>
              <w:top w:val="single" w:sz="8" w:space="0" w:color="auto"/>
              <w:left w:val="single" w:sz="8" w:space="0" w:color="auto"/>
              <w:bottom w:val="nil"/>
              <w:right w:val="single" w:sz="8" w:space="0" w:color="auto"/>
            </w:tcBorders>
            <w:shd w:val="clear" w:color="000000" w:fill="CCFFCC"/>
            <w:noWrap/>
            <w:vAlign w:val="center"/>
            <w:hideMark/>
          </w:tcPr>
          <w:p w14:paraId="06247C98" w14:textId="5D2EBC4B" w:rsidR="00D16DB5" w:rsidRPr="00C50854" w:rsidRDefault="007F512C" w:rsidP="00D16DB5">
            <w:pPr>
              <w:suppressAutoHyphens w:val="0"/>
              <w:jc w:val="center"/>
              <w:rPr>
                <w:b/>
                <w:bCs/>
                <w:color w:val="000000"/>
                <w:sz w:val="20"/>
                <w:szCs w:val="20"/>
                <w:lang w:eastAsia="et-EE"/>
              </w:rPr>
            </w:pPr>
            <w:r w:rsidRPr="00C50854">
              <w:rPr>
                <w:lang w:eastAsia="et-EE"/>
              </w:rPr>
              <w:lastRenderedPageBreak/>
              <w:br w:type="page"/>
            </w:r>
            <w:bookmarkStart w:id="150" w:name="_Ref212862276"/>
            <w:bookmarkStart w:id="151" w:name="_Ref462926821"/>
            <w:r w:rsidR="00D16DB5" w:rsidRPr="00C50854">
              <w:rPr>
                <w:b/>
                <w:bCs/>
                <w:color w:val="000000"/>
                <w:sz w:val="20"/>
                <w:szCs w:val="20"/>
                <w:lang w:eastAsia="et-EE"/>
              </w:rPr>
              <w:t>Operaator</w:t>
            </w:r>
          </w:p>
        </w:tc>
        <w:tc>
          <w:tcPr>
            <w:tcW w:w="2629" w:type="dxa"/>
            <w:tcBorders>
              <w:top w:val="single" w:sz="8" w:space="0" w:color="auto"/>
              <w:left w:val="nil"/>
              <w:bottom w:val="nil"/>
              <w:right w:val="single" w:sz="8" w:space="0" w:color="auto"/>
            </w:tcBorders>
            <w:shd w:val="clear" w:color="000000" w:fill="CCFFCC"/>
            <w:noWrap/>
            <w:vAlign w:val="center"/>
            <w:hideMark/>
          </w:tcPr>
          <w:p w14:paraId="40CC8FD6" w14:textId="77777777" w:rsidR="00D16DB5" w:rsidRPr="00C50854" w:rsidRDefault="00D16DB5" w:rsidP="00D16DB5">
            <w:pPr>
              <w:suppressAutoHyphens w:val="0"/>
              <w:jc w:val="center"/>
              <w:rPr>
                <w:b/>
                <w:bCs/>
                <w:color w:val="000000"/>
                <w:sz w:val="20"/>
                <w:szCs w:val="20"/>
                <w:lang w:eastAsia="et-EE"/>
              </w:rPr>
            </w:pPr>
            <w:r w:rsidRPr="00C50854">
              <w:rPr>
                <w:b/>
                <w:bCs/>
                <w:color w:val="000000"/>
                <w:sz w:val="20"/>
                <w:szCs w:val="20"/>
                <w:lang w:eastAsia="et-EE"/>
              </w:rPr>
              <w:t>Teenus ja maht</w:t>
            </w:r>
          </w:p>
        </w:tc>
        <w:tc>
          <w:tcPr>
            <w:tcW w:w="2318" w:type="dxa"/>
            <w:tcBorders>
              <w:top w:val="single" w:sz="8" w:space="0" w:color="auto"/>
              <w:left w:val="nil"/>
              <w:bottom w:val="nil"/>
              <w:right w:val="single" w:sz="8" w:space="0" w:color="000000"/>
            </w:tcBorders>
            <w:shd w:val="clear" w:color="000000" w:fill="CCFFCC"/>
            <w:noWrap/>
            <w:vAlign w:val="center"/>
            <w:hideMark/>
          </w:tcPr>
          <w:p w14:paraId="02B6DC90" w14:textId="77777777" w:rsidR="00D16DB5" w:rsidRPr="00C50854" w:rsidRDefault="00D16DB5" w:rsidP="00D16DB5">
            <w:pPr>
              <w:suppressAutoHyphens w:val="0"/>
              <w:jc w:val="center"/>
              <w:rPr>
                <w:b/>
                <w:bCs/>
                <w:color w:val="000000"/>
                <w:sz w:val="20"/>
                <w:szCs w:val="20"/>
                <w:lang w:eastAsia="et-EE"/>
              </w:rPr>
            </w:pPr>
            <w:r w:rsidRPr="00C50854">
              <w:rPr>
                <w:b/>
                <w:bCs/>
                <w:color w:val="000000"/>
                <w:sz w:val="20"/>
                <w:szCs w:val="20"/>
                <w:lang w:eastAsia="et-EE"/>
              </w:rPr>
              <w:t xml:space="preserve"> Kiirus </w:t>
            </w:r>
          </w:p>
        </w:tc>
        <w:tc>
          <w:tcPr>
            <w:tcW w:w="1138" w:type="dxa"/>
            <w:tcBorders>
              <w:top w:val="single" w:sz="8" w:space="0" w:color="auto"/>
              <w:left w:val="nil"/>
              <w:bottom w:val="nil"/>
              <w:right w:val="single" w:sz="8" w:space="0" w:color="000000"/>
            </w:tcBorders>
            <w:shd w:val="clear" w:color="000000" w:fill="CCFFCC"/>
            <w:vAlign w:val="center"/>
            <w:hideMark/>
          </w:tcPr>
          <w:p w14:paraId="3C382F4B" w14:textId="77777777" w:rsidR="00D16DB5" w:rsidRPr="00C50854" w:rsidRDefault="00D16DB5" w:rsidP="00D16DB5">
            <w:pPr>
              <w:suppressAutoHyphens w:val="0"/>
              <w:jc w:val="center"/>
              <w:rPr>
                <w:b/>
                <w:bCs/>
                <w:color w:val="000000"/>
                <w:sz w:val="20"/>
                <w:szCs w:val="20"/>
                <w:lang w:eastAsia="et-EE"/>
              </w:rPr>
            </w:pPr>
            <w:r w:rsidRPr="00C50854">
              <w:rPr>
                <w:b/>
                <w:bCs/>
                <w:color w:val="000000"/>
                <w:sz w:val="20"/>
                <w:szCs w:val="20"/>
                <w:lang w:eastAsia="et-EE"/>
              </w:rPr>
              <w:t>€/kuu (koos km-</w:t>
            </w:r>
            <w:proofErr w:type="spellStart"/>
            <w:r w:rsidRPr="00C50854">
              <w:rPr>
                <w:b/>
                <w:bCs/>
                <w:color w:val="000000"/>
                <w:sz w:val="20"/>
                <w:szCs w:val="20"/>
                <w:lang w:eastAsia="et-EE"/>
              </w:rPr>
              <w:t>ga</w:t>
            </w:r>
            <w:proofErr w:type="spellEnd"/>
            <w:r w:rsidRPr="00C50854">
              <w:rPr>
                <w:b/>
                <w:bCs/>
                <w:color w:val="000000"/>
                <w:sz w:val="20"/>
                <w:szCs w:val="20"/>
                <w:lang w:eastAsia="et-EE"/>
              </w:rPr>
              <w:t>)</w:t>
            </w:r>
          </w:p>
        </w:tc>
        <w:tc>
          <w:tcPr>
            <w:tcW w:w="1139" w:type="dxa"/>
            <w:tcBorders>
              <w:top w:val="single" w:sz="8" w:space="0" w:color="auto"/>
              <w:left w:val="nil"/>
              <w:bottom w:val="nil"/>
              <w:right w:val="single" w:sz="8" w:space="0" w:color="auto"/>
            </w:tcBorders>
            <w:shd w:val="clear" w:color="000000" w:fill="CCFFCC"/>
            <w:vAlign w:val="center"/>
            <w:hideMark/>
          </w:tcPr>
          <w:p w14:paraId="527B25D1" w14:textId="4708AEFB" w:rsidR="00D16DB5" w:rsidRPr="00C50854" w:rsidRDefault="00D16DB5" w:rsidP="00D16DB5">
            <w:pPr>
              <w:suppressAutoHyphens w:val="0"/>
              <w:rPr>
                <w:b/>
                <w:bCs/>
                <w:color w:val="000000"/>
                <w:sz w:val="20"/>
                <w:szCs w:val="20"/>
                <w:lang w:eastAsia="et-EE"/>
              </w:rPr>
            </w:pPr>
            <w:r w:rsidRPr="00C50854">
              <w:rPr>
                <w:b/>
                <w:bCs/>
                <w:color w:val="000000"/>
                <w:sz w:val="20"/>
                <w:szCs w:val="20"/>
                <w:lang w:eastAsia="et-EE"/>
              </w:rPr>
              <w:t> </w:t>
            </w:r>
            <w:r w:rsidR="009274F8" w:rsidRPr="00C50854">
              <w:rPr>
                <w:b/>
                <w:bCs/>
                <w:color w:val="000000"/>
                <w:sz w:val="20"/>
                <w:szCs w:val="20"/>
                <w:lang w:eastAsia="et-EE"/>
              </w:rPr>
              <w:t xml:space="preserve">Telia ja teiste </w:t>
            </w:r>
            <w:proofErr w:type="spellStart"/>
            <w:r w:rsidR="00517E05" w:rsidRPr="00C50854">
              <w:rPr>
                <w:b/>
                <w:bCs/>
                <w:color w:val="000000"/>
                <w:sz w:val="20"/>
                <w:szCs w:val="20"/>
                <w:lang w:eastAsia="et-EE"/>
              </w:rPr>
              <w:t>op-te</w:t>
            </w:r>
            <w:proofErr w:type="spellEnd"/>
            <w:r w:rsidR="009274F8" w:rsidRPr="00C50854">
              <w:rPr>
                <w:b/>
                <w:bCs/>
                <w:color w:val="000000"/>
                <w:sz w:val="20"/>
                <w:szCs w:val="20"/>
                <w:lang w:eastAsia="et-EE"/>
              </w:rPr>
              <w:t xml:space="preserve"> hinna vahe </w:t>
            </w:r>
            <w:r w:rsidRPr="00C50854">
              <w:rPr>
                <w:b/>
                <w:bCs/>
                <w:color w:val="000000"/>
                <w:sz w:val="20"/>
                <w:szCs w:val="20"/>
                <w:lang w:eastAsia="et-EE"/>
              </w:rPr>
              <w:t>(%)</w:t>
            </w:r>
          </w:p>
        </w:tc>
      </w:tr>
      <w:tr w:rsidR="00D16DB5" w:rsidRPr="00C50854" w14:paraId="146C5A04" w14:textId="77777777" w:rsidTr="005451C5">
        <w:trPr>
          <w:trHeight w:val="246"/>
          <w:tblHeader/>
        </w:trPr>
        <w:tc>
          <w:tcPr>
            <w:tcW w:w="191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50C9BAAD" w14:textId="77777777" w:rsidR="00D16DB5" w:rsidRPr="00C50854" w:rsidRDefault="00D16DB5" w:rsidP="00D16DB5">
            <w:pPr>
              <w:suppressAutoHyphens w:val="0"/>
              <w:jc w:val="center"/>
              <w:rPr>
                <w:color w:val="000000"/>
                <w:sz w:val="20"/>
                <w:szCs w:val="20"/>
                <w:lang w:eastAsia="et-EE"/>
              </w:rPr>
            </w:pPr>
            <w:r w:rsidRPr="00C50854">
              <w:rPr>
                <w:color w:val="000000"/>
                <w:sz w:val="20"/>
                <w:szCs w:val="20"/>
                <w:lang w:eastAsia="et-EE"/>
              </w:rPr>
              <w:t>Telia</w:t>
            </w:r>
          </w:p>
        </w:tc>
        <w:tc>
          <w:tcPr>
            <w:tcW w:w="2629"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60B5EE7" w14:textId="77777777" w:rsidR="00D16DB5" w:rsidRPr="00C50854" w:rsidRDefault="00D16DB5" w:rsidP="00D16DB5">
            <w:pPr>
              <w:suppressAutoHyphens w:val="0"/>
              <w:jc w:val="center"/>
              <w:rPr>
                <w:color w:val="000000"/>
                <w:sz w:val="20"/>
                <w:szCs w:val="20"/>
                <w:lang w:eastAsia="et-EE"/>
              </w:rPr>
            </w:pPr>
            <w:r w:rsidRPr="00C50854">
              <w:rPr>
                <w:color w:val="000000"/>
                <w:sz w:val="20"/>
                <w:szCs w:val="20"/>
                <w:lang w:eastAsia="et-EE"/>
              </w:rPr>
              <w:t>Koduinternet</w:t>
            </w:r>
          </w:p>
        </w:tc>
        <w:tc>
          <w:tcPr>
            <w:tcW w:w="2318" w:type="dxa"/>
            <w:tcBorders>
              <w:top w:val="single" w:sz="8" w:space="0" w:color="auto"/>
              <w:left w:val="nil"/>
              <w:bottom w:val="single" w:sz="4" w:space="0" w:color="auto"/>
              <w:right w:val="single" w:sz="4" w:space="0" w:color="auto"/>
            </w:tcBorders>
            <w:shd w:val="clear" w:color="000000" w:fill="FFFFFF"/>
            <w:noWrap/>
            <w:vAlign w:val="bottom"/>
            <w:hideMark/>
          </w:tcPr>
          <w:p w14:paraId="5D44BEE0"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xml:space="preserve">kuni 5 Mbit/s / 1 Mbit/s </w:t>
            </w:r>
          </w:p>
        </w:tc>
        <w:tc>
          <w:tcPr>
            <w:tcW w:w="1138" w:type="dxa"/>
            <w:tcBorders>
              <w:top w:val="single" w:sz="8" w:space="0" w:color="auto"/>
              <w:left w:val="nil"/>
              <w:bottom w:val="single" w:sz="4" w:space="0" w:color="auto"/>
              <w:right w:val="single" w:sz="4" w:space="0" w:color="auto"/>
            </w:tcBorders>
            <w:shd w:val="clear" w:color="000000" w:fill="FFFFFF"/>
            <w:noWrap/>
            <w:vAlign w:val="bottom"/>
            <w:hideMark/>
          </w:tcPr>
          <w:p w14:paraId="315B73FD"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16</w:t>
            </w:r>
          </w:p>
        </w:tc>
        <w:tc>
          <w:tcPr>
            <w:tcW w:w="1139" w:type="dxa"/>
            <w:tcBorders>
              <w:top w:val="single" w:sz="8" w:space="0" w:color="auto"/>
              <w:left w:val="nil"/>
              <w:bottom w:val="single" w:sz="4" w:space="0" w:color="auto"/>
              <w:right w:val="single" w:sz="8" w:space="0" w:color="auto"/>
            </w:tcBorders>
            <w:shd w:val="clear" w:color="000000" w:fill="FFFFFF"/>
            <w:noWrap/>
            <w:vAlign w:val="bottom"/>
            <w:hideMark/>
          </w:tcPr>
          <w:p w14:paraId="1C7D77DF"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w:t>
            </w:r>
          </w:p>
        </w:tc>
      </w:tr>
      <w:tr w:rsidR="00D16DB5" w:rsidRPr="00C50854" w14:paraId="2A9F9689" w14:textId="77777777" w:rsidTr="005451C5">
        <w:trPr>
          <w:trHeight w:val="246"/>
          <w:tblHeader/>
        </w:trPr>
        <w:tc>
          <w:tcPr>
            <w:tcW w:w="1913" w:type="dxa"/>
            <w:vMerge/>
            <w:tcBorders>
              <w:top w:val="single" w:sz="8" w:space="0" w:color="auto"/>
              <w:left w:val="single" w:sz="8" w:space="0" w:color="auto"/>
              <w:bottom w:val="single" w:sz="8" w:space="0" w:color="000000"/>
              <w:right w:val="single" w:sz="4" w:space="0" w:color="auto"/>
            </w:tcBorders>
            <w:vAlign w:val="center"/>
            <w:hideMark/>
          </w:tcPr>
          <w:p w14:paraId="1BC6012E" w14:textId="77777777" w:rsidR="00D16DB5" w:rsidRPr="00C50854" w:rsidRDefault="00D16DB5" w:rsidP="00D16DB5">
            <w:pPr>
              <w:suppressAutoHyphens w:val="0"/>
              <w:rPr>
                <w:color w:val="000000"/>
                <w:sz w:val="16"/>
                <w:szCs w:val="16"/>
                <w:lang w:eastAsia="et-EE"/>
              </w:rPr>
            </w:pPr>
          </w:p>
        </w:tc>
        <w:tc>
          <w:tcPr>
            <w:tcW w:w="2629" w:type="dxa"/>
            <w:vMerge/>
            <w:tcBorders>
              <w:top w:val="single" w:sz="8" w:space="0" w:color="auto"/>
              <w:left w:val="single" w:sz="4" w:space="0" w:color="auto"/>
              <w:bottom w:val="single" w:sz="4" w:space="0" w:color="000000"/>
              <w:right w:val="single" w:sz="4" w:space="0" w:color="auto"/>
            </w:tcBorders>
            <w:vAlign w:val="center"/>
            <w:hideMark/>
          </w:tcPr>
          <w:p w14:paraId="1627FE42" w14:textId="77777777" w:rsidR="00D16DB5" w:rsidRPr="00C50854" w:rsidRDefault="00D16DB5" w:rsidP="00D16DB5">
            <w:pPr>
              <w:suppressAutoHyphens w:val="0"/>
              <w:rPr>
                <w:color w:val="000000"/>
                <w:sz w:val="16"/>
                <w:szCs w:val="16"/>
                <w:lang w:eastAsia="et-EE"/>
              </w:rPr>
            </w:pPr>
          </w:p>
        </w:tc>
        <w:tc>
          <w:tcPr>
            <w:tcW w:w="2318" w:type="dxa"/>
            <w:tcBorders>
              <w:top w:val="nil"/>
              <w:left w:val="nil"/>
              <w:bottom w:val="single" w:sz="4" w:space="0" w:color="auto"/>
              <w:right w:val="single" w:sz="4" w:space="0" w:color="auto"/>
            </w:tcBorders>
            <w:shd w:val="clear" w:color="auto" w:fill="auto"/>
            <w:noWrap/>
            <w:vAlign w:val="center"/>
            <w:hideMark/>
          </w:tcPr>
          <w:p w14:paraId="1751D477"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xml:space="preserve">kuni 10 Mbit/s / 2 Mbit/s </w:t>
            </w:r>
          </w:p>
        </w:tc>
        <w:tc>
          <w:tcPr>
            <w:tcW w:w="1138" w:type="dxa"/>
            <w:tcBorders>
              <w:top w:val="nil"/>
              <w:left w:val="nil"/>
              <w:bottom w:val="single" w:sz="4" w:space="0" w:color="auto"/>
              <w:right w:val="single" w:sz="4" w:space="0" w:color="auto"/>
            </w:tcBorders>
            <w:shd w:val="clear" w:color="auto" w:fill="auto"/>
            <w:noWrap/>
            <w:vAlign w:val="bottom"/>
            <w:hideMark/>
          </w:tcPr>
          <w:p w14:paraId="39508C55"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16</w:t>
            </w:r>
          </w:p>
        </w:tc>
        <w:tc>
          <w:tcPr>
            <w:tcW w:w="1139" w:type="dxa"/>
            <w:tcBorders>
              <w:top w:val="nil"/>
              <w:left w:val="nil"/>
              <w:bottom w:val="single" w:sz="4" w:space="0" w:color="auto"/>
              <w:right w:val="single" w:sz="8" w:space="0" w:color="auto"/>
            </w:tcBorders>
            <w:shd w:val="clear" w:color="auto" w:fill="auto"/>
            <w:noWrap/>
            <w:vAlign w:val="bottom"/>
            <w:hideMark/>
          </w:tcPr>
          <w:p w14:paraId="62246E12"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w:t>
            </w:r>
          </w:p>
        </w:tc>
      </w:tr>
      <w:tr w:rsidR="00D16DB5" w:rsidRPr="00C50854" w14:paraId="4C887D44" w14:textId="77777777" w:rsidTr="005451C5">
        <w:trPr>
          <w:trHeight w:val="246"/>
          <w:tblHeader/>
        </w:trPr>
        <w:tc>
          <w:tcPr>
            <w:tcW w:w="1913" w:type="dxa"/>
            <w:vMerge/>
            <w:tcBorders>
              <w:top w:val="single" w:sz="8" w:space="0" w:color="auto"/>
              <w:left w:val="single" w:sz="8" w:space="0" w:color="auto"/>
              <w:bottom w:val="single" w:sz="8" w:space="0" w:color="000000"/>
              <w:right w:val="single" w:sz="4" w:space="0" w:color="auto"/>
            </w:tcBorders>
            <w:vAlign w:val="center"/>
            <w:hideMark/>
          </w:tcPr>
          <w:p w14:paraId="475ED21F" w14:textId="77777777" w:rsidR="00D16DB5" w:rsidRPr="00C50854" w:rsidRDefault="00D16DB5" w:rsidP="00D16DB5">
            <w:pPr>
              <w:suppressAutoHyphens w:val="0"/>
              <w:rPr>
                <w:color w:val="000000"/>
                <w:sz w:val="16"/>
                <w:szCs w:val="16"/>
                <w:lang w:eastAsia="et-EE"/>
              </w:rPr>
            </w:pPr>
          </w:p>
        </w:tc>
        <w:tc>
          <w:tcPr>
            <w:tcW w:w="2629" w:type="dxa"/>
            <w:vMerge/>
            <w:tcBorders>
              <w:top w:val="single" w:sz="8" w:space="0" w:color="auto"/>
              <w:left w:val="single" w:sz="4" w:space="0" w:color="auto"/>
              <w:bottom w:val="single" w:sz="4" w:space="0" w:color="000000"/>
              <w:right w:val="single" w:sz="4" w:space="0" w:color="auto"/>
            </w:tcBorders>
            <w:vAlign w:val="center"/>
            <w:hideMark/>
          </w:tcPr>
          <w:p w14:paraId="1BAFCCA0" w14:textId="77777777" w:rsidR="00D16DB5" w:rsidRPr="00C50854" w:rsidRDefault="00D16DB5" w:rsidP="00D16DB5">
            <w:pPr>
              <w:suppressAutoHyphens w:val="0"/>
              <w:rPr>
                <w:color w:val="000000"/>
                <w:sz w:val="16"/>
                <w:szCs w:val="16"/>
                <w:lang w:eastAsia="et-EE"/>
              </w:rPr>
            </w:pPr>
          </w:p>
        </w:tc>
        <w:tc>
          <w:tcPr>
            <w:tcW w:w="2318" w:type="dxa"/>
            <w:tcBorders>
              <w:top w:val="nil"/>
              <w:left w:val="nil"/>
              <w:bottom w:val="single" w:sz="4" w:space="0" w:color="auto"/>
              <w:right w:val="single" w:sz="4" w:space="0" w:color="auto"/>
            </w:tcBorders>
            <w:shd w:val="clear" w:color="auto" w:fill="auto"/>
            <w:noWrap/>
            <w:vAlign w:val="center"/>
            <w:hideMark/>
          </w:tcPr>
          <w:p w14:paraId="4249D60A"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xml:space="preserve">kuni 10 Mbit/s / 10 Mbit/s </w:t>
            </w:r>
          </w:p>
        </w:tc>
        <w:tc>
          <w:tcPr>
            <w:tcW w:w="1138" w:type="dxa"/>
            <w:tcBorders>
              <w:top w:val="nil"/>
              <w:left w:val="nil"/>
              <w:bottom w:val="single" w:sz="4" w:space="0" w:color="auto"/>
              <w:right w:val="single" w:sz="4" w:space="0" w:color="auto"/>
            </w:tcBorders>
            <w:shd w:val="clear" w:color="auto" w:fill="auto"/>
            <w:noWrap/>
            <w:vAlign w:val="bottom"/>
            <w:hideMark/>
          </w:tcPr>
          <w:p w14:paraId="25A51527"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16</w:t>
            </w:r>
          </w:p>
        </w:tc>
        <w:tc>
          <w:tcPr>
            <w:tcW w:w="1139" w:type="dxa"/>
            <w:tcBorders>
              <w:top w:val="nil"/>
              <w:left w:val="nil"/>
              <w:bottom w:val="single" w:sz="4" w:space="0" w:color="auto"/>
              <w:right w:val="single" w:sz="8" w:space="0" w:color="auto"/>
            </w:tcBorders>
            <w:shd w:val="clear" w:color="auto" w:fill="auto"/>
            <w:noWrap/>
            <w:vAlign w:val="bottom"/>
            <w:hideMark/>
          </w:tcPr>
          <w:p w14:paraId="492932A3"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w:t>
            </w:r>
          </w:p>
        </w:tc>
      </w:tr>
      <w:tr w:rsidR="00D16DB5" w:rsidRPr="00C50854" w14:paraId="31C435AE" w14:textId="77777777" w:rsidTr="005451C5">
        <w:trPr>
          <w:trHeight w:val="246"/>
          <w:tblHeader/>
        </w:trPr>
        <w:tc>
          <w:tcPr>
            <w:tcW w:w="1913" w:type="dxa"/>
            <w:vMerge/>
            <w:tcBorders>
              <w:top w:val="single" w:sz="8" w:space="0" w:color="auto"/>
              <w:left w:val="single" w:sz="8" w:space="0" w:color="auto"/>
              <w:bottom w:val="single" w:sz="8" w:space="0" w:color="000000"/>
              <w:right w:val="single" w:sz="4" w:space="0" w:color="auto"/>
            </w:tcBorders>
            <w:vAlign w:val="center"/>
            <w:hideMark/>
          </w:tcPr>
          <w:p w14:paraId="2B3A82AE" w14:textId="77777777" w:rsidR="00D16DB5" w:rsidRPr="00C50854" w:rsidRDefault="00D16DB5" w:rsidP="00D16DB5">
            <w:pPr>
              <w:suppressAutoHyphens w:val="0"/>
              <w:rPr>
                <w:color w:val="000000"/>
                <w:sz w:val="16"/>
                <w:szCs w:val="16"/>
                <w:lang w:eastAsia="et-EE"/>
              </w:rPr>
            </w:pPr>
          </w:p>
        </w:tc>
        <w:tc>
          <w:tcPr>
            <w:tcW w:w="2629" w:type="dxa"/>
            <w:vMerge/>
            <w:tcBorders>
              <w:top w:val="single" w:sz="8" w:space="0" w:color="auto"/>
              <w:left w:val="single" w:sz="4" w:space="0" w:color="auto"/>
              <w:bottom w:val="single" w:sz="4" w:space="0" w:color="000000"/>
              <w:right w:val="single" w:sz="4" w:space="0" w:color="auto"/>
            </w:tcBorders>
            <w:vAlign w:val="center"/>
            <w:hideMark/>
          </w:tcPr>
          <w:p w14:paraId="7EB4130A" w14:textId="77777777" w:rsidR="00D16DB5" w:rsidRPr="00C50854" w:rsidRDefault="00D16DB5" w:rsidP="00D16DB5">
            <w:pPr>
              <w:suppressAutoHyphens w:val="0"/>
              <w:rPr>
                <w:color w:val="000000"/>
                <w:sz w:val="16"/>
                <w:szCs w:val="16"/>
                <w:lang w:eastAsia="et-EE"/>
              </w:rPr>
            </w:pPr>
          </w:p>
        </w:tc>
        <w:tc>
          <w:tcPr>
            <w:tcW w:w="2318" w:type="dxa"/>
            <w:tcBorders>
              <w:top w:val="nil"/>
              <w:left w:val="nil"/>
              <w:bottom w:val="single" w:sz="4" w:space="0" w:color="auto"/>
              <w:right w:val="single" w:sz="4" w:space="0" w:color="auto"/>
            </w:tcBorders>
            <w:shd w:val="clear" w:color="auto" w:fill="auto"/>
            <w:noWrap/>
            <w:vAlign w:val="center"/>
            <w:hideMark/>
          </w:tcPr>
          <w:p w14:paraId="5D4B71EC"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xml:space="preserve">kuni 12 Mbit/s / 1 Mbit/s </w:t>
            </w:r>
          </w:p>
        </w:tc>
        <w:tc>
          <w:tcPr>
            <w:tcW w:w="1138" w:type="dxa"/>
            <w:tcBorders>
              <w:top w:val="nil"/>
              <w:left w:val="nil"/>
              <w:bottom w:val="single" w:sz="4" w:space="0" w:color="auto"/>
              <w:right w:val="single" w:sz="4" w:space="0" w:color="auto"/>
            </w:tcBorders>
            <w:shd w:val="clear" w:color="auto" w:fill="auto"/>
            <w:noWrap/>
            <w:vAlign w:val="bottom"/>
            <w:hideMark/>
          </w:tcPr>
          <w:p w14:paraId="325E5E5A"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21</w:t>
            </w:r>
          </w:p>
        </w:tc>
        <w:tc>
          <w:tcPr>
            <w:tcW w:w="1139" w:type="dxa"/>
            <w:tcBorders>
              <w:top w:val="nil"/>
              <w:left w:val="nil"/>
              <w:bottom w:val="single" w:sz="4" w:space="0" w:color="auto"/>
              <w:right w:val="single" w:sz="8" w:space="0" w:color="auto"/>
            </w:tcBorders>
            <w:shd w:val="clear" w:color="auto" w:fill="auto"/>
            <w:noWrap/>
            <w:vAlign w:val="bottom"/>
            <w:hideMark/>
          </w:tcPr>
          <w:p w14:paraId="69566095"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w:t>
            </w:r>
          </w:p>
        </w:tc>
      </w:tr>
      <w:tr w:rsidR="00D16DB5" w:rsidRPr="00C50854" w14:paraId="06229733" w14:textId="77777777" w:rsidTr="005451C5">
        <w:trPr>
          <w:trHeight w:val="246"/>
          <w:tblHeader/>
        </w:trPr>
        <w:tc>
          <w:tcPr>
            <w:tcW w:w="1913" w:type="dxa"/>
            <w:vMerge/>
            <w:tcBorders>
              <w:top w:val="single" w:sz="8" w:space="0" w:color="auto"/>
              <w:left w:val="single" w:sz="8" w:space="0" w:color="auto"/>
              <w:bottom w:val="single" w:sz="8" w:space="0" w:color="000000"/>
              <w:right w:val="single" w:sz="4" w:space="0" w:color="auto"/>
            </w:tcBorders>
            <w:vAlign w:val="center"/>
            <w:hideMark/>
          </w:tcPr>
          <w:p w14:paraId="4F4C3039" w14:textId="77777777" w:rsidR="00D16DB5" w:rsidRPr="00C50854" w:rsidRDefault="00D16DB5" w:rsidP="00D16DB5">
            <w:pPr>
              <w:suppressAutoHyphens w:val="0"/>
              <w:rPr>
                <w:color w:val="000000"/>
                <w:sz w:val="16"/>
                <w:szCs w:val="16"/>
                <w:lang w:eastAsia="et-EE"/>
              </w:rPr>
            </w:pPr>
          </w:p>
        </w:tc>
        <w:tc>
          <w:tcPr>
            <w:tcW w:w="2629" w:type="dxa"/>
            <w:vMerge/>
            <w:tcBorders>
              <w:top w:val="single" w:sz="8" w:space="0" w:color="auto"/>
              <w:left w:val="single" w:sz="4" w:space="0" w:color="auto"/>
              <w:bottom w:val="single" w:sz="4" w:space="0" w:color="000000"/>
              <w:right w:val="single" w:sz="4" w:space="0" w:color="auto"/>
            </w:tcBorders>
            <w:vAlign w:val="center"/>
            <w:hideMark/>
          </w:tcPr>
          <w:p w14:paraId="38E2D6A5" w14:textId="77777777" w:rsidR="00D16DB5" w:rsidRPr="00C50854" w:rsidRDefault="00D16DB5" w:rsidP="00D16DB5">
            <w:pPr>
              <w:suppressAutoHyphens w:val="0"/>
              <w:rPr>
                <w:color w:val="000000"/>
                <w:sz w:val="16"/>
                <w:szCs w:val="16"/>
                <w:lang w:eastAsia="et-EE"/>
              </w:rPr>
            </w:pPr>
          </w:p>
        </w:tc>
        <w:tc>
          <w:tcPr>
            <w:tcW w:w="2318" w:type="dxa"/>
            <w:tcBorders>
              <w:top w:val="nil"/>
              <w:left w:val="nil"/>
              <w:bottom w:val="single" w:sz="4" w:space="0" w:color="auto"/>
              <w:right w:val="single" w:sz="4" w:space="0" w:color="auto"/>
            </w:tcBorders>
            <w:shd w:val="clear" w:color="auto" w:fill="auto"/>
            <w:noWrap/>
            <w:vAlign w:val="center"/>
            <w:hideMark/>
          </w:tcPr>
          <w:p w14:paraId="71514CE8"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xml:space="preserve">kuni 20 Mbit/s / 5 Mbit/s </w:t>
            </w:r>
          </w:p>
        </w:tc>
        <w:tc>
          <w:tcPr>
            <w:tcW w:w="1138" w:type="dxa"/>
            <w:tcBorders>
              <w:top w:val="nil"/>
              <w:left w:val="nil"/>
              <w:bottom w:val="single" w:sz="4" w:space="0" w:color="auto"/>
              <w:right w:val="single" w:sz="4" w:space="0" w:color="auto"/>
            </w:tcBorders>
            <w:shd w:val="clear" w:color="auto" w:fill="auto"/>
            <w:noWrap/>
            <w:vAlign w:val="bottom"/>
            <w:hideMark/>
          </w:tcPr>
          <w:p w14:paraId="57005FBC"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21</w:t>
            </w:r>
          </w:p>
        </w:tc>
        <w:tc>
          <w:tcPr>
            <w:tcW w:w="1139" w:type="dxa"/>
            <w:tcBorders>
              <w:top w:val="nil"/>
              <w:left w:val="nil"/>
              <w:bottom w:val="single" w:sz="4" w:space="0" w:color="auto"/>
              <w:right w:val="single" w:sz="8" w:space="0" w:color="auto"/>
            </w:tcBorders>
            <w:shd w:val="clear" w:color="auto" w:fill="auto"/>
            <w:noWrap/>
            <w:vAlign w:val="bottom"/>
            <w:hideMark/>
          </w:tcPr>
          <w:p w14:paraId="44658816"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w:t>
            </w:r>
          </w:p>
        </w:tc>
      </w:tr>
      <w:tr w:rsidR="00D16DB5" w:rsidRPr="00C50854" w14:paraId="521CAF85" w14:textId="77777777" w:rsidTr="005451C5">
        <w:trPr>
          <w:trHeight w:val="246"/>
          <w:tblHeader/>
        </w:trPr>
        <w:tc>
          <w:tcPr>
            <w:tcW w:w="1913" w:type="dxa"/>
            <w:vMerge/>
            <w:tcBorders>
              <w:top w:val="single" w:sz="8" w:space="0" w:color="auto"/>
              <w:left w:val="single" w:sz="8" w:space="0" w:color="auto"/>
              <w:bottom w:val="single" w:sz="8" w:space="0" w:color="000000"/>
              <w:right w:val="single" w:sz="4" w:space="0" w:color="auto"/>
            </w:tcBorders>
            <w:vAlign w:val="center"/>
            <w:hideMark/>
          </w:tcPr>
          <w:p w14:paraId="780F45E2" w14:textId="77777777" w:rsidR="00D16DB5" w:rsidRPr="00C50854" w:rsidRDefault="00D16DB5" w:rsidP="00D16DB5">
            <w:pPr>
              <w:suppressAutoHyphens w:val="0"/>
              <w:rPr>
                <w:color w:val="000000"/>
                <w:sz w:val="16"/>
                <w:szCs w:val="16"/>
                <w:lang w:eastAsia="et-EE"/>
              </w:rPr>
            </w:pPr>
          </w:p>
        </w:tc>
        <w:tc>
          <w:tcPr>
            <w:tcW w:w="2629" w:type="dxa"/>
            <w:vMerge/>
            <w:tcBorders>
              <w:top w:val="single" w:sz="8" w:space="0" w:color="auto"/>
              <w:left w:val="single" w:sz="4" w:space="0" w:color="auto"/>
              <w:bottom w:val="single" w:sz="4" w:space="0" w:color="000000"/>
              <w:right w:val="single" w:sz="4" w:space="0" w:color="auto"/>
            </w:tcBorders>
            <w:vAlign w:val="center"/>
            <w:hideMark/>
          </w:tcPr>
          <w:p w14:paraId="7CF8DE71" w14:textId="77777777" w:rsidR="00D16DB5" w:rsidRPr="00C50854" w:rsidRDefault="00D16DB5" w:rsidP="00D16DB5">
            <w:pPr>
              <w:suppressAutoHyphens w:val="0"/>
              <w:rPr>
                <w:color w:val="000000"/>
                <w:sz w:val="16"/>
                <w:szCs w:val="16"/>
                <w:lang w:eastAsia="et-EE"/>
              </w:rPr>
            </w:pPr>
          </w:p>
        </w:tc>
        <w:tc>
          <w:tcPr>
            <w:tcW w:w="2318" w:type="dxa"/>
            <w:tcBorders>
              <w:top w:val="nil"/>
              <w:left w:val="nil"/>
              <w:bottom w:val="single" w:sz="4" w:space="0" w:color="auto"/>
              <w:right w:val="single" w:sz="4" w:space="0" w:color="auto"/>
            </w:tcBorders>
            <w:shd w:val="clear" w:color="auto" w:fill="auto"/>
            <w:noWrap/>
            <w:vAlign w:val="center"/>
            <w:hideMark/>
          </w:tcPr>
          <w:p w14:paraId="727A9241"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xml:space="preserve">kuni 30 Mbit/s / 10 Mbit/s </w:t>
            </w:r>
          </w:p>
        </w:tc>
        <w:tc>
          <w:tcPr>
            <w:tcW w:w="1138" w:type="dxa"/>
            <w:tcBorders>
              <w:top w:val="nil"/>
              <w:left w:val="nil"/>
              <w:bottom w:val="single" w:sz="4" w:space="0" w:color="auto"/>
              <w:right w:val="single" w:sz="4" w:space="0" w:color="auto"/>
            </w:tcBorders>
            <w:shd w:val="clear" w:color="auto" w:fill="auto"/>
            <w:noWrap/>
            <w:vAlign w:val="bottom"/>
            <w:hideMark/>
          </w:tcPr>
          <w:p w14:paraId="6349B588"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21</w:t>
            </w:r>
          </w:p>
        </w:tc>
        <w:tc>
          <w:tcPr>
            <w:tcW w:w="1139" w:type="dxa"/>
            <w:tcBorders>
              <w:top w:val="nil"/>
              <w:left w:val="nil"/>
              <w:bottom w:val="single" w:sz="4" w:space="0" w:color="auto"/>
              <w:right w:val="single" w:sz="8" w:space="0" w:color="auto"/>
            </w:tcBorders>
            <w:shd w:val="clear" w:color="auto" w:fill="auto"/>
            <w:noWrap/>
            <w:vAlign w:val="bottom"/>
            <w:hideMark/>
          </w:tcPr>
          <w:p w14:paraId="1DC60E3B"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w:t>
            </w:r>
          </w:p>
        </w:tc>
      </w:tr>
      <w:tr w:rsidR="00D16DB5" w:rsidRPr="00C50854" w14:paraId="79376D1E" w14:textId="77777777" w:rsidTr="005451C5">
        <w:trPr>
          <w:trHeight w:val="246"/>
          <w:tblHeader/>
        </w:trPr>
        <w:tc>
          <w:tcPr>
            <w:tcW w:w="1913" w:type="dxa"/>
            <w:vMerge/>
            <w:tcBorders>
              <w:top w:val="single" w:sz="8" w:space="0" w:color="auto"/>
              <w:left w:val="single" w:sz="8" w:space="0" w:color="auto"/>
              <w:bottom w:val="single" w:sz="8" w:space="0" w:color="000000"/>
              <w:right w:val="single" w:sz="4" w:space="0" w:color="auto"/>
            </w:tcBorders>
            <w:vAlign w:val="center"/>
            <w:hideMark/>
          </w:tcPr>
          <w:p w14:paraId="31866319" w14:textId="77777777" w:rsidR="00D16DB5" w:rsidRPr="00C50854" w:rsidRDefault="00D16DB5" w:rsidP="00D16DB5">
            <w:pPr>
              <w:suppressAutoHyphens w:val="0"/>
              <w:rPr>
                <w:color w:val="000000"/>
                <w:sz w:val="16"/>
                <w:szCs w:val="16"/>
                <w:lang w:eastAsia="et-EE"/>
              </w:rPr>
            </w:pPr>
          </w:p>
        </w:tc>
        <w:tc>
          <w:tcPr>
            <w:tcW w:w="2629" w:type="dxa"/>
            <w:vMerge/>
            <w:tcBorders>
              <w:top w:val="single" w:sz="8" w:space="0" w:color="auto"/>
              <w:left w:val="single" w:sz="4" w:space="0" w:color="auto"/>
              <w:bottom w:val="single" w:sz="4" w:space="0" w:color="000000"/>
              <w:right w:val="single" w:sz="4" w:space="0" w:color="auto"/>
            </w:tcBorders>
            <w:vAlign w:val="center"/>
            <w:hideMark/>
          </w:tcPr>
          <w:p w14:paraId="0B949180" w14:textId="77777777" w:rsidR="00D16DB5" w:rsidRPr="00C50854" w:rsidRDefault="00D16DB5" w:rsidP="00D16DB5">
            <w:pPr>
              <w:suppressAutoHyphens w:val="0"/>
              <w:rPr>
                <w:color w:val="000000"/>
                <w:sz w:val="16"/>
                <w:szCs w:val="16"/>
                <w:lang w:eastAsia="et-EE"/>
              </w:rPr>
            </w:pPr>
          </w:p>
        </w:tc>
        <w:tc>
          <w:tcPr>
            <w:tcW w:w="2318" w:type="dxa"/>
            <w:tcBorders>
              <w:top w:val="nil"/>
              <w:left w:val="nil"/>
              <w:bottom w:val="single" w:sz="4" w:space="0" w:color="auto"/>
              <w:right w:val="single" w:sz="4" w:space="0" w:color="auto"/>
            </w:tcBorders>
            <w:shd w:val="clear" w:color="auto" w:fill="auto"/>
            <w:noWrap/>
            <w:vAlign w:val="center"/>
            <w:hideMark/>
          </w:tcPr>
          <w:p w14:paraId="5D9E7FB0"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xml:space="preserve">kuni 40 Mbit/s / 10 Mbit/s </w:t>
            </w:r>
          </w:p>
        </w:tc>
        <w:tc>
          <w:tcPr>
            <w:tcW w:w="1138" w:type="dxa"/>
            <w:tcBorders>
              <w:top w:val="nil"/>
              <w:left w:val="nil"/>
              <w:bottom w:val="single" w:sz="4" w:space="0" w:color="auto"/>
              <w:right w:val="single" w:sz="4" w:space="0" w:color="auto"/>
            </w:tcBorders>
            <w:shd w:val="clear" w:color="auto" w:fill="auto"/>
            <w:noWrap/>
            <w:vAlign w:val="bottom"/>
            <w:hideMark/>
          </w:tcPr>
          <w:p w14:paraId="249578E0"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26</w:t>
            </w:r>
          </w:p>
        </w:tc>
        <w:tc>
          <w:tcPr>
            <w:tcW w:w="1139" w:type="dxa"/>
            <w:tcBorders>
              <w:top w:val="nil"/>
              <w:left w:val="nil"/>
              <w:bottom w:val="single" w:sz="4" w:space="0" w:color="auto"/>
              <w:right w:val="single" w:sz="8" w:space="0" w:color="auto"/>
            </w:tcBorders>
            <w:shd w:val="clear" w:color="auto" w:fill="auto"/>
            <w:noWrap/>
            <w:vAlign w:val="bottom"/>
            <w:hideMark/>
          </w:tcPr>
          <w:p w14:paraId="154AFF78"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w:t>
            </w:r>
          </w:p>
        </w:tc>
      </w:tr>
      <w:tr w:rsidR="00D16DB5" w:rsidRPr="00C50854" w14:paraId="63B34EE9" w14:textId="77777777" w:rsidTr="005451C5">
        <w:trPr>
          <w:trHeight w:val="246"/>
          <w:tblHeader/>
        </w:trPr>
        <w:tc>
          <w:tcPr>
            <w:tcW w:w="1913" w:type="dxa"/>
            <w:vMerge/>
            <w:tcBorders>
              <w:top w:val="single" w:sz="8" w:space="0" w:color="auto"/>
              <w:left w:val="single" w:sz="8" w:space="0" w:color="auto"/>
              <w:bottom w:val="single" w:sz="8" w:space="0" w:color="000000"/>
              <w:right w:val="single" w:sz="4" w:space="0" w:color="auto"/>
            </w:tcBorders>
            <w:vAlign w:val="center"/>
            <w:hideMark/>
          </w:tcPr>
          <w:p w14:paraId="5E61FF86" w14:textId="77777777" w:rsidR="00D16DB5" w:rsidRPr="00C50854" w:rsidRDefault="00D16DB5" w:rsidP="00D16DB5">
            <w:pPr>
              <w:suppressAutoHyphens w:val="0"/>
              <w:rPr>
                <w:color w:val="000000"/>
                <w:sz w:val="16"/>
                <w:szCs w:val="16"/>
                <w:lang w:eastAsia="et-EE"/>
              </w:rPr>
            </w:pPr>
          </w:p>
        </w:tc>
        <w:tc>
          <w:tcPr>
            <w:tcW w:w="2629" w:type="dxa"/>
            <w:vMerge/>
            <w:tcBorders>
              <w:top w:val="single" w:sz="8" w:space="0" w:color="auto"/>
              <w:left w:val="single" w:sz="4" w:space="0" w:color="auto"/>
              <w:bottom w:val="single" w:sz="4" w:space="0" w:color="000000"/>
              <w:right w:val="single" w:sz="4" w:space="0" w:color="auto"/>
            </w:tcBorders>
            <w:vAlign w:val="center"/>
            <w:hideMark/>
          </w:tcPr>
          <w:p w14:paraId="7094999C" w14:textId="77777777" w:rsidR="00D16DB5" w:rsidRPr="00C50854" w:rsidRDefault="00D16DB5" w:rsidP="00D16DB5">
            <w:pPr>
              <w:suppressAutoHyphens w:val="0"/>
              <w:rPr>
                <w:color w:val="000000"/>
                <w:sz w:val="16"/>
                <w:szCs w:val="16"/>
                <w:lang w:eastAsia="et-EE"/>
              </w:rPr>
            </w:pPr>
          </w:p>
        </w:tc>
        <w:tc>
          <w:tcPr>
            <w:tcW w:w="2318" w:type="dxa"/>
            <w:tcBorders>
              <w:top w:val="nil"/>
              <w:left w:val="nil"/>
              <w:bottom w:val="single" w:sz="4" w:space="0" w:color="auto"/>
              <w:right w:val="single" w:sz="4" w:space="0" w:color="auto"/>
            </w:tcBorders>
            <w:shd w:val="clear" w:color="auto" w:fill="auto"/>
            <w:noWrap/>
            <w:vAlign w:val="center"/>
            <w:hideMark/>
          </w:tcPr>
          <w:p w14:paraId="0FD5DF06"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xml:space="preserve">kuni 50 Mbit/s / 10 Mbit/s </w:t>
            </w:r>
          </w:p>
        </w:tc>
        <w:tc>
          <w:tcPr>
            <w:tcW w:w="1138" w:type="dxa"/>
            <w:tcBorders>
              <w:top w:val="nil"/>
              <w:left w:val="nil"/>
              <w:bottom w:val="single" w:sz="4" w:space="0" w:color="auto"/>
              <w:right w:val="single" w:sz="4" w:space="0" w:color="auto"/>
            </w:tcBorders>
            <w:shd w:val="clear" w:color="auto" w:fill="auto"/>
            <w:noWrap/>
            <w:vAlign w:val="bottom"/>
            <w:hideMark/>
          </w:tcPr>
          <w:p w14:paraId="1AD9ABA5"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22</w:t>
            </w:r>
          </w:p>
        </w:tc>
        <w:tc>
          <w:tcPr>
            <w:tcW w:w="1139" w:type="dxa"/>
            <w:tcBorders>
              <w:top w:val="nil"/>
              <w:left w:val="nil"/>
              <w:bottom w:val="single" w:sz="4" w:space="0" w:color="auto"/>
              <w:right w:val="single" w:sz="8" w:space="0" w:color="auto"/>
            </w:tcBorders>
            <w:shd w:val="clear" w:color="auto" w:fill="auto"/>
            <w:noWrap/>
            <w:vAlign w:val="bottom"/>
            <w:hideMark/>
          </w:tcPr>
          <w:p w14:paraId="2B9A90D7"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w:t>
            </w:r>
          </w:p>
        </w:tc>
      </w:tr>
      <w:tr w:rsidR="00D16DB5" w:rsidRPr="00C50854" w14:paraId="35A24BBE" w14:textId="77777777" w:rsidTr="005451C5">
        <w:trPr>
          <w:trHeight w:val="246"/>
          <w:tblHeader/>
        </w:trPr>
        <w:tc>
          <w:tcPr>
            <w:tcW w:w="1913" w:type="dxa"/>
            <w:vMerge/>
            <w:tcBorders>
              <w:top w:val="single" w:sz="8" w:space="0" w:color="auto"/>
              <w:left w:val="single" w:sz="8" w:space="0" w:color="auto"/>
              <w:bottom w:val="single" w:sz="8" w:space="0" w:color="000000"/>
              <w:right w:val="single" w:sz="4" w:space="0" w:color="auto"/>
            </w:tcBorders>
            <w:vAlign w:val="center"/>
            <w:hideMark/>
          </w:tcPr>
          <w:p w14:paraId="70E7336F" w14:textId="77777777" w:rsidR="00D16DB5" w:rsidRPr="00C50854" w:rsidRDefault="00D16DB5" w:rsidP="00D16DB5">
            <w:pPr>
              <w:suppressAutoHyphens w:val="0"/>
              <w:rPr>
                <w:color w:val="000000"/>
                <w:sz w:val="16"/>
                <w:szCs w:val="16"/>
                <w:lang w:eastAsia="et-EE"/>
              </w:rPr>
            </w:pPr>
          </w:p>
        </w:tc>
        <w:tc>
          <w:tcPr>
            <w:tcW w:w="2629" w:type="dxa"/>
            <w:vMerge/>
            <w:tcBorders>
              <w:top w:val="single" w:sz="8" w:space="0" w:color="auto"/>
              <w:left w:val="single" w:sz="4" w:space="0" w:color="auto"/>
              <w:bottom w:val="single" w:sz="4" w:space="0" w:color="000000"/>
              <w:right w:val="single" w:sz="4" w:space="0" w:color="auto"/>
            </w:tcBorders>
            <w:vAlign w:val="center"/>
            <w:hideMark/>
          </w:tcPr>
          <w:p w14:paraId="70AD0DA7" w14:textId="77777777" w:rsidR="00D16DB5" w:rsidRPr="00C50854" w:rsidRDefault="00D16DB5" w:rsidP="00D16DB5">
            <w:pPr>
              <w:suppressAutoHyphens w:val="0"/>
              <w:rPr>
                <w:color w:val="000000"/>
                <w:sz w:val="16"/>
                <w:szCs w:val="16"/>
                <w:lang w:eastAsia="et-EE"/>
              </w:rPr>
            </w:pPr>
          </w:p>
        </w:tc>
        <w:tc>
          <w:tcPr>
            <w:tcW w:w="2318" w:type="dxa"/>
            <w:tcBorders>
              <w:top w:val="nil"/>
              <w:left w:val="nil"/>
              <w:bottom w:val="single" w:sz="4" w:space="0" w:color="auto"/>
              <w:right w:val="single" w:sz="4" w:space="0" w:color="auto"/>
            </w:tcBorders>
            <w:shd w:val="clear" w:color="auto" w:fill="auto"/>
            <w:noWrap/>
            <w:vAlign w:val="center"/>
            <w:hideMark/>
          </w:tcPr>
          <w:p w14:paraId="39F1A1E6"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xml:space="preserve">kuni 50 Mbit/s / 50 Mbit/s </w:t>
            </w:r>
          </w:p>
        </w:tc>
        <w:tc>
          <w:tcPr>
            <w:tcW w:w="1138" w:type="dxa"/>
            <w:tcBorders>
              <w:top w:val="nil"/>
              <w:left w:val="nil"/>
              <w:bottom w:val="single" w:sz="4" w:space="0" w:color="auto"/>
              <w:right w:val="single" w:sz="4" w:space="0" w:color="auto"/>
            </w:tcBorders>
            <w:shd w:val="clear" w:color="auto" w:fill="auto"/>
            <w:noWrap/>
            <w:vAlign w:val="bottom"/>
            <w:hideMark/>
          </w:tcPr>
          <w:p w14:paraId="05DCD37E"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22</w:t>
            </w:r>
          </w:p>
        </w:tc>
        <w:tc>
          <w:tcPr>
            <w:tcW w:w="1139" w:type="dxa"/>
            <w:tcBorders>
              <w:top w:val="nil"/>
              <w:left w:val="nil"/>
              <w:bottom w:val="single" w:sz="4" w:space="0" w:color="auto"/>
              <w:right w:val="single" w:sz="8" w:space="0" w:color="auto"/>
            </w:tcBorders>
            <w:shd w:val="clear" w:color="auto" w:fill="auto"/>
            <w:noWrap/>
            <w:vAlign w:val="bottom"/>
            <w:hideMark/>
          </w:tcPr>
          <w:p w14:paraId="03AA4193"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w:t>
            </w:r>
          </w:p>
        </w:tc>
      </w:tr>
      <w:tr w:rsidR="00D16DB5" w:rsidRPr="00C50854" w14:paraId="3D64A7FA" w14:textId="77777777" w:rsidTr="005451C5">
        <w:trPr>
          <w:trHeight w:val="246"/>
          <w:tblHeader/>
        </w:trPr>
        <w:tc>
          <w:tcPr>
            <w:tcW w:w="1913" w:type="dxa"/>
            <w:vMerge/>
            <w:tcBorders>
              <w:top w:val="single" w:sz="8" w:space="0" w:color="auto"/>
              <w:left w:val="single" w:sz="8" w:space="0" w:color="auto"/>
              <w:bottom w:val="single" w:sz="8" w:space="0" w:color="000000"/>
              <w:right w:val="single" w:sz="4" w:space="0" w:color="auto"/>
            </w:tcBorders>
            <w:vAlign w:val="center"/>
            <w:hideMark/>
          </w:tcPr>
          <w:p w14:paraId="2E40795D" w14:textId="77777777" w:rsidR="00D16DB5" w:rsidRPr="00C50854" w:rsidRDefault="00D16DB5" w:rsidP="00D16DB5">
            <w:pPr>
              <w:suppressAutoHyphens w:val="0"/>
              <w:rPr>
                <w:color w:val="000000"/>
                <w:sz w:val="16"/>
                <w:szCs w:val="16"/>
                <w:lang w:eastAsia="et-EE"/>
              </w:rPr>
            </w:pPr>
          </w:p>
        </w:tc>
        <w:tc>
          <w:tcPr>
            <w:tcW w:w="2629" w:type="dxa"/>
            <w:vMerge/>
            <w:tcBorders>
              <w:top w:val="single" w:sz="8" w:space="0" w:color="auto"/>
              <w:left w:val="single" w:sz="4" w:space="0" w:color="auto"/>
              <w:bottom w:val="single" w:sz="4" w:space="0" w:color="000000"/>
              <w:right w:val="single" w:sz="4" w:space="0" w:color="auto"/>
            </w:tcBorders>
            <w:vAlign w:val="center"/>
            <w:hideMark/>
          </w:tcPr>
          <w:p w14:paraId="7A7CA73E" w14:textId="77777777" w:rsidR="00D16DB5" w:rsidRPr="00C50854" w:rsidRDefault="00D16DB5" w:rsidP="00D16DB5">
            <w:pPr>
              <w:suppressAutoHyphens w:val="0"/>
              <w:rPr>
                <w:color w:val="000000"/>
                <w:sz w:val="16"/>
                <w:szCs w:val="16"/>
                <w:lang w:eastAsia="et-EE"/>
              </w:rPr>
            </w:pPr>
          </w:p>
        </w:tc>
        <w:tc>
          <w:tcPr>
            <w:tcW w:w="2318" w:type="dxa"/>
            <w:tcBorders>
              <w:top w:val="nil"/>
              <w:left w:val="nil"/>
              <w:bottom w:val="single" w:sz="4" w:space="0" w:color="auto"/>
              <w:right w:val="single" w:sz="4" w:space="0" w:color="auto"/>
            </w:tcBorders>
            <w:shd w:val="clear" w:color="auto" w:fill="auto"/>
            <w:noWrap/>
            <w:vAlign w:val="center"/>
            <w:hideMark/>
          </w:tcPr>
          <w:p w14:paraId="1B28FA26"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xml:space="preserve">kuni 60 Mbit/s / 10 Mbit/s </w:t>
            </w:r>
          </w:p>
        </w:tc>
        <w:tc>
          <w:tcPr>
            <w:tcW w:w="1138" w:type="dxa"/>
            <w:tcBorders>
              <w:top w:val="nil"/>
              <w:left w:val="nil"/>
              <w:bottom w:val="single" w:sz="4" w:space="0" w:color="auto"/>
              <w:right w:val="single" w:sz="4" w:space="0" w:color="auto"/>
            </w:tcBorders>
            <w:shd w:val="clear" w:color="auto" w:fill="auto"/>
            <w:noWrap/>
            <w:vAlign w:val="bottom"/>
            <w:hideMark/>
          </w:tcPr>
          <w:p w14:paraId="0E114AC4"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28</w:t>
            </w:r>
          </w:p>
        </w:tc>
        <w:tc>
          <w:tcPr>
            <w:tcW w:w="1139" w:type="dxa"/>
            <w:tcBorders>
              <w:top w:val="nil"/>
              <w:left w:val="nil"/>
              <w:bottom w:val="single" w:sz="4" w:space="0" w:color="auto"/>
              <w:right w:val="single" w:sz="8" w:space="0" w:color="auto"/>
            </w:tcBorders>
            <w:shd w:val="clear" w:color="auto" w:fill="auto"/>
            <w:noWrap/>
            <w:vAlign w:val="bottom"/>
            <w:hideMark/>
          </w:tcPr>
          <w:p w14:paraId="486DF534"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w:t>
            </w:r>
          </w:p>
        </w:tc>
      </w:tr>
      <w:tr w:rsidR="00D16DB5" w:rsidRPr="00C50854" w14:paraId="7BE4AC23" w14:textId="77777777" w:rsidTr="005451C5">
        <w:trPr>
          <w:trHeight w:val="246"/>
          <w:tblHeader/>
        </w:trPr>
        <w:tc>
          <w:tcPr>
            <w:tcW w:w="1913" w:type="dxa"/>
            <w:vMerge/>
            <w:tcBorders>
              <w:top w:val="single" w:sz="8" w:space="0" w:color="auto"/>
              <w:left w:val="single" w:sz="8" w:space="0" w:color="auto"/>
              <w:bottom w:val="single" w:sz="8" w:space="0" w:color="000000"/>
              <w:right w:val="single" w:sz="4" w:space="0" w:color="auto"/>
            </w:tcBorders>
            <w:vAlign w:val="center"/>
            <w:hideMark/>
          </w:tcPr>
          <w:p w14:paraId="598D04B9" w14:textId="77777777" w:rsidR="00D16DB5" w:rsidRPr="00C50854" w:rsidRDefault="00D16DB5" w:rsidP="00D16DB5">
            <w:pPr>
              <w:suppressAutoHyphens w:val="0"/>
              <w:rPr>
                <w:color w:val="000000"/>
                <w:sz w:val="16"/>
                <w:szCs w:val="16"/>
                <w:lang w:eastAsia="et-EE"/>
              </w:rPr>
            </w:pPr>
          </w:p>
        </w:tc>
        <w:tc>
          <w:tcPr>
            <w:tcW w:w="2629" w:type="dxa"/>
            <w:vMerge/>
            <w:tcBorders>
              <w:top w:val="single" w:sz="8" w:space="0" w:color="auto"/>
              <w:left w:val="single" w:sz="4" w:space="0" w:color="auto"/>
              <w:bottom w:val="single" w:sz="4" w:space="0" w:color="000000"/>
              <w:right w:val="single" w:sz="4" w:space="0" w:color="auto"/>
            </w:tcBorders>
            <w:vAlign w:val="center"/>
            <w:hideMark/>
          </w:tcPr>
          <w:p w14:paraId="11FB246C" w14:textId="77777777" w:rsidR="00D16DB5" w:rsidRPr="00C50854" w:rsidRDefault="00D16DB5" w:rsidP="00D16DB5">
            <w:pPr>
              <w:suppressAutoHyphens w:val="0"/>
              <w:rPr>
                <w:color w:val="000000"/>
                <w:sz w:val="16"/>
                <w:szCs w:val="16"/>
                <w:lang w:eastAsia="et-EE"/>
              </w:rPr>
            </w:pPr>
          </w:p>
        </w:tc>
        <w:tc>
          <w:tcPr>
            <w:tcW w:w="2318" w:type="dxa"/>
            <w:tcBorders>
              <w:top w:val="nil"/>
              <w:left w:val="nil"/>
              <w:bottom w:val="single" w:sz="4" w:space="0" w:color="auto"/>
              <w:right w:val="single" w:sz="4" w:space="0" w:color="auto"/>
            </w:tcBorders>
            <w:shd w:val="clear" w:color="auto" w:fill="auto"/>
            <w:noWrap/>
            <w:vAlign w:val="center"/>
            <w:hideMark/>
          </w:tcPr>
          <w:p w14:paraId="6AB0F655"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xml:space="preserve">kuni 100 Mbit/s / 25 Mbit/s </w:t>
            </w:r>
          </w:p>
        </w:tc>
        <w:tc>
          <w:tcPr>
            <w:tcW w:w="1138" w:type="dxa"/>
            <w:tcBorders>
              <w:top w:val="nil"/>
              <w:left w:val="nil"/>
              <w:bottom w:val="single" w:sz="4" w:space="0" w:color="auto"/>
              <w:right w:val="single" w:sz="4" w:space="0" w:color="auto"/>
            </w:tcBorders>
            <w:shd w:val="clear" w:color="auto" w:fill="auto"/>
            <w:noWrap/>
            <w:vAlign w:val="bottom"/>
            <w:hideMark/>
          </w:tcPr>
          <w:p w14:paraId="21E71670"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25</w:t>
            </w:r>
          </w:p>
        </w:tc>
        <w:tc>
          <w:tcPr>
            <w:tcW w:w="1139" w:type="dxa"/>
            <w:tcBorders>
              <w:top w:val="nil"/>
              <w:left w:val="nil"/>
              <w:bottom w:val="single" w:sz="4" w:space="0" w:color="auto"/>
              <w:right w:val="single" w:sz="8" w:space="0" w:color="auto"/>
            </w:tcBorders>
            <w:shd w:val="clear" w:color="auto" w:fill="auto"/>
            <w:noWrap/>
            <w:vAlign w:val="bottom"/>
            <w:hideMark/>
          </w:tcPr>
          <w:p w14:paraId="39548E52"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w:t>
            </w:r>
          </w:p>
        </w:tc>
      </w:tr>
      <w:tr w:rsidR="00D16DB5" w:rsidRPr="00C50854" w14:paraId="5B4B8BE7" w14:textId="77777777" w:rsidTr="005451C5">
        <w:trPr>
          <w:trHeight w:val="246"/>
          <w:tblHeader/>
        </w:trPr>
        <w:tc>
          <w:tcPr>
            <w:tcW w:w="1913" w:type="dxa"/>
            <w:vMerge/>
            <w:tcBorders>
              <w:top w:val="single" w:sz="8" w:space="0" w:color="auto"/>
              <w:left w:val="single" w:sz="8" w:space="0" w:color="auto"/>
              <w:bottom w:val="single" w:sz="8" w:space="0" w:color="000000"/>
              <w:right w:val="single" w:sz="4" w:space="0" w:color="auto"/>
            </w:tcBorders>
            <w:vAlign w:val="center"/>
            <w:hideMark/>
          </w:tcPr>
          <w:p w14:paraId="0EACBE71" w14:textId="77777777" w:rsidR="00D16DB5" w:rsidRPr="00C50854" w:rsidRDefault="00D16DB5" w:rsidP="00D16DB5">
            <w:pPr>
              <w:suppressAutoHyphens w:val="0"/>
              <w:rPr>
                <w:color w:val="000000"/>
                <w:sz w:val="16"/>
                <w:szCs w:val="16"/>
                <w:lang w:eastAsia="et-EE"/>
              </w:rPr>
            </w:pPr>
          </w:p>
        </w:tc>
        <w:tc>
          <w:tcPr>
            <w:tcW w:w="2629" w:type="dxa"/>
            <w:vMerge/>
            <w:tcBorders>
              <w:top w:val="single" w:sz="8" w:space="0" w:color="auto"/>
              <w:left w:val="single" w:sz="4" w:space="0" w:color="auto"/>
              <w:bottom w:val="single" w:sz="4" w:space="0" w:color="000000"/>
              <w:right w:val="single" w:sz="4" w:space="0" w:color="auto"/>
            </w:tcBorders>
            <w:vAlign w:val="center"/>
            <w:hideMark/>
          </w:tcPr>
          <w:p w14:paraId="1412B51E" w14:textId="77777777" w:rsidR="00D16DB5" w:rsidRPr="00C50854" w:rsidRDefault="00D16DB5" w:rsidP="00D16DB5">
            <w:pPr>
              <w:suppressAutoHyphens w:val="0"/>
              <w:rPr>
                <w:color w:val="000000"/>
                <w:sz w:val="16"/>
                <w:szCs w:val="16"/>
                <w:lang w:eastAsia="et-EE"/>
              </w:rPr>
            </w:pPr>
          </w:p>
        </w:tc>
        <w:tc>
          <w:tcPr>
            <w:tcW w:w="2318" w:type="dxa"/>
            <w:tcBorders>
              <w:top w:val="nil"/>
              <w:left w:val="nil"/>
              <w:bottom w:val="single" w:sz="4" w:space="0" w:color="auto"/>
              <w:right w:val="single" w:sz="4" w:space="0" w:color="auto"/>
            </w:tcBorders>
            <w:shd w:val="clear" w:color="auto" w:fill="auto"/>
            <w:noWrap/>
            <w:vAlign w:val="center"/>
            <w:hideMark/>
          </w:tcPr>
          <w:p w14:paraId="2CBAFEFD"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kuni 100 Mbit/s / 100 Mbit/s</w:t>
            </w:r>
          </w:p>
        </w:tc>
        <w:tc>
          <w:tcPr>
            <w:tcW w:w="1138" w:type="dxa"/>
            <w:tcBorders>
              <w:top w:val="nil"/>
              <w:left w:val="nil"/>
              <w:bottom w:val="single" w:sz="4" w:space="0" w:color="auto"/>
              <w:right w:val="single" w:sz="4" w:space="0" w:color="auto"/>
            </w:tcBorders>
            <w:shd w:val="clear" w:color="auto" w:fill="auto"/>
            <w:noWrap/>
            <w:vAlign w:val="bottom"/>
            <w:hideMark/>
          </w:tcPr>
          <w:p w14:paraId="1CD50781"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25</w:t>
            </w:r>
          </w:p>
        </w:tc>
        <w:tc>
          <w:tcPr>
            <w:tcW w:w="1139" w:type="dxa"/>
            <w:tcBorders>
              <w:top w:val="nil"/>
              <w:left w:val="nil"/>
              <w:bottom w:val="single" w:sz="4" w:space="0" w:color="auto"/>
              <w:right w:val="single" w:sz="8" w:space="0" w:color="auto"/>
            </w:tcBorders>
            <w:shd w:val="clear" w:color="auto" w:fill="auto"/>
            <w:noWrap/>
            <w:vAlign w:val="bottom"/>
            <w:hideMark/>
          </w:tcPr>
          <w:p w14:paraId="338DA04D"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w:t>
            </w:r>
          </w:p>
        </w:tc>
      </w:tr>
      <w:tr w:rsidR="00D16DB5" w:rsidRPr="00C50854" w14:paraId="1C694872" w14:textId="77777777" w:rsidTr="005451C5">
        <w:trPr>
          <w:trHeight w:val="246"/>
          <w:tblHeader/>
        </w:trPr>
        <w:tc>
          <w:tcPr>
            <w:tcW w:w="1913" w:type="dxa"/>
            <w:vMerge/>
            <w:tcBorders>
              <w:top w:val="single" w:sz="8" w:space="0" w:color="auto"/>
              <w:left w:val="single" w:sz="8" w:space="0" w:color="auto"/>
              <w:bottom w:val="single" w:sz="8" w:space="0" w:color="000000"/>
              <w:right w:val="single" w:sz="4" w:space="0" w:color="auto"/>
            </w:tcBorders>
            <w:vAlign w:val="center"/>
            <w:hideMark/>
          </w:tcPr>
          <w:p w14:paraId="7C430644" w14:textId="77777777" w:rsidR="00D16DB5" w:rsidRPr="00C50854" w:rsidRDefault="00D16DB5" w:rsidP="00D16DB5">
            <w:pPr>
              <w:suppressAutoHyphens w:val="0"/>
              <w:rPr>
                <w:color w:val="000000"/>
                <w:sz w:val="16"/>
                <w:szCs w:val="16"/>
                <w:lang w:eastAsia="et-EE"/>
              </w:rPr>
            </w:pPr>
          </w:p>
        </w:tc>
        <w:tc>
          <w:tcPr>
            <w:tcW w:w="2629" w:type="dxa"/>
            <w:vMerge/>
            <w:tcBorders>
              <w:top w:val="single" w:sz="8" w:space="0" w:color="auto"/>
              <w:left w:val="single" w:sz="4" w:space="0" w:color="auto"/>
              <w:bottom w:val="single" w:sz="4" w:space="0" w:color="000000"/>
              <w:right w:val="single" w:sz="4" w:space="0" w:color="auto"/>
            </w:tcBorders>
            <w:vAlign w:val="center"/>
            <w:hideMark/>
          </w:tcPr>
          <w:p w14:paraId="32544761" w14:textId="77777777" w:rsidR="00D16DB5" w:rsidRPr="00C50854" w:rsidRDefault="00D16DB5" w:rsidP="00D16DB5">
            <w:pPr>
              <w:suppressAutoHyphens w:val="0"/>
              <w:rPr>
                <w:color w:val="000000"/>
                <w:sz w:val="16"/>
                <w:szCs w:val="16"/>
                <w:lang w:eastAsia="et-EE"/>
              </w:rPr>
            </w:pPr>
          </w:p>
        </w:tc>
        <w:tc>
          <w:tcPr>
            <w:tcW w:w="2318" w:type="dxa"/>
            <w:tcBorders>
              <w:top w:val="nil"/>
              <w:left w:val="nil"/>
              <w:bottom w:val="single" w:sz="4" w:space="0" w:color="auto"/>
              <w:right w:val="single" w:sz="4" w:space="0" w:color="auto"/>
            </w:tcBorders>
            <w:shd w:val="clear" w:color="auto" w:fill="auto"/>
            <w:noWrap/>
            <w:vAlign w:val="center"/>
            <w:hideMark/>
          </w:tcPr>
          <w:p w14:paraId="664324A2"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xml:space="preserve">kuni 200 Mbit/s / 50 Mbit/s </w:t>
            </w:r>
          </w:p>
        </w:tc>
        <w:tc>
          <w:tcPr>
            <w:tcW w:w="1138" w:type="dxa"/>
            <w:tcBorders>
              <w:top w:val="nil"/>
              <w:left w:val="nil"/>
              <w:bottom w:val="single" w:sz="4" w:space="0" w:color="auto"/>
              <w:right w:val="single" w:sz="4" w:space="0" w:color="auto"/>
            </w:tcBorders>
            <w:shd w:val="clear" w:color="auto" w:fill="auto"/>
            <w:noWrap/>
            <w:vAlign w:val="bottom"/>
            <w:hideMark/>
          </w:tcPr>
          <w:p w14:paraId="38E1573C"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30</w:t>
            </w:r>
          </w:p>
        </w:tc>
        <w:tc>
          <w:tcPr>
            <w:tcW w:w="1139" w:type="dxa"/>
            <w:tcBorders>
              <w:top w:val="nil"/>
              <w:left w:val="nil"/>
              <w:bottom w:val="single" w:sz="4" w:space="0" w:color="auto"/>
              <w:right w:val="single" w:sz="8" w:space="0" w:color="auto"/>
            </w:tcBorders>
            <w:shd w:val="clear" w:color="auto" w:fill="auto"/>
            <w:noWrap/>
            <w:vAlign w:val="bottom"/>
            <w:hideMark/>
          </w:tcPr>
          <w:p w14:paraId="37DC605B"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w:t>
            </w:r>
          </w:p>
        </w:tc>
      </w:tr>
      <w:tr w:rsidR="00D16DB5" w:rsidRPr="00C50854" w14:paraId="57F5108A" w14:textId="77777777" w:rsidTr="005451C5">
        <w:trPr>
          <w:trHeight w:val="246"/>
          <w:tblHeader/>
        </w:trPr>
        <w:tc>
          <w:tcPr>
            <w:tcW w:w="1913" w:type="dxa"/>
            <w:vMerge/>
            <w:tcBorders>
              <w:top w:val="single" w:sz="8" w:space="0" w:color="auto"/>
              <w:left w:val="single" w:sz="8" w:space="0" w:color="auto"/>
              <w:bottom w:val="single" w:sz="8" w:space="0" w:color="000000"/>
              <w:right w:val="single" w:sz="4" w:space="0" w:color="auto"/>
            </w:tcBorders>
            <w:vAlign w:val="center"/>
            <w:hideMark/>
          </w:tcPr>
          <w:p w14:paraId="0E0CF889" w14:textId="77777777" w:rsidR="00D16DB5" w:rsidRPr="00C50854" w:rsidRDefault="00D16DB5" w:rsidP="00D16DB5">
            <w:pPr>
              <w:suppressAutoHyphens w:val="0"/>
              <w:rPr>
                <w:color w:val="000000"/>
                <w:sz w:val="16"/>
                <w:szCs w:val="16"/>
                <w:lang w:eastAsia="et-EE"/>
              </w:rPr>
            </w:pPr>
          </w:p>
        </w:tc>
        <w:tc>
          <w:tcPr>
            <w:tcW w:w="2629" w:type="dxa"/>
            <w:vMerge/>
            <w:tcBorders>
              <w:top w:val="single" w:sz="8" w:space="0" w:color="auto"/>
              <w:left w:val="single" w:sz="4" w:space="0" w:color="auto"/>
              <w:bottom w:val="single" w:sz="4" w:space="0" w:color="000000"/>
              <w:right w:val="single" w:sz="4" w:space="0" w:color="auto"/>
            </w:tcBorders>
            <w:vAlign w:val="center"/>
            <w:hideMark/>
          </w:tcPr>
          <w:p w14:paraId="22A75F50" w14:textId="77777777" w:rsidR="00D16DB5" w:rsidRPr="00C50854" w:rsidRDefault="00D16DB5" w:rsidP="00D16DB5">
            <w:pPr>
              <w:suppressAutoHyphens w:val="0"/>
              <w:rPr>
                <w:color w:val="000000"/>
                <w:sz w:val="16"/>
                <w:szCs w:val="16"/>
                <w:lang w:eastAsia="et-EE"/>
              </w:rPr>
            </w:pPr>
          </w:p>
        </w:tc>
        <w:tc>
          <w:tcPr>
            <w:tcW w:w="2318" w:type="dxa"/>
            <w:tcBorders>
              <w:top w:val="nil"/>
              <w:left w:val="nil"/>
              <w:bottom w:val="single" w:sz="4" w:space="0" w:color="auto"/>
              <w:right w:val="single" w:sz="4" w:space="0" w:color="auto"/>
            </w:tcBorders>
            <w:shd w:val="clear" w:color="auto" w:fill="auto"/>
            <w:noWrap/>
            <w:vAlign w:val="center"/>
            <w:hideMark/>
          </w:tcPr>
          <w:p w14:paraId="0A0034BE"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xml:space="preserve">kuni 300 Mbit/s / 300 Mbit/s </w:t>
            </w:r>
          </w:p>
        </w:tc>
        <w:tc>
          <w:tcPr>
            <w:tcW w:w="1138" w:type="dxa"/>
            <w:tcBorders>
              <w:top w:val="nil"/>
              <w:left w:val="nil"/>
              <w:bottom w:val="single" w:sz="4" w:space="0" w:color="auto"/>
              <w:right w:val="single" w:sz="4" w:space="0" w:color="auto"/>
            </w:tcBorders>
            <w:shd w:val="clear" w:color="auto" w:fill="auto"/>
            <w:noWrap/>
            <w:vAlign w:val="bottom"/>
            <w:hideMark/>
          </w:tcPr>
          <w:p w14:paraId="44F404BC"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33</w:t>
            </w:r>
          </w:p>
        </w:tc>
        <w:tc>
          <w:tcPr>
            <w:tcW w:w="1139" w:type="dxa"/>
            <w:tcBorders>
              <w:top w:val="nil"/>
              <w:left w:val="nil"/>
              <w:bottom w:val="single" w:sz="4" w:space="0" w:color="auto"/>
              <w:right w:val="single" w:sz="8" w:space="0" w:color="auto"/>
            </w:tcBorders>
            <w:shd w:val="clear" w:color="auto" w:fill="auto"/>
            <w:noWrap/>
            <w:vAlign w:val="bottom"/>
            <w:hideMark/>
          </w:tcPr>
          <w:p w14:paraId="60668479"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w:t>
            </w:r>
          </w:p>
        </w:tc>
      </w:tr>
      <w:tr w:rsidR="00D16DB5" w:rsidRPr="00C50854" w14:paraId="0B94D713" w14:textId="77777777" w:rsidTr="005451C5">
        <w:trPr>
          <w:trHeight w:val="246"/>
          <w:tblHeader/>
        </w:trPr>
        <w:tc>
          <w:tcPr>
            <w:tcW w:w="1913" w:type="dxa"/>
            <w:vMerge/>
            <w:tcBorders>
              <w:top w:val="single" w:sz="8" w:space="0" w:color="auto"/>
              <w:left w:val="single" w:sz="8" w:space="0" w:color="auto"/>
              <w:bottom w:val="single" w:sz="8" w:space="0" w:color="000000"/>
              <w:right w:val="single" w:sz="4" w:space="0" w:color="auto"/>
            </w:tcBorders>
            <w:vAlign w:val="center"/>
            <w:hideMark/>
          </w:tcPr>
          <w:p w14:paraId="6F885E43" w14:textId="77777777" w:rsidR="00D16DB5" w:rsidRPr="00C50854" w:rsidRDefault="00D16DB5" w:rsidP="00D16DB5">
            <w:pPr>
              <w:suppressAutoHyphens w:val="0"/>
              <w:rPr>
                <w:color w:val="000000"/>
                <w:sz w:val="16"/>
                <w:szCs w:val="16"/>
                <w:lang w:eastAsia="et-EE"/>
              </w:rPr>
            </w:pPr>
          </w:p>
        </w:tc>
        <w:tc>
          <w:tcPr>
            <w:tcW w:w="2629" w:type="dxa"/>
            <w:vMerge/>
            <w:tcBorders>
              <w:top w:val="single" w:sz="8" w:space="0" w:color="auto"/>
              <w:left w:val="single" w:sz="4" w:space="0" w:color="auto"/>
              <w:bottom w:val="single" w:sz="4" w:space="0" w:color="000000"/>
              <w:right w:val="single" w:sz="4" w:space="0" w:color="auto"/>
            </w:tcBorders>
            <w:vAlign w:val="center"/>
            <w:hideMark/>
          </w:tcPr>
          <w:p w14:paraId="5D953244" w14:textId="77777777" w:rsidR="00D16DB5" w:rsidRPr="00C50854" w:rsidRDefault="00D16DB5" w:rsidP="00D16DB5">
            <w:pPr>
              <w:suppressAutoHyphens w:val="0"/>
              <w:rPr>
                <w:color w:val="000000"/>
                <w:sz w:val="16"/>
                <w:szCs w:val="16"/>
                <w:lang w:eastAsia="et-EE"/>
              </w:rPr>
            </w:pPr>
          </w:p>
        </w:tc>
        <w:tc>
          <w:tcPr>
            <w:tcW w:w="2318" w:type="dxa"/>
            <w:tcBorders>
              <w:top w:val="nil"/>
              <w:left w:val="nil"/>
              <w:bottom w:val="single" w:sz="4" w:space="0" w:color="auto"/>
              <w:right w:val="single" w:sz="4" w:space="0" w:color="auto"/>
            </w:tcBorders>
            <w:shd w:val="clear" w:color="auto" w:fill="auto"/>
            <w:noWrap/>
            <w:vAlign w:val="center"/>
            <w:hideMark/>
          </w:tcPr>
          <w:p w14:paraId="3FB63358"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xml:space="preserve">kuni 500 Mbit/s / 500 Mbit/s </w:t>
            </w:r>
          </w:p>
        </w:tc>
        <w:tc>
          <w:tcPr>
            <w:tcW w:w="1138" w:type="dxa"/>
            <w:tcBorders>
              <w:top w:val="nil"/>
              <w:left w:val="nil"/>
              <w:bottom w:val="single" w:sz="4" w:space="0" w:color="auto"/>
              <w:right w:val="single" w:sz="4" w:space="0" w:color="auto"/>
            </w:tcBorders>
            <w:shd w:val="clear" w:color="auto" w:fill="auto"/>
            <w:noWrap/>
            <w:vAlign w:val="bottom"/>
            <w:hideMark/>
          </w:tcPr>
          <w:p w14:paraId="4BDC8C3D"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42</w:t>
            </w:r>
          </w:p>
        </w:tc>
        <w:tc>
          <w:tcPr>
            <w:tcW w:w="1139" w:type="dxa"/>
            <w:tcBorders>
              <w:top w:val="nil"/>
              <w:left w:val="nil"/>
              <w:bottom w:val="single" w:sz="4" w:space="0" w:color="auto"/>
              <w:right w:val="single" w:sz="8" w:space="0" w:color="auto"/>
            </w:tcBorders>
            <w:shd w:val="clear" w:color="auto" w:fill="auto"/>
            <w:noWrap/>
            <w:vAlign w:val="bottom"/>
            <w:hideMark/>
          </w:tcPr>
          <w:p w14:paraId="66FCCEC2"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w:t>
            </w:r>
          </w:p>
        </w:tc>
      </w:tr>
      <w:tr w:rsidR="00D16DB5" w:rsidRPr="00C50854" w14:paraId="58C4BCF0" w14:textId="77777777" w:rsidTr="005451C5">
        <w:trPr>
          <w:trHeight w:val="246"/>
          <w:tblHeader/>
        </w:trPr>
        <w:tc>
          <w:tcPr>
            <w:tcW w:w="1913" w:type="dxa"/>
            <w:vMerge/>
            <w:tcBorders>
              <w:top w:val="single" w:sz="8" w:space="0" w:color="auto"/>
              <w:left w:val="single" w:sz="8" w:space="0" w:color="auto"/>
              <w:bottom w:val="single" w:sz="8" w:space="0" w:color="000000"/>
              <w:right w:val="single" w:sz="4" w:space="0" w:color="auto"/>
            </w:tcBorders>
            <w:vAlign w:val="center"/>
            <w:hideMark/>
          </w:tcPr>
          <w:p w14:paraId="680BAB46" w14:textId="77777777" w:rsidR="00D16DB5" w:rsidRPr="00C50854" w:rsidRDefault="00D16DB5" w:rsidP="00D16DB5">
            <w:pPr>
              <w:suppressAutoHyphens w:val="0"/>
              <w:rPr>
                <w:color w:val="000000"/>
                <w:sz w:val="16"/>
                <w:szCs w:val="16"/>
                <w:lang w:eastAsia="et-EE"/>
              </w:rPr>
            </w:pPr>
          </w:p>
        </w:tc>
        <w:tc>
          <w:tcPr>
            <w:tcW w:w="2629" w:type="dxa"/>
            <w:vMerge/>
            <w:tcBorders>
              <w:top w:val="single" w:sz="8" w:space="0" w:color="auto"/>
              <w:left w:val="single" w:sz="4" w:space="0" w:color="auto"/>
              <w:bottom w:val="single" w:sz="4" w:space="0" w:color="000000"/>
              <w:right w:val="single" w:sz="4" w:space="0" w:color="auto"/>
            </w:tcBorders>
            <w:vAlign w:val="center"/>
            <w:hideMark/>
          </w:tcPr>
          <w:p w14:paraId="22B67F30" w14:textId="77777777" w:rsidR="00D16DB5" w:rsidRPr="00C50854" w:rsidRDefault="00D16DB5" w:rsidP="00D16DB5">
            <w:pPr>
              <w:suppressAutoHyphens w:val="0"/>
              <w:rPr>
                <w:color w:val="000000"/>
                <w:sz w:val="16"/>
                <w:szCs w:val="16"/>
                <w:lang w:eastAsia="et-EE"/>
              </w:rPr>
            </w:pPr>
          </w:p>
        </w:tc>
        <w:tc>
          <w:tcPr>
            <w:tcW w:w="2318" w:type="dxa"/>
            <w:tcBorders>
              <w:top w:val="nil"/>
              <w:left w:val="nil"/>
              <w:bottom w:val="single" w:sz="4" w:space="0" w:color="auto"/>
              <w:right w:val="single" w:sz="4" w:space="0" w:color="auto"/>
            </w:tcBorders>
            <w:shd w:val="clear" w:color="auto" w:fill="auto"/>
            <w:noWrap/>
            <w:vAlign w:val="bottom"/>
            <w:hideMark/>
          </w:tcPr>
          <w:p w14:paraId="4E3A1759"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xml:space="preserve">kuni 1 Gbit/s / 1 Gbit/s </w:t>
            </w:r>
          </w:p>
        </w:tc>
        <w:tc>
          <w:tcPr>
            <w:tcW w:w="1138" w:type="dxa"/>
            <w:tcBorders>
              <w:top w:val="nil"/>
              <w:left w:val="nil"/>
              <w:bottom w:val="single" w:sz="4" w:space="0" w:color="auto"/>
              <w:right w:val="single" w:sz="4" w:space="0" w:color="auto"/>
            </w:tcBorders>
            <w:shd w:val="clear" w:color="auto" w:fill="auto"/>
            <w:noWrap/>
            <w:vAlign w:val="bottom"/>
            <w:hideMark/>
          </w:tcPr>
          <w:p w14:paraId="259E930A"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99</w:t>
            </w:r>
          </w:p>
        </w:tc>
        <w:tc>
          <w:tcPr>
            <w:tcW w:w="1139" w:type="dxa"/>
            <w:tcBorders>
              <w:top w:val="nil"/>
              <w:left w:val="nil"/>
              <w:bottom w:val="single" w:sz="4" w:space="0" w:color="auto"/>
              <w:right w:val="single" w:sz="8" w:space="0" w:color="auto"/>
            </w:tcBorders>
            <w:shd w:val="clear" w:color="auto" w:fill="auto"/>
            <w:noWrap/>
            <w:vAlign w:val="bottom"/>
            <w:hideMark/>
          </w:tcPr>
          <w:p w14:paraId="4F7BBB14"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 </w:t>
            </w:r>
          </w:p>
        </w:tc>
      </w:tr>
      <w:tr w:rsidR="00D16DB5" w:rsidRPr="00C50854" w14:paraId="7EDA15C2" w14:textId="77777777" w:rsidTr="005451C5">
        <w:trPr>
          <w:trHeight w:val="504"/>
          <w:tblHeader/>
        </w:trPr>
        <w:tc>
          <w:tcPr>
            <w:tcW w:w="1913" w:type="dxa"/>
            <w:vMerge/>
            <w:tcBorders>
              <w:top w:val="single" w:sz="8" w:space="0" w:color="auto"/>
              <w:left w:val="single" w:sz="8" w:space="0" w:color="auto"/>
              <w:bottom w:val="single" w:sz="8" w:space="0" w:color="000000"/>
              <w:right w:val="single" w:sz="4" w:space="0" w:color="auto"/>
            </w:tcBorders>
            <w:vAlign w:val="center"/>
            <w:hideMark/>
          </w:tcPr>
          <w:p w14:paraId="0E9138C1" w14:textId="77777777" w:rsidR="00D16DB5" w:rsidRPr="00C50854" w:rsidRDefault="00D16DB5" w:rsidP="00D16DB5">
            <w:pPr>
              <w:suppressAutoHyphens w:val="0"/>
              <w:rPr>
                <w:color w:val="000000"/>
                <w:sz w:val="16"/>
                <w:szCs w:val="16"/>
                <w:lang w:eastAsia="et-EE"/>
              </w:rPr>
            </w:pPr>
          </w:p>
        </w:tc>
        <w:tc>
          <w:tcPr>
            <w:tcW w:w="2629" w:type="dxa"/>
            <w:tcBorders>
              <w:top w:val="nil"/>
              <w:left w:val="nil"/>
              <w:bottom w:val="single" w:sz="4" w:space="0" w:color="auto"/>
              <w:right w:val="single" w:sz="4" w:space="0" w:color="auto"/>
            </w:tcBorders>
            <w:shd w:val="clear" w:color="auto" w:fill="auto"/>
            <w:vAlign w:val="bottom"/>
            <w:hideMark/>
          </w:tcPr>
          <w:p w14:paraId="743AF75D"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Kvaliteetne koduinternet üle 4G ja ilma mahupiiranguta</w:t>
            </w:r>
          </w:p>
        </w:tc>
        <w:tc>
          <w:tcPr>
            <w:tcW w:w="2318" w:type="dxa"/>
            <w:tcBorders>
              <w:top w:val="nil"/>
              <w:left w:val="nil"/>
              <w:bottom w:val="single" w:sz="4" w:space="0" w:color="auto"/>
              <w:right w:val="single" w:sz="4" w:space="0" w:color="auto"/>
            </w:tcBorders>
            <w:shd w:val="clear" w:color="auto" w:fill="auto"/>
            <w:noWrap/>
            <w:vAlign w:val="bottom"/>
            <w:hideMark/>
          </w:tcPr>
          <w:p w14:paraId="15308DEB"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20 Mbit/s 5 Mbit/s</w:t>
            </w:r>
          </w:p>
        </w:tc>
        <w:tc>
          <w:tcPr>
            <w:tcW w:w="1138" w:type="dxa"/>
            <w:tcBorders>
              <w:top w:val="nil"/>
              <w:left w:val="nil"/>
              <w:bottom w:val="single" w:sz="4" w:space="0" w:color="auto"/>
              <w:right w:val="single" w:sz="4" w:space="0" w:color="auto"/>
            </w:tcBorders>
            <w:shd w:val="clear" w:color="auto" w:fill="auto"/>
            <w:noWrap/>
            <w:vAlign w:val="bottom"/>
            <w:hideMark/>
          </w:tcPr>
          <w:p w14:paraId="02C12FD7"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21</w:t>
            </w:r>
          </w:p>
        </w:tc>
        <w:tc>
          <w:tcPr>
            <w:tcW w:w="1139" w:type="dxa"/>
            <w:tcBorders>
              <w:top w:val="nil"/>
              <w:left w:val="nil"/>
              <w:bottom w:val="single" w:sz="4" w:space="0" w:color="auto"/>
              <w:right w:val="single" w:sz="8" w:space="0" w:color="auto"/>
            </w:tcBorders>
            <w:shd w:val="clear" w:color="auto" w:fill="auto"/>
            <w:noWrap/>
            <w:vAlign w:val="bottom"/>
            <w:hideMark/>
          </w:tcPr>
          <w:p w14:paraId="4854F8D0"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0</w:t>
            </w:r>
          </w:p>
        </w:tc>
      </w:tr>
      <w:tr w:rsidR="00D16DB5" w:rsidRPr="00C50854" w14:paraId="4D11EEFA" w14:textId="77777777" w:rsidTr="005451C5">
        <w:trPr>
          <w:trHeight w:val="246"/>
          <w:tblHeader/>
        </w:trPr>
        <w:tc>
          <w:tcPr>
            <w:tcW w:w="191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F81AE4A" w14:textId="71559709" w:rsidR="00D16DB5" w:rsidRPr="00C50854" w:rsidRDefault="00D16DB5" w:rsidP="00D16DB5">
            <w:pPr>
              <w:suppressAutoHyphens w:val="0"/>
              <w:jc w:val="center"/>
              <w:rPr>
                <w:color w:val="000000"/>
                <w:sz w:val="20"/>
                <w:szCs w:val="20"/>
                <w:lang w:eastAsia="et-EE"/>
              </w:rPr>
            </w:pPr>
            <w:r w:rsidRPr="00C50854">
              <w:rPr>
                <w:color w:val="000000"/>
                <w:sz w:val="20"/>
                <w:szCs w:val="20"/>
                <w:lang w:eastAsia="et-EE"/>
              </w:rPr>
              <w:t>Elisa Teleteenused</w:t>
            </w:r>
            <w:r w:rsidR="00050CA6" w:rsidRPr="00C50854">
              <w:rPr>
                <w:rStyle w:val="Allmrkuseviide"/>
                <w:color w:val="000000"/>
                <w:sz w:val="20"/>
                <w:szCs w:val="20"/>
                <w:lang w:eastAsia="et-EE"/>
              </w:rPr>
              <w:footnoteReference w:id="28"/>
            </w:r>
          </w:p>
        </w:tc>
        <w:tc>
          <w:tcPr>
            <w:tcW w:w="2629" w:type="dxa"/>
            <w:tcBorders>
              <w:top w:val="single" w:sz="8" w:space="0" w:color="auto"/>
              <w:left w:val="nil"/>
              <w:bottom w:val="single" w:sz="4" w:space="0" w:color="auto"/>
              <w:right w:val="single" w:sz="4" w:space="0" w:color="auto"/>
            </w:tcBorders>
            <w:shd w:val="clear" w:color="auto" w:fill="auto"/>
            <w:noWrap/>
            <w:vAlign w:val="bottom"/>
            <w:hideMark/>
          </w:tcPr>
          <w:p w14:paraId="7D07F544"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Internet XL</w:t>
            </w:r>
          </w:p>
        </w:tc>
        <w:tc>
          <w:tcPr>
            <w:tcW w:w="2318" w:type="dxa"/>
            <w:tcBorders>
              <w:top w:val="nil"/>
              <w:left w:val="nil"/>
              <w:bottom w:val="nil"/>
              <w:right w:val="nil"/>
            </w:tcBorders>
            <w:shd w:val="clear" w:color="auto" w:fill="auto"/>
            <w:noWrap/>
            <w:vAlign w:val="center"/>
            <w:hideMark/>
          </w:tcPr>
          <w:p w14:paraId="35592E3C" w14:textId="2C89F1B7" w:rsidR="00D16DB5" w:rsidRPr="00C50854" w:rsidRDefault="00D16DB5" w:rsidP="00D16DB5">
            <w:pPr>
              <w:suppressAutoHyphens w:val="0"/>
              <w:rPr>
                <w:color w:val="000000"/>
                <w:sz w:val="16"/>
                <w:szCs w:val="16"/>
                <w:lang w:eastAsia="et-EE"/>
              </w:rPr>
            </w:pPr>
            <w:r w:rsidRPr="00C50854">
              <w:rPr>
                <w:color w:val="000000"/>
                <w:sz w:val="16"/>
                <w:szCs w:val="16"/>
                <w:lang w:eastAsia="et-EE"/>
              </w:rPr>
              <w:t>500</w:t>
            </w:r>
            <w:r w:rsidR="002D283E" w:rsidRPr="00C50854">
              <w:rPr>
                <w:color w:val="000000"/>
                <w:sz w:val="16"/>
                <w:szCs w:val="16"/>
                <w:lang w:eastAsia="et-EE"/>
              </w:rPr>
              <w:t xml:space="preserve"> </w:t>
            </w:r>
            <w:r w:rsidRPr="00C50854">
              <w:rPr>
                <w:color w:val="000000"/>
                <w:sz w:val="16"/>
                <w:szCs w:val="16"/>
                <w:lang w:eastAsia="et-EE"/>
              </w:rPr>
              <w:t>Mbit/s 50</w:t>
            </w:r>
            <w:r w:rsidR="002D283E" w:rsidRPr="00C50854">
              <w:rPr>
                <w:color w:val="000000"/>
                <w:sz w:val="16"/>
                <w:szCs w:val="16"/>
                <w:lang w:eastAsia="et-EE"/>
              </w:rPr>
              <w:t xml:space="preserve"> </w:t>
            </w:r>
            <w:r w:rsidRPr="00C50854">
              <w:rPr>
                <w:color w:val="000000"/>
                <w:sz w:val="16"/>
                <w:szCs w:val="16"/>
                <w:lang w:eastAsia="et-EE"/>
              </w:rPr>
              <w:t>Mbit/s</w:t>
            </w:r>
          </w:p>
        </w:tc>
        <w:tc>
          <w:tcPr>
            <w:tcW w:w="113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94F8971"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32,99</w:t>
            </w:r>
          </w:p>
        </w:tc>
        <w:tc>
          <w:tcPr>
            <w:tcW w:w="1139" w:type="dxa"/>
            <w:tcBorders>
              <w:top w:val="single" w:sz="8" w:space="0" w:color="auto"/>
              <w:left w:val="nil"/>
              <w:bottom w:val="single" w:sz="4" w:space="0" w:color="auto"/>
              <w:right w:val="single" w:sz="8" w:space="0" w:color="auto"/>
            </w:tcBorders>
            <w:shd w:val="clear" w:color="auto" w:fill="auto"/>
            <w:noWrap/>
            <w:vAlign w:val="bottom"/>
            <w:hideMark/>
          </w:tcPr>
          <w:p w14:paraId="3B587F21"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27%</w:t>
            </w:r>
          </w:p>
        </w:tc>
      </w:tr>
      <w:tr w:rsidR="00D16DB5" w:rsidRPr="00C50854" w14:paraId="3EED1B42" w14:textId="77777777" w:rsidTr="005451C5">
        <w:trPr>
          <w:trHeight w:val="246"/>
          <w:tblHeader/>
        </w:trPr>
        <w:tc>
          <w:tcPr>
            <w:tcW w:w="1913" w:type="dxa"/>
            <w:vMerge/>
            <w:tcBorders>
              <w:top w:val="nil"/>
              <w:left w:val="single" w:sz="8" w:space="0" w:color="auto"/>
              <w:bottom w:val="single" w:sz="8" w:space="0" w:color="000000"/>
              <w:right w:val="single" w:sz="4" w:space="0" w:color="auto"/>
            </w:tcBorders>
            <w:vAlign w:val="center"/>
            <w:hideMark/>
          </w:tcPr>
          <w:p w14:paraId="4409CC6E" w14:textId="77777777" w:rsidR="00D16DB5" w:rsidRPr="00C50854" w:rsidRDefault="00D16DB5" w:rsidP="00D16DB5">
            <w:pPr>
              <w:suppressAutoHyphens w:val="0"/>
              <w:rPr>
                <w:color w:val="000000"/>
                <w:sz w:val="16"/>
                <w:szCs w:val="16"/>
                <w:lang w:eastAsia="et-EE"/>
              </w:rPr>
            </w:pPr>
          </w:p>
        </w:tc>
        <w:tc>
          <w:tcPr>
            <w:tcW w:w="2629" w:type="dxa"/>
            <w:tcBorders>
              <w:top w:val="nil"/>
              <w:left w:val="nil"/>
              <w:bottom w:val="single" w:sz="4" w:space="0" w:color="auto"/>
              <w:right w:val="single" w:sz="4" w:space="0" w:color="auto"/>
            </w:tcBorders>
            <w:shd w:val="clear" w:color="auto" w:fill="auto"/>
            <w:noWrap/>
            <w:vAlign w:val="bottom"/>
            <w:hideMark/>
          </w:tcPr>
          <w:p w14:paraId="46F4691C"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Internet L</w:t>
            </w:r>
          </w:p>
        </w:tc>
        <w:tc>
          <w:tcPr>
            <w:tcW w:w="2318" w:type="dxa"/>
            <w:tcBorders>
              <w:top w:val="nil"/>
              <w:left w:val="nil"/>
              <w:bottom w:val="nil"/>
              <w:right w:val="nil"/>
            </w:tcBorders>
            <w:shd w:val="clear" w:color="auto" w:fill="auto"/>
            <w:noWrap/>
            <w:vAlign w:val="center"/>
            <w:hideMark/>
          </w:tcPr>
          <w:p w14:paraId="29712626" w14:textId="430AC59C" w:rsidR="00D16DB5" w:rsidRPr="00C50854" w:rsidRDefault="00D16DB5" w:rsidP="00D16DB5">
            <w:pPr>
              <w:suppressAutoHyphens w:val="0"/>
              <w:rPr>
                <w:color w:val="000000"/>
                <w:sz w:val="16"/>
                <w:szCs w:val="16"/>
                <w:lang w:eastAsia="et-EE"/>
              </w:rPr>
            </w:pPr>
            <w:r w:rsidRPr="00C50854">
              <w:rPr>
                <w:color w:val="000000"/>
                <w:sz w:val="16"/>
                <w:szCs w:val="16"/>
                <w:lang w:eastAsia="et-EE"/>
              </w:rPr>
              <w:t>150 Mbit/s 20</w:t>
            </w:r>
            <w:r w:rsidR="002D283E" w:rsidRPr="00C50854">
              <w:rPr>
                <w:color w:val="000000"/>
                <w:sz w:val="16"/>
                <w:szCs w:val="16"/>
                <w:lang w:eastAsia="et-EE"/>
              </w:rPr>
              <w:t xml:space="preserve"> </w:t>
            </w:r>
            <w:r w:rsidRPr="00C50854">
              <w:rPr>
                <w:color w:val="000000"/>
                <w:sz w:val="16"/>
                <w:szCs w:val="16"/>
                <w:lang w:eastAsia="et-EE"/>
              </w:rPr>
              <w:t>Mbit/s</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74D14483"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25,99</w:t>
            </w:r>
          </w:p>
        </w:tc>
        <w:tc>
          <w:tcPr>
            <w:tcW w:w="1139" w:type="dxa"/>
            <w:tcBorders>
              <w:top w:val="nil"/>
              <w:left w:val="nil"/>
              <w:bottom w:val="single" w:sz="4" w:space="0" w:color="auto"/>
              <w:right w:val="single" w:sz="8" w:space="0" w:color="auto"/>
            </w:tcBorders>
            <w:shd w:val="clear" w:color="auto" w:fill="auto"/>
            <w:noWrap/>
            <w:vAlign w:val="bottom"/>
            <w:hideMark/>
          </w:tcPr>
          <w:p w14:paraId="1B3E4516"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15%</w:t>
            </w:r>
          </w:p>
        </w:tc>
      </w:tr>
      <w:tr w:rsidR="00D16DB5" w:rsidRPr="00C50854" w14:paraId="585F3A34" w14:textId="77777777" w:rsidTr="005451C5">
        <w:trPr>
          <w:trHeight w:val="246"/>
          <w:tblHeader/>
        </w:trPr>
        <w:tc>
          <w:tcPr>
            <w:tcW w:w="1913" w:type="dxa"/>
            <w:vMerge/>
            <w:tcBorders>
              <w:top w:val="nil"/>
              <w:left w:val="single" w:sz="8" w:space="0" w:color="auto"/>
              <w:bottom w:val="single" w:sz="8" w:space="0" w:color="000000"/>
              <w:right w:val="single" w:sz="4" w:space="0" w:color="auto"/>
            </w:tcBorders>
            <w:vAlign w:val="center"/>
            <w:hideMark/>
          </w:tcPr>
          <w:p w14:paraId="293B8AA5" w14:textId="77777777" w:rsidR="00D16DB5" w:rsidRPr="00C50854" w:rsidRDefault="00D16DB5" w:rsidP="00D16DB5">
            <w:pPr>
              <w:suppressAutoHyphens w:val="0"/>
              <w:rPr>
                <w:color w:val="000000"/>
                <w:sz w:val="16"/>
                <w:szCs w:val="16"/>
                <w:lang w:eastAsia="et-EE"/>
              </w:rPr>
            </w:pPr>
          </w:p>
        </w:tc>
        <w:tc>
          <w:tcPr>
            <w:tcW w:w="2629" w:type="dxa"/>
            <w:tcBorders>
              <w:top w:val="nil"/>
              <w:left w:val="nil"/>
              <w:bottom w:val="single" w:sz="4" w:space="0" w:color="auto"/>
              <w:right w:val="single" w:sz="4" w:space="0" w:color="auto"/>
            </w:tcBorders>
            <w:shd w:val="clear" w:color="auto" w:fill="auto"/>
            <w:noWrap/>
            <w:vAlign w:val="bottom"/>
            <w:hideMark/>
          </w:tcPr>
          <w:p w14:paraId="6C42A358"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Internet M</w:t>
            </w:r>
          </w:p>
        </w:tc>
        <w:tc>
          <w:tcPr>
            <w:tcW w:w="2318" w:type="dxa"/>
            <w:tcBorders>
              <w:top w:val="nil"/>
              <w:left w:val="nil"/>
              <w:bottom w:val="nil"/>
              <w:right w:val="nil"/>
            </w:tcBorders>
            <w:shd w:val="clear" w:color="auto" w:fill="auto"/>
            <w:noWrap/>
            <w:vAlign w:val="center"/>
            <w:hideMark/>
          </w:tcPr>
          <w:p w14:paraId="53816B24" w14:textId="0F4BBA21" w:rsidR="00D16DB5" w:rsidRPr="00C50854" w:rsidRDefault="00D16DB5" w:rsidP="00D16DB5">
            <w:pPr>
              <w:suppressAutoHyphens w:val="0"/>
              <w:rPr>
                <w:color w:val="000000"/>
                <w:sz w:val="16"/>
                <w:szCs w:val="16"/>
                <w:lang w:eastAsia="et-EE"/>
              </w:rPr>
            </w:pPr>
            <w:r w:rsidRPr="00C50854">
              <w:rPr>
                <w:color w:val="000000"/>
                <w:sz w:val="16"/>
                <w:szCs w:val="16"/>
                <w:lang w:eastAsia="et-EE"/>
              </w:rPr>
              <w:t>50 Mbit/s 10</w:t>
            </w:r>
            <w:r w:rsidR="002D283E" w:rsidRPr="00C50854">
              <w:rPr>
                <w:color w:val="000000"/>
                <w:sz w:val="16"/>
                <w:szCs w:val="16"/>
                <w:lang w:eastAsia="et-EE"/>
              </w:rPr>
              <w:t xml:space="preserve"> </w:t>
            </w:r>
            <w:r w:rsidRPr="00C50854">
              <w:rPr>
                <w:color w:val="000000"/>
                <w:sz w:val="16"/>
                <w:szCs w:val="16"/>
                <w:lang w:eastAsia="et-EE"/>
              </w:rPr>
              <w:t>Mbit/s</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26F82DCE"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19,99</w:t>
            </w:r>
          </w:p>
        </w:tc>
        <w:tc>
          <w:tcPr>
            <w:tcW w:w="1139" w:type="dxa"/>
            <w:tcBorders>
              <w:top w:val="nil"/>
              <w:left w:val="nil"/>
              <w:bottom w:val="single" w:sz="4" w:space="0" w:color="auto"/>
              <w:right w:val="single" w:sz="8" w:space="0" w:color="auto"/>
            </w:tcBorders>
            <w:shd w:val="clear" w:color="auto" w:fill="auto"/>
            <w:noWrap/>
            <w:vAlign w:val="bottom"/>
            <w:hideMark/>
          </w:tcPr>
          <w:p w14:paraId="1A01F6A1"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10%</w:t>
            </w:r>
          </w:p>
        </w:tc>
      </w:tr>
      <w:tr w:rsidR="00D16DB5" w:rsidRPr="00C50854" w14:paraId="2E81FE24" w14:textId="77777777" w:rsidTr="005451C5">
        <w:trPr>
          <w:trHeight w:val="246"/>
          <w:tblHeader/>
        </w:trPr>
        <w:tc>
          <w:tcPr>
            <w:tcW w:w="1913" w:type="dxa"/>
            <w:vMerge/>
            <w:tcBorders>
              <w:top w:val="nil"/>
              <w:left w:val="single" w:sz="8" w:space="0" w:color="auto"/>
              <w:bottom w:val="single" w:sz="8" w:space="0" w:color="000000"/>
              <w:right w:val="single" w:sz="4" w:space="0" w:color="auto"/>
            </w:tcBorders>
            <w:vAlign w:val="center"/>
            <w:hideMark/>
          </w:tcPr>
          <w:p w14:paraId="5848D42D" w14:textId="77777777" w:rsidR="00D16DB5" w:rsidRPr="00C50854" w:rsidRDefault="00D16DB5" w:rsidP="00D16DB5">
            <w:pPr>
              <w:suppressAutoHyphens w:val="0"/>
              <w:rPr>
                <w:color w:val="000000"/>
                <w:sz w:val="16"/>
                <w:szCs w:val="16"/>
                <w:lang w:eastAsia="et-EE"/>
              </w:rPr>
            </w:pPr>
          </w:p>
        </w:tc>
        <w:tc>
          <w:tcPr>
            <w:tcW w:w="2629" w:type="dxa"/>
            <w:tcBorders>
              <w:top w:val="nil"/>
              <w:left w:val="nil"/>
              <w:bottom w:val="single" w:sz="4" w:space="0" w:color="auto"/>
              <w:right w:val="single" w:sz="4" w:space="0" w:color="auto"/>
            </w:tcBorders>
            <w:shd w:val="clear" w:color="auto" w:fill="auto"/>
            <w:noWrap/>
            <w:vAlign w:val="bottom"/>
            <w:hideMark/>
          </w:tcPr>
          <w:p w14:paraId="7D00A2C7"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Internet S</w:t>
            </w:r>
          </w:p>
        </w:tc>
        <w:tc>
          <w:tcPr>
            <w:tcW w:w="2318" w:type="dxa"/>
            <w:tcBorders>
              <w:top w:val="nil"/>
              <w:left w:val="nil"/>
              <w:bottom w:val="nil"/>
              <w:right w:val="nil"/>
            </w:tcBorders>
            <w:shd w:val="clear" w:color="auto" w:fill="auto"/>
            <w:noWrap/>
            <w:vAlign w:val="center"/>
            <w:hideMark/>
          </w:tcPr>
          <w:p w14:paraId="1C71A3BB" w14:textId="67305043" w:rsidR="00D16DB5" w:rsidRPr="00C50854" w:rsidRDefault="00D16DB5" w:rsidP="00D16DB5">
            <w:pPr>
              <w:suppressAutoHyphens w:val="0"/>
              <w:rPr>
                <w:color w:val="000000"/>
                <w:sz w:val="16"/>
                <w:szCs w:val="16"/>
                <w:lang w:eastAsia="et-EE"/>
              </w:rPr>
            </w:pPr>
            <w:r w:rsidRPr="00C50854">
              <w:rPr>
                <w:color w:val="000000"/>
                <w:sz w:val="16"/>
                <w:szCs w:val="16"/>
                <w:lang w:eastAsia="et-EE"/>
              </w:rPr>
              <w:t>10 Mbit/s 2</w:t>
            </w:r>
            <w:r w:rsidR="002D283E" w:rsidRPr="00C50854">
              <w:rPr>
                <w:color w:val="000000"/>
                <w:sz w:val="16"/>
                <w:szCs w:val="16"/>
                <w:lang w:eastAsia="et-EE"/>
              </w:rPr>
              <w:t xml:space="preserve"> </w:t>
            </w:r>
            <w:r w:rsidRPr="00C50854">
              <w:rPr>
                <w:color w:val="000000"/>
                <w:sz w:val="16"/>
                <w:szCs w:val="16"/>
                <w:lang w:eastAsia="et-EE"/>
              </w:rPr>
              <w:t>Mbit/s</w:t>
            </w:r>
          </w:p>
        </w:tc>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4EA30517"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14,99</w:t>
            </w:r>
          </w:p>
        </w:tc>
        <w:tc>
          <w:tcPr>
            <w:tcW w:w="1139" w:type="dxa"/>
            <w:tcBorders>
              <w:top w:val="nil"/>
              <w:left w:val="nil"/>
              <w:bottom w:val="single" w:sz="4" w:space="0" w:color="auto"/>
              <w:right w:val="single" w:sz="8" w:space="0" w:color="auto"/>
            </w:tcBorders>
            <w:shd w:val="clear" w:color="auto" w:fill="auto"/>
            <w:noWrap/>
            <w:vAlign w:val="bottom"/>
            <w:hideMark/>
          </w:tcPr>
          <w:p w14:paraId="5F071A1F"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6,7%</w:t>
            </w:r>
          </w:p>
        </w:tc>
      </w:tr>
      <w:tr w:rsidR="00D16DB5" w:rsidRPr="00C50854" w14:paraId="6D082E88" w14:textId="77777777" w:rsidTr="005451C5">
        <w:trPr>
          <w:trHeight w:val="258"/>
          <w:tblHeader/>
        </w:trPr>
        <w:tc>
          <w:tcPr>
            <w:tcW w:w="1913" w:type="dxa"/>
            <w:vMerge/>
            <w:tcBorders>
              <w:top w:val="nil"/>
              <w:left w:val="single" w:sz="8" w:space="0" w:color="auto"/>
              <w:bottom w:val="single" w:sz="8" w:space="0" w:color="000000"/>
              <w:right w:val="single" w:sz="4" w:space="0" w:color="auto"/>
            </w:tcBorders>
            <w:vAlign w:val="center"/>
            <w:hideMark/>
          </w:tcPr>
          <w:p w14:paraId="4BFF6D9D" w14:textId="77777777" w:rsidR="00D16DB5" w:rsidRPr="00C50854" w:rsidRDefault="00D16DB5" w:rsidP="00D16DB5">
            <w:pPr>
              <w:suppressAutoHyphens w:val="0"/>
              <w:rPr>
                <w:color w:val="000000"/>
                <w:sz w:val="16"/>
                <w:szCs w:val="16"/>
                <w:lang w:eastAsia="et-EE"/>
              </w:rPr>
            </w:pPr>
          </w:p>
        </w:tc>
        <w:tc>
          <w:tcPr>
            <w:tcW w:w="2629" w:type="dxa"/>
            <w:tcBorders>
              <w:top w:val="nil"/>
              <w:left w:val="nil"/>
              <w:bottom w:val="single" w:sz="8" w:space="0" w:color="auto"/>
              <w:right w:val="single" w:sz="4" w:space="0" w:color="auto"/>
            </w:tcBorders>
            <w:shd w:val="clear" w:color="auto" w:fill="auto"/>
            <w:noWrap/>
            <w:vAlign w:val="bottom"/>
            <w:hideMark/>
          </w:tcPr>
          <w:p w14:paraId="211D0544"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Praktiline koduinternet</w:t>
            </w:r>
          </w:p>
        </w:tc>
        <w:tc>
          <w:tcPr>
            <w:tcW w:w="2318" w:type="dxa"/>
            <w:tcBorders>
              <w:top w:val="single" w:sz="4" w:space="0" w:color="auto"/>
              <w:left w:val="nil"/>
              <w:bottom w:val="single" w:sz="8" w:space="0" w:color="auto"/>
              <w:right w:val="single" w:sz="4" w:space="0" w:color="auto"/>
            </w:tcBorders>
            <w:shd w:val="clear" w:color="auto" w:fill="auto"/>
            <w:noWrap/>
            <w:vAlign w:val="bottom"/>
            <w:hideMark/>
          </w:tcPr>
          <w:p w14:paraId="715FC463" w14:textId="77777777" w:rsidR="00D16DB5" w:rsidRPr="00C50854" w:rsidRDefault="00D16DB5" w:rsidP="00D16DB5">
            <w:pPr>
              <w:suppressAutoHyphens w:val="0"/>
              <w:rPr>
                <w:color w:val="000000"/>
                <w:sz w:val="16"/>
                <w:szCs w:val="16"/>
                <w:lang w:eastAsia="et-EE"/>
              </w:rPr>
            </w:pPr>
            <w:r w:rsidRPr="00C50854">
              <w:rPr>
                <w:color w:val="000000"/>
                <w:sz w:val="16"/>
                <w:szCs w:val="16"/>
                <w:lang w:eastAsia="et-EE"/>
              </w:rPr>
              <w:t>50 Mbit/s 20 Mbit/s</w:t>
            </w:r>
          </w:p>
        </w:tc>
        <w:tc>
          <w:tcPr>
            <w:tcW w:w="1138" w:type="dxa"/>
            <w:tcBorders>
              <w:top w:val="nil"/>
              <w:left w:val="nil"/>
              <w:bottom w:val="single" w:sz="8" w:space="0" w:color="auto"/>
              <w:right w:val="single" w:sz="4" w:space="0" w:color="auto"/>
            </w:tcBorders>
            <w:shd w:val="clear" w:color="auto" w:fill="auto"/>
            <w:noWrap/>
            <w:vAlign w:val="bottom"/>
            <w:hideMark/>
          </w:tcPr>
          <w:p w14:paraId="01FDFD22"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23</w:t>
            </w:r>
          </w:p>
        </w:tc>
        <w:tc>
          <w:tcPr>
            <w:tcW w:w="1139" w:type="dxa"/>
            <w:tcBorders>
              <w:top w:val="nil"/>
              <w:left w:val="nil"/>
              <w:bottom w:val="single" w:sz="8" w:space="0" w:color="auto"/>
              <w:right w:val="single" w:sz="8" w:space="0" w:color="auto"/>
            </w:tcBorders>
            <w:shd w:val="clear" w:color="auto" w:fill="auto"/>
            <w:noWrap/>
            <w:vAlign w:val="bottom"/>
            <w:hideMark/>
          </w:tcPr>
          <w:p w14:paraId="07E4BBE0" w14:textId="7777777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5%</w:t>
            </w:r>
          </w:p>
        </w:tc>
      </w:tr>
      <w:tr w:rsidR="00D16DB5" w:rsidRPr="00C50854" w14:paraId="67F7DDED" w14:textId="77777777" w:rsidTr="005451C5">
        <w:trPr>
          <w:trHeight w:val="246"/>
          <w:tblHeader/>
        </w:trPr>
        <w:tc>
          <w:tcPr>
            <w:tcW w:w="1913" w:type="dxa"/>
            <w:vMerge w:val="restart"/>
            <w:tcBorders>
              <w:top w:val="nil"/>
              <w:left w:val="single" w:sz="8" w:space="0" w:color="auto"/>
              <w:bottom w:val="single" w:sz="8" w:space="0" w:color="000000"/>
              <w:right w:val="single" w:sz="4" w:space="0" w:color="auto"/>
            </w:tcBorders>
            <w:shd w:val="clear" w:color="auto" w:fill="auto"/>
            <w:vAlign w:val="center"/>
            <w:hideMark/>
          </w:tcPr>
          <w:p w14:paraId="42BABB66" w14:textId="77777777" w:rsidR="00D16DB5" w:rsidRPr="00C50854" w:rsidRDefault="00D16DB5" w:rsidP="00D16DB5">
            <w:pPr>
              <w:suppressAutoHyphens w:val="0"/>
              <w:jc w:val="center"/>
              <w:rPr>
                <w:color w:val="000000"/>
                <w:sz w:val="20"/>
                <w:szCs w:val="20"/>
                <w:lang w:eastAsia="et-EE"/>
              </w:rPr>
            </w:pPr>
            <w:r w:rsidRPr="00C50854">
              <w:rPr>
                <w:color w:val="000000"/>
                <w:sz w:val="20"/>
                <w:szCs w:val="20"/>
                <w:lang w:eastAsia="et-EE"/>
              </w:rPr>
              <w:t>STV</w:t>
            </w:r>
          </w:p>
          <w:p w14:paraId="400A9A3D" w14:textId="7B99CC49" w:rsidR="00D16DB5" w:rsidRPr="00C50854" w:rsidRDefault="00D16DB5" w:rsidP="00D16DB5">
            <w:pPr>
              <w:suppressAutoHyphens w:val="0"/>
              <w:jc w:val="center"/>
              <w:rPr>
                <w:color w:val="000000"/>
                <w:sz w:val="12"/>
                <w:szCs w:val="12"/>
                <w:lang w:eastAsia="et-EE"/>
              </w:rPr>
            </w:pPr>
            <w:r w:rsidRPr="00C50854">
              <w:rPr>
                <w:color w:val="000000"/>
                <w:sz w:val="16"/>
                <w:szCs w:val="16"/>
                <w:lang w:eastAsia="et-EE"/>
              </w:rPr>
              <w:t xml:space="preserve"> </w:t>
            </w:r>
            <w:r w:rsidRPr="00C50854">
              <w:rPr>
                <w:color w:val="000000"/>
                <w:sz w:val="12"/>
                <w:szCs w:val="12"/>
                <w:lang w:eastAsia="et-EE"/>
              </w:rPr>
              <w:t>SATURN PAKETID (Optilise</w:t>
            </w:r>
            <w:r w:rsidR="00CE2A5A" w:rsidRPr="00C50854">
              <w:rPr>
                <w:color w:val="000000"/>
                <w:sz w:val="12"/>
                <w:szCs w:val="12"/>
                <w:lang w:eastAsia="et-EE"/>
              </w:rPr>
              <w:t xml:space="preserve"> </w:t>
            </w:r>
            <w:r w:rsidRPr="00C50854">
              <w:rPr>
                <w:color w:val="000000"/>
                <w:sz w:val="12"/>
                <w:szCs w:val="12"/>
                <w:lang w:eastAsia="et-EE"/>
              </w:rPr>
              <w:t>kiu ja CAT5 tehnoloogia)</w:t>
            </w:r>
          </w:p>
        </w:tc>
        <w:tc>
          <w:tcPr>
            <w:tcW w:w="2629" w:type="dxa"/>
            <w:tcBorders>
              <w:top w:val="nil"/>
              <w:left w:val="nil"/>
              <w:bottom w:val="single" w:sz="4" w:space="0" w:color="auto"/>
              <w:right w:val="single" w:sz="4" w:space="0" w:color="auto"/>
            </w:tcBorders>
            <w:shd w:val="clear" w:color="auto" w:fill="auto"/>
            <w:noWrap/>
            <w:vAlign w:val="bottom"/>
            <w:hideMark/>
          </w:tcPr>
          <w:p w14:paraId="71CBF9D0" w14:textId="695A5112" w:rsidR="00D16DB5" w:rsidRPr="00C50854" w:rsidRDefault="00D16DB5" w:rsidP="00D16DB5">
            <w:pPr>
              <w:suppressAutoHyphens w:val="0"/>
              <w:rPr>
                <w:color w:val="000000"/>
                <w:sz w:val="16"/>
                <w:szCs w:val="16"/>
                <w:lang w:eastAsia="et-EE"/>
              </w:rPr>
            </w:pPr>
            <w:r w:rsidRPr="00C50854">
              <w:rPr>
                <w:color w:val="000000"/>
                <w:sz w:val="16"/>
                <w:szCs w:val="16"/>
                <w:lang w:eastAsia="et-EE"/>
              </w:rPr>
              <w:t>5 Mbit/s</w:t>
            </w:r>
          </w:p>
        </w:tc>
        <w:tc>
          <w:tcPr>
            <w:tcW w:w="2318" w:type="dxa"/>
            <w:tcBorders>
              <w:top w:val="nil"/>
              <w:left w:val="nil"/>
              <w:bottom w:val="single" w:sz="4" w:space="0" w:color="auto"/>
              <w:right w:val="single" w:sz="4" w:space="0" w:color="auto"/>
            </w:tcBorders>
            <w:shd w:val="clear" w:color="auto" w:fill="auto"/>
            <w:noWrap/>
            <w:vAlign w:val="bottom"/>
            <w:hideMark/>
          </w:tcPr>
          <w:p w14:paraId="393B90BB" w14:textId="14B85EF9" w:rsidR="00D16DB5" w:rsidRPr="00C50854" w:rsidRDefault="00D16DB5" w:rsidP="00D16DB5">
            <w:pPr>
              <w:suppressAutoHyphens w:val="0"/>
              <w:rPr>
                <w:color w:val="000000"/>
                <w:sz w:val="16"/>
                <w:szCs w:val="16"/>
                <w:lang w:eastAsia="et-EE"/>
              </w:rPr>
            </w:pPr>
            <w:r w:rsidRPr="00C50854">
              <w:rPr>
                <w:color w:val="000000"/>
                <w:sz w:val="16"/>
                <w:szCs w:val="16"/>
                <w:lang w:eastAsia="et-EE"/>
              </w:rPr>
              <w:t>5 Mbit/s 5Mbit/s</w:t>
            </w:r>
          </w:p>
        </w:tc>
        <w:tc>
          <w:tcPr>
            <w:tcW w:w="1138" w:type="dxa"/>
            <w:tcBorders>
              <w:top w:val="nil"/>
              <w:left w:val="nil"/>
              <w:bottom w:val="single" w:sz="4" w:space="0" w:color="auto"/>
              <w:right w:val="single" w:sz="4" w:space="0" w:color="auto"/>
            </w:tcBorders>
            <w:shd w:val="clear" w:color="auto" w:fill="auto"/>
            <w:noWrap/>
            <w:vAlign w:val="bottom"/>
            <w:hideMark/>
          </w:tcPr>
          <w:p w14:paraId="3D2C2CA0" w14:textId="6C79ED0E"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10</w:t>
            </w:r>
          </w:p>
        </w:tc>
        <w:tc>
          <w:tcPr>
            <w:tcW w:w="1139" w:type="dxa"/>
            <w:tcBorders>
              <w:top w:val="nil"/>
              <w:left w:val="nil"/>
              <w:bottom w:val="single" w:sz="4" w:space="0" w:color="auto"/>
              <w:right w:val="single" w:sz="8" w:space="0" w:color="auto"/>
            </w:tcBorders>
            <w:shd w:val="clear" w:color="auto" w:fill="auto"/>
            <w:noWrap/>
            <w:vAlign w:val="bottom"/>
            <w:hideMark/>
          </w:tcPr>
          <w:p w14:paraId="62B8D608" w14:textId="2DBC5AF0"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60%</w:t>
            </w:r>
          </w:p>
        </w:tc>
      </w:tr>
      <w:tr w:rsidR="00D16DB5" w:rsidRPr="00C50854" w14:paraId="45BC2C97" w14:textId="77777777" w:rsidTr="005451C5">
        <w:trPr>
          <w:trHeight w:val="246"/>
          <w:tblHeader/>
        </w:trPr>
        <w:tc>
          <w:tcPr>
            <w:tcW w:w="1913" w:type="dxa"/>
            <w:vMerge/>
            <w:tcBorders>
              <w:top w:val="nil"/>
              <w:left w:val="single" w:sz="8" w:space="0" w:color="auto"/>
              <w:bottom w:val="single" w:sz="8" w:space="0" w:color="000000"/>
              <w:right w:val="single" w:sz="4" w:space="0" w:color="auto"/>
            </w:tcBorders>
            <w:vAlign w:val="center"/>
            <w:hideMark/>
          </w:tcPr>
          <w:p w14:paraId="2B09B1F4" w14:textId="77777777" w:rsidR="00D16DB5" w:rsidRPr="00C50854" w:rsidRDefault="00D16DB5" w:rsidP="00D16DB5">
            <w:pPr>
              <w:suppressAutoHyphens w:val="0"/>
              <w:rPr>
                <w:color w:val="000000"/>
                <w:sz w:val="16"/>
                <w:szCs w:val="16"/>
                <w:lang w:eastAsia="et-EE"/>
              </w:rPr>
            </w:pPr>
          </w:p>
        </w:tc>
        <w:tc>
          <w:tcPr>
            <w:tcW w:w="2629" w:type="dxa"/>
            <w:tcBorders>
              <w:top w:val="nil"/>
              <w:left w:val="nil"/>
              <w:bottom w:val="single" w:sz="4" w:space="0" w:color="auto"/>
              <w:right w:val="single" w:sz="4" w:space="0" w:color="auto"/>
            </w:tcBorders>
            <w:shd w:val="clear" w:color="auto" w:fill="auto"/>
            <w:noWrap/>
            <w:vAlign w:val="bottom"/>
            <w:hideMark/>
          </w:tcPr>
          <w:p w14:paraId="2DFCA3DA" w14:textId="49CB2677" w:rsidR="00D16DB5" w:rsidRPr="00C50854" w:rsidRDefault="00D16DB5" w:rsidP="00D16DB5">
            <w:pPr>
              <w:suppressAutoHyphens w:val="0"/>
              <w:rPr>
                <w:color w:val="000000"/>
                <w:sz w:val="16"/>
                <w:szCs w:val="16"/>
                <w:lang w:eastAsia="et-EE"/>
              </w:rPr>
            </w:pPr>
            <w:r w:rsidRPr="00C50854">
              <w:rPr>
                <w:color w:val="000000"/>
                <w:sz w:val="16"/>
                <w:szCs w:val="16"/>
                <w:lang w:eastAsia="et-EE"/>
              </w:rPr>
              <w:t>10 Mbit/s</w:t>
            </w:r>
          </w:p>
        </w:tc>
        <w:tc>
          <w:tcPr>
            <w:tcW w:w="2318" w:type="dxa"/>
            <w:tcBorders>
              <w:top w:val="nil"/>
              <w:left w:val="nil"/>
              <w:bottom w:val="single" w:sz="4" w:space="0" w:color="auto"/>
              <w:right w:val="single" w:sz="4" w:space="0" w:color="auto"/>
            </w:tcBorders>
            <w:shd w:val="clear" w:color="auto" w:fill="auto"/>
            <w:noWrap/>
            <w:vAlign w:val="bottom"/>
            <w:hideMark/>
          </w:tcPr>
          <w:p w14:paraId="50269D3D" w14:textId="4A8138E8" w:rsidR="00D16DB5" w:rsidRPr="00C50854" w:rsidRDefault="00D16DB5" w:rsidP="00D16DB5">
            <w:pPr>
              <w:suppressAutoHyphens w:val="0"/>
              <w:rPr>
                <w:color w:val="000000"/>
                <w:sz w:val="16"/>
                <w:szCs w:val="16"/>
                <w:lang w:eastAsia="et-EE"/>
              </w:rPr>
            </w:pPr>
            <w:r w:rsidRPr="00C50854">
              <w:rPr>
                <w:color w:val="000000"/>
                <w:sz w:val="16"/>
                <w:szCs w:val="16"/>
                <w:lang w:eastAsia="et-EE"/>
              </w:rPr>
              <w:t>10 Mbit/s 10Mbit/s</w:t>
            </w:r>
          </w:p>
        </w:tc>
        <w:tc>
          <w:tcPr>
            <w:tcW w:w="1138" w:type="dxa"/>
            <w:tcBorders>
              <w:top w:val="nil"/>
              <w:left w:val="nil"/>
              <w:bottom w:val="single" w:sz="4" w:space="0" w:color="auto"/>
              <w:right w:val="single" w:sz="4" w:space="0" w:color="auto"/>
            </w:tcBorders>
            <w:shd w:val="clear" w:color="000000" w:fill="FFFFFF"/>
            <w:noWrap/>
            <w:vAlign w:val="bottom"/>
            <w:hideMark/>
          </w:tcPr>
          <w:p w14:paraId="746B0C17" w14:textId="3B53ECC9"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14</w:t>
            </w:r>
          </w:p>
        </w:tc>
        <w:tc>
          <w:tcPr>
            <w:tcW w:w="1139" w:type="dxa"/>
            <w:tcBorders>
              <w:top w:val="nil"/>
              <w:left w:val="nil"/>
              <w:bottom w:val="single" w:sz="4" w:space="0" w:color="auto"/>
              <w:right w:val="single" w:sz="8" w:space="0" w:color="auto"/>
            </w:tcBorders>
            <w:shd w:val="clear" w:color="000000" w:fill="FFFFFF"/>
            <w:noWrap/>
            <w:vAlign w:val="bottom"/>
            <w:hideMark/>
          </w:tcPr>
          <w:p w14:paraId="49BBD3E1" w14:textId="79FEFEFA"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14%</w:t>
            </w:r>
          </w:p>
        </w:tc>
      </w:tr>
      <w:tr w:rsidR="00D16DB5" w:rsidRPr="00C50854" w14:paraId="5118B5FC" w14:textId="77777777" w:rsidTr="005451C5">
        <w:trPr>
          <w:trHeight w:val="246"/>
          <w:tblHeader/>
        </w:trPr>
        <w:tc>
          <w:tcPr>
            <w:tcW w:w="1913" w:type="dxa"/>
            <w:vMerge/>
            <w:tcBorders>
              <w:top w:val="nil"/>
              <w:left w:val="single" w:sz="8" w:space="0" w:color="auto"/>
              <w:bottom w:val="single" w:sz="8" w:space="0" w:color="000000"/>
              <w:right w:val="single" w:sz="4" w:space="0" w:color="auto"/>
            </w:tcBorders>
            <w:vAlign w:val="center"/>
            <w:hideMark/>
          </w:tcPr>
          <w:p w14:paraId="5F076C21" w14:textId="77777777" w:rsidR="00D16DB5" w:rsidRPr="00C50854" w:rsidRDefault="00D16DB5" w:rsidP="00D16DB5">
            <w:pPr>
              <w:suppressAutoHyphens w:val="0"/>
              <w:rPr>
                <w:color w:val="000000"/>
                <w:sz w:val="16"/>
                <w:szCs w:val="16"/>
                <w:lang w:eastAsia="et-EE"/>
              </w:rPr>
            </w:pPr>
          </w:p>
        </w:tc>
        <w:tc>
          <w:tcPr>
            <w:tcW w:w="2629" w:type="dxa"/>
            <w:tcBorders>
              <w:top w:val="nil"/>
              <w:left w:val="nil"/>
              <w:bottom w:val="single" w:sz="4" w:space="0" w:color="auto"/>
              <w:right w:val="single" w:sz="4" w:space="0" w:color="auto"/>
            </w:tcBorders>
            <w:shd w:val="clear" w:color="auto" w:fill="auto"/>
            <w:noWrap/>
            <w:vAlign w:val="bottom"/>
            <w:hideMark/>
          </w:tcPr>
          <w:p w14:paraId="3ACC0E92" w14:textId="0BAD6370" w:rsidR="00D16DB5" w:rsidRPr="00C50854" w:rsidRDefault="00D16DB5" w:rsidP="00D16DB5">
            <w:pPr>
              <w:suppressAutoHyphens w:val="0"/>
              <w:rPr>
                <w:color w:val="000000"/>
                <w:sz w:val="16"/>
                <w:szCs w:val="16"/>
                <w:lang w:eastAsia="et-EE"/>
              </w:rPr>
            </w:pPr>
            <w:r w:rsidRPr="00C50854">
              <w:rPr>
                <w:color w:val="000000"/>
                <w:sz w:val="16"/>
                <w:szCs w:val="16"/>
                <w:lang w:eastAsia="et-EE"/>
              </w:rPr>
              <w:t>25</w:t>
            </w:r>
            <w:r w:rsidR="00CE2A5A" w:rsidRPr="00C50854">
              <w:rPr>
                <w:color w:val="000000"/>
                <w:sz w:val="16"/>
                <w:szCs w:val="16"/>
                <w:lang w:eastAsia="et-EE"/>
              </w:rPr>
              <w:t xml:space="preserve"> </w:t>
            </w:r>
            <w:r w:rsidRPr="00C50854">
              <w:rPr>
                <w:color w:val="000000"/>
                <w:sz w:val="16"/>
                <w:szCs w:val="16"/>
                <w:lang w:eastAsia="et-EE"/>
              </w:rPr>
              <w:t>Mbit/s</w:t>
            </w:r>
          </w:p>
        </w:tc>
        <w:tc>
          <w:tcPr>
            <w:tcW w:w="2318" w:type="dxa"/>
            <w:tcBorders>
              <w:top w:val="nil"/>
              <w:left w:val="nil"/>
              <w:bottom w:val="single" w:sz="4" w:space="0" w:color="auto"/>
              <w:right w:val="single" w:sz="4" w:space="0" w:color="auto"/>
            </w:tcBorders>
            <w:shd w:val="clear" w:color="auto" w:fill="auto"/>
            <w:noWrap/>
            <w:vAlign w:val="bottom"/>
            <w:hideMark/>
          </w:tcPr>
          <w:p w14:paraId="4157D60C" w14:textId="7D1050E2" w:rsidR="00D16DB5" w:rsidRPr="00C50854" w:rsidRDefault="00D16DB5" w:rsidP="00D16DB5">
            <w:pPr>
              <w:suppressAutoHyphens w:val="0"/>
              <w:rPr>
                <w:color w:val="000000"/>
                <w:sz w:val="16"/>
                <w:szCs w:val="16"/>
                <w:lang w:eastAsia="et-EE"/>
              </w:rPr>
            </w:pPr>
            <w:r w:rsidRPr="00C50854">
              <w:rPr>
                <w:color w:val="000000"/>
                <w:sz w:val="16"/>
                <w:szCs w:val="16"/>
                <w:lang w:eastAsia="et-EE"/>
              </w:rPr>
              <w:t>25Mbit/s 25 Mbit/s</w:t>
            </w:r>
          </w:p>
        </w:tc>
        <w:tc>
          <w:tcPr>
            <w:tcW w:w="1138" w:type="dxa"/>
            <w:tcBorders>
              <w:top w:val="nil"/>
              <w:left w:val="nil"/>
              <w:bottom w:val="single" w:sz="4" w:space="0" w:color="auto"/>
              <w:right w:val="single" w:sz="4" w:space="0" w:color="auto"/>
            </w:tcBorders>
            <w:shd w:val="clear" w:color="auto" w:fill="auto"/>
            <w:noWrap/>
            <w:vAlign w:val="bottom"/>
            <w:hideMark/>
          </w:tcPr>
          <w:p w14:paraId="61BB707C" w14:textId="5B56EA80"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17</w:t>
            </w:r>
          </w:p>
        </w:tc>
        <w:tc>
          <w:tcPr>
            <w:tcW w:w="1139" w:type="dxa"/>
            <w:tcBorders>
              <w:top w:val="nil"/>
              <w:left w:val="nil"/>
              <w:bottom w:val="single" w:sz="4" w:space="0" w:color="auto"/>
              <w:right w:val="single" w:sz="8" w:space="0" w:color="auto"/>
            </w:tcBorders>
            <w:shd w:val="clear" w:color="auto" w:fill="auto"/>
            <w:noWrap/>
            <w:vAlign w:val="bottom"/>
            <w:hideMark/>
          </w:tcPr>
          <w:p w14:paraId="6ED734FD" w14:textId="30F1E600"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24%</w:t>
            </w:r>
          </w:p>
        </w:tc>
      </w:tr>
      <w:tr w:rsidR="00D16DB5" w:rsidRPr="00C50854" w14:paraId="565AB423" w14:textId="77777777" w:rsidTr="005451C5">
        <w:trPr>
          <w:trHeight w:val="246"/>
          <w:tblHeader/>
        </w:trPr>
        <w:tc>
          <w:tcPr>
            <w:tcW w:w="1913" w:type="dxa"/>
            <w:vMerge/>
            <w:tcBorders>
              <w:top w:val="nil"/>
              <w:left w:val="single" w:sz="8" w:space="0" w:color="auto"/>
              <w:bottom w:val="single" w:sz="8" w:space="0" w:color="000000"/>
              <w:right w:val="single" w:sz="4" w:space="0" w:color="auto"/>
            </w:tcBorders>
            <w:vAlign w:val="center"/>
            <w:hideMark/>
          </w:tcPr>
          <w:p w14:paraId="3C0A69ED" w14:textId="77777777" w:rsidR="00D16DB5" w:rsidRPr="00C50854" w:rsidRDefault="00D16DB5" w:rsidP="00D16DB5">
            <w:pPr>
              <w:suppressAutoHyphens w:val="0"/>
              <w:rPr>
                <w:color w:val="000000"/>
                <w:sz w:val="16"/>
                <w:szCs w:val="16"/>
                <w:lang w:eastAsia="et-EE"/>
              </w:rPr>
            </w:pPr>
          </w:p>
        </w:tc>
        <w:tc>
          <w:tcPr>
            <w:tcW w:w="2629" w:type="dxa"/>
            <w:tcBorders>
              <w:top w:val="nil"/>
              <w:left w:val="nil"/>
              <w:bottom w:val="single" w:sz="4" w:space="0" w:color="auto"/>
              <w:right w:val="single" w:sz="4" w:space="0" w:color="auto"/>
            </w:tcBorders>
            <w:shd w:val="clear" w:color="auto" w:fill="auto"/>
            <w:noWrap/>
            <w:vAlign w:val="bottom"/>
            <w:hideMark/>
          </w:tcPr>
          <w:p w14:paraId="768E79B8" w14:textId="15CC8539" w:rsidR="00D16DB5" w:rsidRPr="00C50854" w:rsidRDefault="00D16DB5" w:rsidP="00D16DB5">
            <w:pPr>
              <w:suppressAutoHyphens w:val="0"/>
              <w:rPr>
                <w:color w:val="000000"/>
                <w:sz w:val="16"/>
                <w:szCs w:val="16"/>
                <w:lang w:eastAsia="et-EE"/>
              </w:rPr>
            </w:pPr>
            <w:r w:rsidRPr="00C50854">
              <w:rPr>
                <w:color w:val="000000"/>
                <w:sz w:val="16"/>
                <w:szCs w:val="16"/>
                <w:lang w:eastAsia="et-EE"/>
              </w:rPr>
              <w:t>100</w:t>
            </w:r>
            <w:r w:rsidR="00CE2A5A" w:rsidRPr="00C50854">
              <w:rPr>
                <w:color w:val="000000"/>
                <w:sz w:val="16"/>
                <w:szCs w:val="16"/>
                <w:lang w:eastAsia="et-EE"/>
              </w:rPr>
              <w:t xml:space="preserve"> </w:t>
            </w:r>
            <w:r w:rsidRPr="00C50854">
              <w:rPr>
                <w:color w:val="000000"/>
                <w:sz w:val="16"/>
                <w:szCs w:val="16"/>
                <w:lang w:eastAsia="et-EE"/>
              </w:rPr>
              <w:t>Mbit/s</w:t>
            </w:r>
          </w:p>
        </w:tc>
        <w:tc>
          <w:tcPr>
            <w:tcW w:w="2318" w:type="dxa"/>
            <w:tcBorders>
              <w:top w:val="nil"/>
              <w:left w:val="nil"/>
              <w:bottom w:val="single" w:sz="4" w:space="0" w:color="auto"/>
              <w:right w:val="single" w:sz="4" w:space="0" w:color="auto"/>
            </w:tcBorders>
            <w:shd w:val="clear" w:color="auto" w:fill="auto"/>
            <w:noWrap/>
            <w:vAlign w:val="bottom"/>
            <w:hideMark/>
          </w:tcPr>
          <w:p w14:paraId="52E072C4" w14:textId="3D76DE1E" w:rsidR="00D16DB5" w:rsidRPr="00C50854" w:rsidRDefault="00D16DB5" w:rsidP="00D16DB5">
            <w:pPr>
              <w:suppressAutoHyphens w:val="0"/>
              <w:rPr>
                <w:color w:val="000000"/>
                <w:sz w:val="16"/>
                <w:szCs w:val="16"/>
                <w:lang w:eastAsia="et-EE"/>
              </w:rPr>
            </w:pPr>
            <w:r w:rsidRPr="00C50854">
              <w:rPr>
                <w:color w:val="000000"/>
                <w:sz w:val="16"/>
                <w:szCs w:val="16"/>
                <w:lang w:eastAsia="et-EE"/>
              </w:rPr>
              <w:t>100</w:t>
            </w:r>
            <w:r w:rsidR="002D283E" w:rsidRPr="00C50854">
              <w:rPr>
                <w:color w:val="000000"/>
                <w:sz w:val="16"/>
                <w:szCs w:val="16"/>
                <w:lang w:eastAsia="et-EE"/>
              </w:rPr>
              <w:t xml:space="preserve"> </w:t>
            </w:r>
            <w:r w:rsidRPr="00C50854">
              <w:rPr>
                <w:color w:val="000000"/>
                <w:sz w:val="16"/>
                <w:szCs w:val="16"/>
                <w:lang w:eastAsia="et-EE"/>
              </w:rPr>
              <w:t>Mbit/s 100 Mbit/s</w:t>
            </w:r>
          </w:p>
        </w:tc>
        <w:tc>
          <w:tcPr>
            <w:tcW w:w="1138" w:type="dxa"/>
            <w:tcBorders>
              <w:top w:val="nil"/>
              <w:left w:val="nil"/>
              <w:bottom w:val="single" w:sz="4" w:space="0" w:color="auto"/>
              <w:right w:val="single" w:sz="4" w:space="0" w:color="auto"/>
            </w:tcBorders>
            <w:shd w:val="clear" w:color="auto" w:fill="auto"/>
            <w:noWrap/>
            <w:vAlign w:val="bottom"/>
            <w:hideMark/>
          </w:tcPr>
          <w:p w14:paraId="079FAAD7" w14:textId="6708DF97"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23</w:t>
            </w:r>
          </w:p>
        </w:tc>
        <w:tc>
          <w:tcPr>
            <w:tcW w:w="1139" w:type="dxa"/>
            <w:tcBorders>
              <w:top w:val="nil"/>
              <w:left w:val="nil"/>
              <w:bottom w:val="single" w:sz="4" w:space="0" w:color="auto"/>
              <w:right w:val="single" w:sz="8" w:space="0" w:color="auto"/>
            </w:tcBorders>
            <w:shd w:val="clear" w:color="auto" w:fill="auto"/>
            <w:noWrap/>
            <w:vAlign w:val="bottom"/>
            <w:hideMark/>
          </w:tcPr>
          <w:p w14:paraId="1369A139" w14:textId="11A3A61A"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9%</w:t>
            </w:r>
          </w:p>
        </w:tc>
      </w:tr>
      <w:tr w:rsidR="00D16DB5" w:rsidRPr="00C50854" w14:paraId="57DE4185" w14:textId="77777777" w:rsidTr="005451C5">
        <w:trPr>
          <w:trHeight w:val="258"/>
          <w:tblHeader/>
        </w:trPr>
        <w:tc>
          <w:tcPr>
            <w:tcW w:w="1913" w:type="dxa"/>
            <w:vMerge/>
            <w:tcBorders>
              <w:top w:val="nil"/>
              <w:left w:val="single" w:sz="8" w:space="0" w:color="auto"/>
              <w:bottom w:val="nil"/>
              <w:right w:val="single" w:sz="4" w:space="0" w:color="auto"/>
            </w:tcBorders>
            <w:vAlign w:val="center"/>
            <w:hideMark/>
          </w:tcPr>
          <w:p w14:paraId="70BD97E6" w14:textId="77777777" w:rsidR="00D16DB5" w:rsidRPr="00C50854" w:rsidRDefault="00D16DB5" w:rsidP="00D16DB5">
            <w:pPr>
              <w:suppressAutoHyphens w:val="0"/>
              <w:rPr>
                <w:color w:val="000000"/>
                <w:sz w:val="16"/>
                <w:szCs w:val="16"/>
                <w:lang w:eastAsia="et-EE"/>
              </w:rPr>
            </w:pPr>
          </w:p>
        </w:tc>
        <w:tc>
          <w:tcPr>
            <w:tcW w:w="2629" w:type="dxa"/>
            <w:tcBorders>
              <w:top w:val="nil"/>
              <w:left w:val="nil"/>
              <w:bottom w:val="single" w:sz="4" w:space="0" w:color="auto"/>
              <w:right w:val="single" w:sz="4" w:space="0" w:color="auto"/>
            </w:tcBorders>
            <w:shd w:val="clear" w:color="auto" w:fill="auto"/>
            <w:noWrap/>
            <w:vAlign w:val="bottom"/>
            <w:hideMark/>
          </w:tcPr>
          <w:p w14:paraId="3479560E" w14:textId="621FA4C3" w:rsidR="00D16DB5" w:rsidRPr="00C50854" w:rsidRDefault="00D16DB5" w:rsidP="00D16DB5">
            <w:pPr>
              <w:suppressAutoHyphens w:val="0"/>
              <w:rPr>
                <w:color w:val="000000"/>
                <w:sz w:val="16"/>
                <w:szCs w:val="16"/>
                <w:lang w:eastAsia="et-EE"/>
              </w:rPr>
            </w:pPr>
            <w:r w:rsidRPr="00C50854">
              <w:rPr>
                <w:color w:val="000000"/>
                <w:sz w:val="16"/>
                <w:szCs w:val="16"/>
                <w:lang w:eastAsia="et-EE"/>
              </w:rPr>
              <w:t>300</w:t>
            </w:r>
            <w:r w:rsidR="00CE2A5A" w:rsidRPr="00C50854">
              <w:rPr>
                <w:color w:val="000000"/>
                <w:sz w:val="16"/>
                <w:szCs w:val="16"/>
                <w:lang w:eastAsia="et-EE"/>
              </w:rPr>
              <w:t xml:space="preserve"> </w:t>
            </w:r>
            <w:r w:rsidRPr="00C50854">
              <w:rPr>
                <w:color w:val="000000"/>
                <w:sz w:val="16"/>
                <w:szCs w:val="16"/>
                <w:lang w:eastAsia="et-EE"/>
              </w:rPr>
              <w:t>Mbit/s</w:t>
            </w:r>
          </w:p>
        </w:tc>
        <w:tc>
          <w:tcPr>
            <w:tcW w:w="2318" w:type="dxa"/>
            <w:tcBorders>
              <w:top w:val="nil"/>
              <w:left w:val="nil"/>
              <w:bottom w:val="nil"/>
              <w:right w:val="single" w:sz="4" w:space="0" w:color="auto"/>
            </w:tcBorders>
            <w:shd w:val="clear" w:color="auto" w:fill="auto"/>
            <w:noWrap/>
            <w:vAlign w:val="bottom"/>
            <w:hideMark/>
          </w:tcPr>
          <w:p w14:paraId="2DE72889" w14:textId="43841718" w:rsidR="00D16DB5" w:rsidRPr="00C50854" w:rsidRDefault="00D16DB5" w:rsidP="00D16DB5">
            <w:pPr>
              <w:suppressAutoHyphens w:val="0"/>
              <w:rPr>
                <w:color w:val="000000"/>
                <w:sz w:val="16"/>
                <w:szCs w:val="16"/>
                <w:lang w:eastAsia="et-EE"/>
              </w:rPr>
            </w:pPr>
            <w:r w:rsidRPr="00C50854">
              <w:rPr>
                <w:color w:val="000000"/>
                <w:sz w:val="16"/>
                <w:szCs w:val="16"/>
                <w:lang w:eastAsia="et-EE"/>
              </w:rPr>
              <w:t>300</w:t>
            </w:r>
            <w:r w:rsidR="002D283E" w:rsidRPr="00C50854">
              <w:rPr>
                <w:color w:val="000000"/>
                <w:sz w:val="16"/>
                <w:szCs w:val="16"/>
                <w:lang w:eastAsia="et-EE"/>
              </w:rPr>
              <w:t xml:space="preserve"> </w:t>
            </w:r>
            <w:r w:rsidRPr="00C50854">
              <w:rPr>
                <w:color w:val="000000"/>
                <w:sz w:val="16"/>
                <w:szCs w:val="16"/>
                <w:lang w:eastAsia="et-EE"/>
              </w:rPr>
              <w:t>Mbit/s 300 Mbit/s</w:t>
            </w:r>
          </w:p>
        </w:tc>
        <w:tc>
          <w:tcPr>
            <w:tcW w:w="1138" w:type="dxa"/>
            <w:tcBorders>
              <w:top w:val="nil"/>
              <w:left w:val="nil"/>
              <w:bottom w:val="nil"/>
              <w:right w:val="single" w:sz="4" w:space="0" w:color="auto"/>
            </w:tcBorders>
            <w:shd w:val="clear" w:color="auto" w:fill="auto"/>
            <w:noWrap/>
            <w:vAlign w:val="bottom"/>
            <w:hideMark/>
          </w:tcPr>
          <w:p w14:paraId="180AD442" w14:textId="0C2F0466"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30</w:t>
            </w:r>
          </w:p>
        </w:tc>
        <w:tc>
          <w:tcPr>
            <w:tcW w:w="1139" w:type="dxa"/>
            <w:tcBorders>
              <w:top w:val="nil"/>
              <w:left w:val="nil"/>
              <w:bottom w:val="nil"/>
              <w:right w:val="single" w:sz="8" w:space="0" w:color="auto"/>
            </w:tcBorders>
            <w:shd w:val="clear" w:color="auto" w:fill="auto"/>
            <w:noWrap/>
            <w:vAlign w:val="bottom"/>
            <w:hideMark/>
          </w:tcPr>
          <w:p w14:paraId="727D9C33" w14:textId="5EF95E6C"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10%</w:t>
            </w:r>
          </w:p>
        </w:tc>
      </w:tr>
      <w:tr w:rsidR="00D16DB5" w:rsidRPr="00C50854" w14:paraId="438CB21E" w14:textId="77777777" w:rsidTr="005451C5">
        <w:trPr>
          <w:trHeight w:val="258"/>
          <w:tblHeader/>
        </w:trPr>
        <w:tc>
          <w:tcPr>
            <w:tcW w:w="1913" w:type="dxa"/>
            <w:tcBorders>
              <w:top w:val="nil"/>
              <w:left w:val="single" w:sz="8" w:space="0" w:color="auto"/>
              <w:bottom w:val="single" w:sz="8" w:space="0" w:color="000000"/>
              <w:right w:val="single" w:sz="4" w:space="0" w:color="auto"/>
            </w:tcBorders>
            <w:vAlign w:val="center"/>
          </w:tcPr>
          <w:p w14:paraId="1E16D9CB" w14:textId="77777777" w:rsidR="00D16DB5" w:rsidRPr="00C50854" w:rsidRDefault="00D16DB5" w:rsidP="00D16DB5">
            <w:pPr>
              <w:suppressAutoHyphens w:val="0"/>
              <w:rPr>
                <w:color w:val="000000"/>
                <w:sz w:val="16"/>
                <w:szCs w:val="16"/>
                <w:lang w:eastAsia="et-EE"/>
              </w:rPr>
            </w:pPr>
          </w:p>
        </w:tc>
        <w:tc>
          <w:tcPr>
            <w:tcW w:w="2629" w:type="dxa"/>
            <w:tcBorders>
              <w:top w:val="single" w:sz="4" w:space="0" w:color="auto"/>
              <w:left w:val="nil"/>
              <w:bottom w:val="single" w:sz="4" w:space="0" w:color="auto"/>
              <w:right w:val="single" w:sz="4" w:space="0" w:color="auto"/>
            </w:tcBorders>
            <w:shd w:val="clear" w:color="auto" w:fill="auto"/>
            <w:noWrap/>
            <w:vAlign w:val="bottom"/>
          </w:tcPr>
          <w:p w14:paraId="6DAE0ED2" w14:textId="7300AA7F" w:rsidR="00D16DB5" w:rsidRPr="00C50854" w:rsidRDefault="00D16DB5" w:rsidP="00D16DB5">
            <w:pPr>
              <w:suppressAutoHyphens w:val="0"/>
              <w:rPr>
                <w:color w:val="000000"/>
                <w:sz w:val="16"/>
                <w:szCs w:val="16"/>
                <w:lang w:eastAsia="et-EE"/>
              </w:rPr>
            </w:pPr>
            <w:r w:rsidRPr="00C50854">
              <w:rPr>
                <w:color w:val="000000"/>
                <w:sz w:val="16"/>
                <w:szCs w:val="16"/>
                <w:lang w:eastAsia="et-EE"/>
              </w:rPr>
              <w:t>1</w:t>
            </w:r>
            <w:r w:rsidR="00CE2A5A" w:rsidRPr="00C50854">
              <w:rPr>
                <w:color w:val="000000"/>
                <w:sz w:val="16"/>
                <w:szCs w:val="16"/>
                <w:lang w:eastAsia="et-EE"/>
              </w:rPr>
              <w:t xml:space="preserve"> </w:t>
            </w:r>
            <w:r w:rsidRPr="00C50854">
              <w:rPr>
                <w:color w:val="000000"/>
                <w:sz w:val="16"/>
                <w:szCs w:val="16"/>
                <w:lang w:eastAsia="et-EE"/>
              </w:rPr>
              <w:t>Gbit/s</w:t>
            </w:r>
          </w:p>
        </w:tc>
        <w:tc>
          <w:tcPr>
            <w:tcW w:w="2318" w:type="dxa"/>
            <w:tcBorders>
              <w:top w:val="single" w:sz="4" w:space="0" w:color="auto"/>
              <w:left w:val="nil"/>
              <w:bottom w:val="single" w:sz="4" w:space="0" w:color="auto"/>
              <w:right w:val="single" w:sz="4" w:space="0" w:color="auto"/>
            </w:tcBorders>
            <w:shd w:val="clear" w:color="auto" w:fill="auto"/>
            <w:noWrap/>
            <w:vAlign w:val="bottom"/>
          </w:tcPr>
          <w:p w14:paraId="497B7278" w14:textId="2958EEFD" w:rsidR="00D16DB5" w:rsidRPr="00C50854" w:rsidRDefault="00D16DB5" w:rsidP="00D16DB5">
            <w:pPr>
              <w:suppressAutoHyphens w:val="0"/>
              <w:rPr>
                <w:color w:val="000000"/>
                <w:sz w:val="16"/>
                <w:szCs w:val="16"/>
                <w:lang w:eastAsia="et-EE"/>
              </w:rPr>
            </w:pPr>
            <w:r w:rsidRPr="00C50854">
              <w:rPr>
                <w:color w:val="000000"/>
                <w:sz w:val="16"/>
                <w:szCs w:val="16"/>
                <w:lang w:eastAsia="et-EE"/>
              </w:rPr>
              <w:t>1</w:t>
            </w:r>
            <w:r w:rsidR="002D283E" w:rsidRPr="00C50854">
              <w:rPr>
                <w:color w:val="000000"/>
                <w:sz w:val="16"/>
                <w:szCs w:val="16"/>
                <w:lang w:eastAsia="et-EE"/>
              </w:rPr>
              <w:t xml:space="preserve"> </w:t>
            </w:r>
            <w:r w:rsidRPr="00C50854">
              <w:rPr>
                <w:color w:val="000000"/>
                <w:sz w:val="16"/>
                <w:szCs w:val="16"/>
                <w:lang w:eastAsia="et-EE"/>
              </w:rPr>
              <w:t>Gbit/s 1</w:t>
            </w:r>
            <w:r w:rsidR="002D283E" w:rsidRPr="00C50854">
              <w:rPr>
                <w:color w:val="000000"/>
                <w:sz w:val="16"/>
                <w:szCs w:val="16"/>
                <w:lang w:eastAsia="et-EE"/>
              </w:rPr>
              <w:t xml:space="preserve"> </w:t>
            </w:r>
            <w:r w:rsidRPr="00C50854">
              <w:rPr>
                <w:color w:val="000000"/>
                <w:sz w:val="16"/>
                <w:szCs w:val="16"/>
                <w:lang w:eastAsia="et-EE"/>
              </w:rPr>
              <w:t>Gbit/s</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1FE339E4" w14:textId="124FA750"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99</w:t>
            </w:r>
          </w:p>
        </w:tc>
        <w:tc>
          <w:tcPr>
            <w:tcW w:w="1139" w:type="dxa"/>
            <w:tcBorders>
              <w:top w:val="single" w:sz="4" w:space="0" w:color="auto"/>
              <w:left w:val="nil"/>
              <w:bottom w:val="single" w:sz="4" w:space="0" w:color="auto"/>
              <w:right w:val="single" w:sz="8" w:space="0" w:color="auto"/>
            </w:tcBorders>
            <w:shd w:val="clear" w:color="auto" w:fill="auto"/>
            <w:noWrap/>
            <w:vAlign w:val="bottom"/>
          </w:tcPr>
          <w:p w14:paraId="6B30A090" w14:textId="14D267FB" w:rsidR="00D16DB5" w:rsidRPr="00C50854" w:rsidRDefault="00D16DB5" w:rsidP="00D16DB5">
            <w:pPr>
              <w:suppressAutoHyphens w:val="0"/>
              <w:jc w:val="right"/>
              <w:rPr>
                <w:color w:val="000000"/>
                <w:sz w:val="16"/>
                <w:szCs w:val="16"/>
                <w:lang w:eastAsia="et-EE"/>
              </w:rPr>
            </w:pPr>
            <w:r w:rsidRPr="00C50854">
              <w:rPr>
                <w:color w:val="000000"/>
                <w:sz w:val="16"/>
                <w:szCs w:val="16"/>
                <w:lang w:eastAsia="et-EE"/>
              </w:rPr>
              <w:t>0%</w:t>
            </w:r>
          </w:p>
        </w:tc>
      </w:tr>
    </w:tbl>
    <w:p w14:paraId="32BC8C21" w14:textId="2043882C" w:rsidR="00D82259" w:rsidRPr="00C50854" w:rsidRDefault="00D82259" w:rsidP="00D82259">
      <w:pPr>
        <w:suppressAutoHyphens w:val="0"/>
        <w:spacing w:before="120" w:after="120"/>
        <w:rPr>
          <w:bCs/>
          <w:sz w:val="20"/>
          <w:szCs w:val="20"/>
          <w:lang w:eastAsia="et-EE"/>
        </w:rPr>
      </w:pPr>
      <w:r w:rsidRPr="00C50854">
        <w:rPr>
          <w:b/>
          <w:bCs/>
          <w:sz w:val="20"/>
          <w:szCs w:val="20"/>
          <w:lang w:eastAsia="et-EE"/>
        </w:rPr>
        <w:t xml:space="preserve">Tabel </w:t>
      </w:r>
      <w:r w:rsidR="00341D2F" w:rsidRPr="00C50854">
        <w:rPr>
          <w:b/>
          <w:bCs/>
          <w:sz w:val="20"/>
          <w:szCs w:val="20"/>
          <w:lang w:eastAsia="et-EE"/>
        </w:rPr>
        <w:fldChar w:fldCharType="begin"/>
      </w:r>
      <w:r w:rsidR="00341D2F" w:rsidRPr="00C50854">
        <w:rPr>
          <w:b/>
          <w:bCs/>
          <w:sz w:val="20"/>
          <w:szCs w:val="20"/>
          <w:lang w:eastAsia="et-EE"/>
        </w:rPr>
        <w:instrText xml:space="preserve"> SEQ Tabel \* ARABIC </w:instrText>
      </w:r>
      <w:r w:rsidR="00341D2F" w:rsidRPr="00C50854">
        <w:rPr>
          <w:b/>
          <w:bCs/>
          <w:sz w:val="20"/>
          <w:szCs w:val="20"/>
          <w:lang w:eastAsia="et-EE"/>
        </w:rPr>
        <w:fldChar w:fldCharType="separate"/>
      </w:r>
      <w:r w:rsidR="00D24389" w:rsidRPr="00C50854">
        <w:rPr>
          <w:b/>
          <w:bCs/>
          <w:noProof/>
          <w:sz w:val="20"/>
          <w:szCs w:val="20"/>
          <w:lang w:eastAsia="et-EE"/>
        </w:rPr>
        <w:t>4</w:t>
      </w:r>
      <w:r w:rsidR="00341D2F" w:rsidRPr="00C50854">
        <w:rPr>
          <w:b/>
          <w:bCs/>
          <w:sz w:val="20"/>
          <w:szCs w:val="20"/>
          <w:lang w:eastAsia="et-EE"/>
        </w:rPr>
        <w:fldChar w:fldCharType="end"/>
      </w:r>
      <w:bookmarkEnd w:id="150"/>
      <w:bookmarkEnd w:id="151"/>
      <w:r w:rsidRPr="00C50854">
        <w:rPr>
          <w:b/>
          <w:bCs/>
          <w:sz w:val="20"/>
          <w:szCs w:val="20"/>
          <w:lang w:eastAsia="et-EE"/>
        </w:rPr>
        <w:t>.</w:t>
      </w:r>
      <w:r w:rsidRPr="00C50854">
        <w:rPr>
          <w:bCs/>
          <w:sz w:val="20"/>
          <w:szCs w:val="20"/>
          <w:lang w:eastAsia="et-EE"/>
        </w:rPr>
        <w:t xml:space="preserve"> </w:t>
      </w:r>
      <w:r w:rsidR="00E20599" w:rsidRPr="00C50854">
        <w:rPr>
          <w:bCs/>
          <w:sz w:val="20"/>
          <w:szCs w:val="20"/>
          <w:lang w:eastAsia="et-EE"/>
        </w:rPr>
        <w:t>Telia</w:t>
      </w:r>
      <w:r w:rsidRPr="00C50854">
        <w:rPr>
          <w:bCs/>
          <w:sz w:val="20"/>
          <w:szCs w:val="20"/>
          <w:lang w:eastAsia="et-EE"/>
        </w:rPr>
        <w:t xml:space="preserve"> </w:t>
      </w:r>
      <w:r w:rsidR="002C31F8" w:rsidRPr="00C50854">
        <w:rPr>
          <w:bCs/>
          <w:sz w:val="20"/>
          <w:szCs w:val="20"/>
          <w:lang w:eastAsia="et-EE"/>
        </w:rPr>
        <w:t xml:space="preserve">ja teiste </w:t>
      </w:r>
      <w:r w:rsidR="005F39B8" w:rsidRPr="00C50854">
        <w:rPr>
          <w:bCs/>
          <w:sz w:val="20"/>
          <w:szCs w:val="20"/>
          <w:lang w:eastAsia="et-EE"/>
        </w:rPr>
        <w:t xml:space="preserve">kaabellevivõrgu vahendusel </w:t>
      </w:r>
      <w:r w:rsidR="002C31F8" w:rsidRPr="00C50854">
        <w:rPr>
          <w:bCs/>
          <w:sz w:val="20"/>
          <w:szCs w:val="20"/>
          <w:lang w:eastAsia="et-EE"/>
        </w:rPr>
        <w:t xml:space="preserve">lairibateenuste pakkujate </w:t>
      </w:r>
      <w:r w:rsidRPr="00C50854">
        <w:rPr>
          <w:bCs/>
          <w:sz w:val="20"/>
          <w:szCs w:val="20"/>
          <w:lang w:eastAsia="et-EE"/>
        </w:rPr>
        <w:t>sarnaste lairibateenuste hi</w:t>
      </w:r>
      <w:r w:rsidR="00E20599" w:rsidRPr="00C50854">
        <w:rPr>
          <w:bCs/>
          <w:sz w:val="20"/>
          <w:szCs w:val="20"/>
          <w:lang w:eastAsia="et-EE"/>
        </w:rPr>
        <w:t xml:space="preserve">ndade võrdlus seisuga </w:t>
      </w:r>
      <w:r w:rsidR="00D16DB5" w:rsidRPr="00C50854">
        <w:rPr>
          <w:bCs/>
          <w:sz w:val="20"/>
          <w:szCs w:val="20"/>
          <w:lang w:eastAsia="et-EE"/>
        </w:rPr>
        <w:t>15</w:t>
      </w:r>
      <w:r w:rsidR="00E20599" w:rsidRPr="00C50854">
        <w:rPr>
          <w:bCs/>
          <w:sz w:val="20"/>
          <w:szCs w:val="20"/>
          <w:lang w:eastAsia="et-EE"/>
        </w:rPr>
        <w:t>.</w:t>
      </w:r>
      <w:r w:rsidR="00D16DB5" w:rsidRPr="00C50854">
        <w:rPr>
          <w:bCs/>
          <w:sz w:val="20"/>
          <w:szCs w:val="20"/>
          <w:lang w:eastAsia="et-EE"/>
        </w:rPr>
        <w:t>10</w:t>
      </w:r>
      <w:r w:rsidR="00E20599" w:rsidRPr="00C50854">
        <w:rPr>
          <w:bCs/>
          <w:sz w:val="20"/>
          <w:szCs w:val="20"/>
          <w:lang w:eastAsia="et-EE"/>
        </w:rPr>
        <w:t>.201</w:t>
      </w:r>
      <w:r w:rsidR="00D16DB5" w:rsidRPr="00C50854">
        <w:rPr>
          <w:bCs/>
          <w:sz w:val="20"/>
          <w:szCs w:val="20"/>
          <w:lang w:eastAsia="et-EE"/>
        </w:rPr>
        <w:t>9</w:t>
      </w:r>
      <w:r w:rsidRPr="00C50854">
        <w:rPr>
          <w:bCs/>
          <w:sz w:val="20"/>
          <w:szCs w:val="20"/>
          <w:lang w:eastAsia="et-EE"/>
        </w:rPr>
        <w:t xml:space="preserve"> (hinnad sisaldavad käibemaksu).</w:t>
      </w:r>
    </w:p>
    <w:p w14:paraId="110BCEA0" w14:textId="75ABE925" w:rsidR="00D82259" w:rsidRPr="00C50854" w:rsidRDefault="00D82259"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Eeltoodust tulenevalt on </w:t>
      </w:r>
      <w:r w:rsidR="00B27B51" w:rsidRPr="00C50854">
        <w:rPr>
          <w:lang w:eastAsia="et-EE"/>
        </w:rPr>
        <w:t>T</w:t>
      </w:r>
      <w:r w:rsidR="00D16DB5" w:rsidRPr="00C50854">
        <w:rPr>
          <w:lang w:eastAsia="et-EE"/>
        </w:rPr>
        <w:t>T</w:t>
      </w:r>
      <w:r w:rsidR="00B27B51" w:rsidRPr="00C50854">
        <w:rPr>
          <w:lang w:eastAsia="et-EE"/>
        </w:rPr>
        <w:t>JA</w:t>
      </w:r>
      <w:r w:rsidRPr="00C50854">
        <w:rPr>
          <w:lang w:eastAsia="et-EE"/>
        </w:rPr>
        <w:t xml:space="preserve"> seisukohal, et kaabellevivõrgu ja </w:t>
      </w:r>
      <w:r w:rsidR="00C259C0" w:rsidRPr="00C50854">
        <w:rPr>
          <w:lang w:eastAsia="et-EE"/>
        </w:rPr>
        <w:t xml:space="preserve">vask- ja valguskaablil </w:t>
      </w:r>
      <w:r w:rsidRPr="00C50854">
        <w:rPr>
          <w:lang w:eastAsia="et-EE"/>
        </w:rPr>
        <w:t xml:space="preserve">põhineva juurdepääsuvõrgu baasil osutatavad elektroonilise side </w:t>
      </w:r>
      <w:r w:rsidR="00A640FD" w:rsidRPr="00C50854">
        <w:rPr>
          <w:lang w:eastAsia="et-EE"/>
        </w:rPr>
        <w:t>jae</w:t>
      </w:r>
      <w:r w:rsidRPr="00C50854">
        <w:rPr>
          <w:lang w:eastAsia="et-EE"/>
        </w:rPr>
        <w:t>teenused on oma omaduste</w:t>
      </w:r>
      <w:r w:rsidR="00AB0A0D" w:rsidRPr="00C50854">
        <w:rPr>
          <w:lang w:eastAsia="et-EE"/>
        </w:rPr>
        <w:t>-</w:t>
      </w:r>
      <w:r w:rsidRPr="00C50854">
        <w:rPr>
          <w:lang w:eastAsia="et-EE"/>
        </w:rPr>
        <w:t>, hinna</w:t>
      </w:r>
      <w:r w:rsidR="00AB0A0D" w:rsidRPr="00C50854">
        <w:rPr>
          <w:lang w:eastAsia="et-EE"/>
        </w:rPr>
        <w:t>-</w:t>
      </w:r>
      <w:r w:rsidRPr="00C50854">
        <w:rPr>
          <w:lang w:eastAsia="et-EE"/>
        </w:rPr>
        <w:t xml:space="preserve"> ja kasutamisvõimaluste poolest üksteisega asendatavad piiratud ulatusega piirkondades, kus nimetatud </w:t>
      </w:r>
      <w:r w:rsidR="00D74EB2" w:rsidRPr="00C50854">
        <w:rPr>
          <w:lang w:eastAsia="et-EE"/>
        </w:rPr>
        <w:t>side</w:t>
      </w:r>
      <w:r w:rsidRPr="00C50854">
        <w:rPr>
          <w:lang w:eastAsia="et-EE"/>
        </w:rPr>
        <w:t>võrgud eksisteerivad paralleelselt. Seega on mõnedes piiratud ulatusega piirkondades kaabellevivõrgu baasil osutatavad elektroonilise side jaeteenused</w:t>
      </w:r>
      <w:r w:rsidR="00AB0A0D" w:rsidRPr="00C50854">
        <w:rPr>
          <w:lang w:eastAsia="et-EE"/>
        </w:rPr>
        <w:t xml:space="preserve"> asendusteenusteks</w:t>
      </w:r>
      <w:r w:rsidR="00C259C0" w:rsidRPr="00C50854">
        <w:rPr>
          <w:lang w:eastAsia="et-EE"/>
        </w:rPr>
        <w:t xml:space="preserve"> vask- ja valguskaablil</w:t>
      </w:r>
      <w:r w:rsidRPr="00C50854">
        <w:rPr>
          <w:lang w:eastAsia="et-EE"/>
        </w:rPr>
        <w:t xml:space="preserve"> põhineva juurdepääsuvõrgu baa</w:t>
      </w:r>
      <w:r w:rsidR="00AB0A0D" w:rsidRPr="00C50854">
        <w:rPr>
          <w:lang w:eastAsia="et-EE"/>
        </w:rPr>
        <w:t>sil osutatavatele jaeteenustele.</w:t>
      </w:r>
    </w:p>
    <w:p w14:paraId="32F2CE77" w14:textId="6E1FCE49" w:rsidR="00633386" w:rsidRPr="00C50854" w:rsidRDefault="0025209E" w:rsidP="00311E1F">
      <w:pPr>
        <w:numPr>
          <w:ilvl w:val="0"/>
          <w:numId w:val="13"/>
        </w:numPr>
        <w:suppressAutoHyphens w:val="0"/>
        <w:autoSpaceDE w:val="0"/>
        <w:autoSpaceDN w:val="0"/>
        <w:adjustRightInd w:val="0"/>
        <w:spacing w:before="120" w:after="120"/>
        <w:jc w:val="both"/>
        <w:rPr>
          <w:lang w:eastAsia="et-EE"/>
        </w:rPr>
      </w:pPr>
      <w:r w:rsidRPr="00C50854">
        <w:rPr>
          <w:lang w:eastAsia="et-EE"/>
        </w:rPr>
        <w:t>Vask</w:t>
      </w:r>
      <w:r w:rsidR="00617C95" w:rsidRPr="00C50854">
        <w:rPr>
          <w:lang w:eastAsia="et-EE"/>
        </w:rPr>
        <w:t>- ja valguskaabel</w:t>
      </w:r>
      <w:r w:rsidR="00025E29" w:rsidRPr="00C50854">
        <w:rPr>
          <w:lang w:eastAsia="et-EE"/>
        </w:rPr>
        <w:t xml:space="preserve"> </w:t>
      </w:r>
      <w:r w:rsidR="00D82259" w:rsidRPr="00C50854">
        <w:rPr>
          <w:lang w:eastAsia="et-EE"/>
        </w:rPr>
        <w:t xml:space="preserve">juurdepääsuvõrgu vahendusel osutatavate lairibateenuse lõppkasutajate arvu suhe on </w:t>
      </w:r>
      <w:r w:rsidR="00FC6534" w:rsidRPr="00C50854">
        <w:rPr>
          <w:lang w:eastAsia="et-EE"/>
        </w:rPr>
        <w:t xml:space="preserve">aastatel </w:t>
      </w:r>
      <w:r w:rsidR="000812FF" w:rsidRPr="00C50854">
        <w:rPr>
          <w:lang w:eastAsia="et-EE"/>
        </w:rPr>
        <w:t>201</w:t>
      </w:r>
      <w:r w:rsidRPr="00C50854">
        <w:rPr>
          <w:lang w:eastAsia="et-EE"/>
        </w:rPr>
        <w:t>5</w:t>
      </w:r>
      <w:r w:rsidR="00D82259" w:rsidRPr="00C50854">
        <w:rPr>
          <w:lang w:eastAsia="et-EE"/>
        </w:rPr>
        <w:t>–201</w:t>
      </w:r>
      <w:r w:rsidR="00BE3EA4" w:rsidRPr="00C50854">
        <w:rPr>
          <w:lang w:eastAsia="et-EE"/>
        </w:rPr>
        <w:t>9 I poolaastaks</w:t>
      </w:r>
      <w:r w:rsidR="00D82259" w:rsidRPr="00C50854">
        <w:rPr>
          <w:lang w:eastAsia="et-EE"/>
        </w:rPr>
        <w:t xml:space="preserve"> muutunud, </w:t>
      </w:r>
      <w:r w:rsidRPr="00C50854">
        <w:rPr>
          <w:lang w:eastAsia="et-EE"/>
        </w:rPr>
        <w:t xml:space="preserve">2019 aasta esimeseks poolaastaks on </w:t>
      </w:r>
      <w:r w:rsidR="00617C95" w:rsidRPr="00C50854">
        <w:rPr>
          <w:lang w:eastAsia="et-EE"/>
        </w:rPr>
        <w:t>vaskkaab</w:t>
      </w:r>
      <w:r w:rsidR="00025E29" w:rsidRPr="00C50854">
        <w:rPr>
          <w:lang w:eastAsia="et-EE"/>
        </w:rPr>
        <w:t xml:space="preserve">el </w:t>
      </w:r>
      <w:r w:rsidR="00D82259" w:rsidRPr="00C50854">
        <w:rPr>
          <w:lang w:eastAsia="et-EE"/>
        </w:rPr>
        <w:t>juurdepääsuvõrgu vahendusel osutatavate lairibateenuse lõ</w:t>
      </w:r>
      <w:r w:rsidR="007C1FE2" w:rsidRPr="00C50854">
        <w:rPr>
          <w:lang w:eastAsia="et-EE"/>
        </w:rPr>
        <w:t>ppkasutajate arv</w:t>
      </w:r>
      <w:r w:rsidR="00434B6C" w:rsidRPr="00C50854">
        <w:rPr>
          <w:lang w:eastAsia="et-EE"/>
        </w:rPr>
        <w:t xml:space="preserve"> </w:t>
      </w:r>
      <w:r w:rsidR="005E42FA" w:rsidRPr="00C50854">
        <w:rPr>
          <w:lang w:eastAsia="et-EE"/>
        </w:rPr>
        <w:t>vähenenud</w:t>
      </w:r>
      <w:r w:rsidR="00EA2824" w:rsidRPr="00C50854">
        <w:rPr>
          <w:lang w:eastAsia="et-EE"/>
        </w:rPr>
        <w:t xml:space="preserve"> </w:t>
      </w:r>
      <w:r w:rsidR="005451C5" w:rsidRPr="00C50854">
        <w:rPr>
          <w:lang w:eastAsia="et-EE"/>
        </w:rPr>
        <w:t>14</w:t>
      </w:r>
      <w:r w:rsidR="00EA2824" w:rsidRPr="00C50854">
        <w:rPr>
          <w:lang w:eastAsia="et-EE"/>
        </w:rPr>
        <w:t xml:space="preserve">% võrra </w:t>
      </w:r>
      <w:r w:rsidRPr="00C50854">
        <w:rPr>
          <w:lang w:eastAsia="et-EE"/>
        </w:rPr>
        <w:t>ja v</w:t>
      </w:r>
      <w:r w:rsidR="00EA2824" w:rsidRPr="00C50854">
        <w:rPr>
          <w:lang w:eastAsia="et-EE"/>
        </w:rPr>
        <w:t xml:space="preserve">alguskaabelvõrgu vahendusel lairibateenuseid kasutavate </w:t>
      </w:r>
      <w:r w:rsidR="002A5D20" w:rsidRPr="00C50854">
        <w:rPr>
          <w:lang w:eastAsia="et-EE"/>
        </w:rPr>
        <w:t>lõppkasutaja</w:t>
      </w:r>
      <w:r w:rsidR="00EA2824" w:rsidRPr="00C50854">
        <w:rPr>
          <w:lang w:eastAsia="et-EE"/>
        </w:rPr>
        <w:t xml:space="preserve">te arv on suurenenud </w:t>
      </w:r>
      <w:r w:rsidR="005451C5" w:rsidRPr="00C50854">
        <w:rPr>
          <w:lang w:eastAsia="et-EE"/>
        </w:rPr>
        <w:t>7</w:t>
      </w:r>
      <w:r w:rsidR="00EA2824" w:rsidRPr="00C50854">
        <w:rPr>
          <w:lang w:eastAsia="et-EE"/>
        </w:rPr>
        <w:t>% võrra. 201</w:t>
      </w:r>
      <w:r w:rsidR="00DE5483" w:rsidRPr="00C50854">
        <w:rPr>
          <w:lang w:eastAsia="et-EE"/>
        </w:rPr>
        <w:t>5</w:t>
      </w:r>
      <w:r w:rsidR="00EA2824" w:rsidRPr="00C50854">
        <w:rPr>
          <w:lang w:eastAsia="et-EE"/>
        </w:rPr>
        <w:t xml:space="preserve"> aastal oli valguskaabel</w:t>
      </w:r>
      <w:r w:rsidR="00D5502F" w:rsidRPr="00C50854">
        <w:rPr>
          <w:lang w:eastAsia="et-EE"/>
        </w:rPr>
        <w:t>-</w:t>
      </w:r>
      <w:r w:rsidR="00EA2824" w:rsidRPr="00C50854">
        <w:rPr>
          <w:lang w:eastAsia="et-EE"/>
        </w:rPr>
        <w:t xml:space="preserve">tehnoloogia osakaal </w:t>
      </w:r>
      <w:r w:rsidR="00CF3AEA" w:rsidRPr="00C50854">
        <w:rPr>
          <w:lang w:eastAsia="et-EE"/>
        </w:rPr>
        <w:t>36</w:t>
      </w:r>
      <w:r w:rsidR="00EA2824" w:rsidRPr="00C50854">
        <w:rPr>
          <w:lang w:eastAsia="et-EE"/>
        </w:rPr>
        <w:t>% ning 201</w:t>
      </w:r>
      <w:r w:rsidR="00DE5483" w:rsidRPr="00C50854">
        <w:rPr>
          <w:lang w:eastAsia="et-EE"/>
        </w:rPr>
        <w:t>9</w:t>
      </w:r>
      <w:r w:rsidR="00EA2824" w:rsidRPr="00C50854">
        <w:rPr>
          <w:lang w:eastAsia="et-EE"/>
        </w:rPr>
        <w:t xml:space="preserve">. </w:t>
      </w:r>
      <w:r w:rsidR="00BA2B5D" w:rsidRPr="00C50854">
        <w:rPr>
          <w:lang w:eastAsia="et-EE"/>
        </w:rPr>
        <w:t>esimesel</w:t>
      </w:r>
      <w:r w:rsidR="00EA2824" w:rsidRPr="00C50854">
        <w:rPr>
          <w:lang w:eastAsia="et-EE"/>
        </w:rPr>
        <w:t xml:space="preserve"> </w:t>
      </w:r>
      <w:r w:rsidR="00DE5483" w:rsidRPr="00C50854">
        <w:rPr>
          <w:lang w:eastAsia="et-EE"/>
        </w:rPr>
        <w:t>poolaastal</w:t>
      </w:r>
      <w:r w:rsidR="00EA2824" w:rsidRPr="00C50854">
        <w:rPr>
          <w:lang w:eastAsia="et-EE"/>
        </w:rPr>
        <w:t xml:space="preserve"> </w:t>
      </w:r>
      <w:r w:rsidR="00DE5483" w:rsidRPr="00C50854">
        <w:rPr>
          <w:lang w:eastAsia="et-EE"/>
        </w:rPr>
        <w:t>43</w:t>
      </w:r>
      <w:r w:rsidR="00EA2824" w:rsidRPr="00C50854">
        <w:rPr>
          <w:lang w:eastAsia="et-EE"/>
        </w:rPr>
        <w:t>%.</w:t>
      </w:r>
      <w:r w:rsidR="007C1FE2" w:rsidRPr="00C50854">
        <w:rPr>
          <w:lang w:eastAsia="et-EE"/>
        </w:rPr>
        <w:t xml:space="preserve"> </w:t>
      </w:r>
      <w:r w:rsidR="00D82259" w:rsidRPr="00C50854">
        <w:rPr>
          <w:lang w:eastAsia="et-EE"/>
        </w:rPr>
        <w:t xml:space="preserve">Kaabellevivõrgu vahendusel osutatavate lairibateenuse lõppkasutajate arvu osakaal on ajaperioodil </w:t>
      </w:r>
      <w:r w:rsidR="00025E29" w:rsidRPr="00C50854">
        <w:rPr>
          <w:lang w:eastAsia="et-EE"/>
        </w:rPr>
        <w:t>201</w:t>
      </w:r>
      <w:r w:rsidR="00DE5483" w:rsidRPr="00C50854">
        <w:rPr>
          <w:lang w:eastAsia="et-EE"/>
        </w:rPr>
        <w:t>5</w:t>
      </w:r>
      <w:r w:rsidR="00D82259" w:rsidRPr="00C50854">
        <w:rPr>
          <w:lang w:eastAsia="et-EE"/>
        </w:rPr>
        <w:t>–201</w:t>
      </w:r>
      <w:r w:rsidR="00DE5483" w:rsidRPr="00C50854">
        <w:rPr>
          <w:lang w:eastAsia="et-EE"/>
        </w:rPr>
        <w:t>9 esimene poolaasta</w:t>
      </w:r>
      <w:r w:rsidR="00D82259" w:rsidRPr="00C50854">
        <w:rPr>
          <w:lang w:eastAsia="et-EE"/>
        </w:rPr>
        <w:t xml:space="preserve"> </w:t>
      </w:r>
      <w:r w:rsidR="005E42FA" w:rsidRPr="00C50854">
        <w:rPr>
          <w:lang w:eastAsia="et-EE"/>
        </w:rPr>
        <w:t xml:space="preserve">püsinud </w:t>
      </w:r>
      <w:r w:rsidR="00CF3AEA" w:rsidRPr="00C50854">
        <w:rPr>
          <w:lang w:eastAsia="et-EE"/>
        </w:rPr>
        <w:t xml:space="preserve">23-24% </w:t>
      </w:r>
      <w:r w:rsidR="005E42FA" w:rsidRPr="00C50854">
        <w:rPr>
          <w:lang w:eastAsia="et-EE"/>
        </w:rPr>
        <w:t xml:space="preserve"> juures</w:t>
      </w:r>
      <w:r w:rsidR="007C1FE2" w:rsidRPr="00C50854">
        <w:rPr>
          <w:lang w:eastAsia="et-EE"/>
        </w:rPr>
        <w:t xml:space="preserve"> (vt </w:t>
      </w:r>
      <w:r w:rsidR="00A01994" w:rsidRPr="00C50854">
        <w:rPr>
          <w:lang w:eastAsia="et-EE"/>
        </w:rPr>
        <w:t>T</w:t>
      </w:r>
      <w:r w:rsidR="007C1FE2" w:rsidRPr="00C50854">
        <w:rPr>
          <w:lang w:eastAsia="et-EE"/>
        </w:rPr>
        <w:t>abel 1).</w:t>
      </w:r>
    </w:p>
    <w:p w14:paraId="27E77DE1" w14:textId="55E1161F" w:rsidR="00D82259" w:rsidRPr="00C50854" w:rsidRDefault="007C1FE2"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T</w:t>
      </w:r>
      <w:r w:rsidR="00D82259" w:rsidRPr="00C50854">
        <w:rPr>
          <w:lang w:eastAsia="et-EE"/>
        </w:rPr>
        <w:t>eisalt on aga</w:t>
      </w:r>
      <w:r w:rsidR="00EA2824" w:rsidRPr="00C50854">
        <w:rPr>
          <w:lang w:eastAsia="et-EE"/>
        </w:rPr>
        <w:t xml:space="preserve"> 201</w:t>
      </w:r>
      <w:r w:rsidR="00BA2B5D" w:rsidRPr="00C50854">
        <w:rPr>
          <w:lang w:eastAsia="et-EE"/>
        </w:rPr>
        <w:t>9</w:t>
      </w:r>
      <w:r w:rsidR="00EA2824" w:rsidRPr="00C50854">
        <w:rPr>
          <w:lang w:eastAsia="et-EE"/>
        </w:rPr>
        <w:t xml:space="preserve"> aasta </w:t>
      </w:r>
      <w:r w:rsidR="00BA2B5D" w:rsidRPr="00C50854">
        <w:rPr>
          <w:lang w:eastAsia="et-EE"/>
        </w:rPr>
        <w:t>esimese poolaasta</w:t>
      </w:r>
      <w:r w:rsidR="00EA2824" w:rsidRPr="00C50854">
        <w:rPr>
          <w:lang w:eastAsia="et-EE"/>
        </w:rPr>
        <w:t xml:space="preserve"> andmetel</w:t>
      </w:r>
      <w:r w:rsidR="00D82259" w:rsidRPr="00C50854">
        <w:rPr>
          <w:lang w:eastAsia="et-EE"/>
        </w:rPr>
        <w:t xml:space="preserve"> kaabellevivõrgu vahendusel osutatavate elektroonilise side </w:t>
      </w:r>
      <w:r w:rsidR="00A640FD" w:rsidRPr="00C50854">
        <w:rPr>
          <w:lang w:eastAsia="et-EE"/>
        </w:rPr>
        <w:t>jae</w:t>
      </w:r>
      <w:r w:rsidR="00D82259" w:rsidRPr="00C50854">
        <w:rPr>
          <w:lang w:eastAsia="et-EE"/>
        </w:rPr>
        <w:t>teenuste turuosa</w:t>
      </w:r>
      <w:r w:rsidR="00EA2824" w:rsidRPr="00C50854">
        <w:rPr>
          <w:lang w:eastAsia="et-EE"/>
        </w:rPr>
        <w:t xml:space="preserve"> 2</w:t>
      </w:r>
      <w:r w:rsidR="00BA2B5D" w:rsidRPr="00C50854">
        <w:rPr>
          <w:lang w:eastAsia="et-EE"/>
        </w:rPr>
        <w:t>4</w:t>
      </w:r>
      <w:r w:rsidR="00EA2824" w:rsidRPr="00C50854">
        <w:rPr>
          <w:lang w:eastAsia="et-EE"/>
        </w:rPr>
        <w:t>%</w:t>
      </w:r>
      <w:r w:rsidR="00D82259" w:rsidRPr="00C50854">
        <w:rPr>
          <w:lang w:eastAsia="et-EE"/>
        </w:rPr>
        <w:t>, võrreldes xDSL</w:t>
      </w:r>
      <w:r w:rsidR="00EA2824" w:rsidRPr="00C50854">
        <w:rPr>
          <w:lang w:eastAsia="et-EE"/>
        </w:rPr>
        <w:t xml:space="preserve"> </w:t>
      </w:r>
      <w:r w:rsidR="005451C5" w:rsidRPr="00C50854">
        <w:rPr>
          <w:lang w:eastAsia="et-EE"/>
        </w:rPr>
        <w:t>23</w:t>
      </w:r>
      <w:r w:rsidR="00EA2824" w:rsidRPr="00C50854">
        <w:rPr>
          <w:lang w:eastAsia="et-EE"/>
        </w:rPr>
        <w:t>%</w:t>
      </w:r>
      <w:r w:rsidR="009C0AC9" w:rsidRPr="00C50854">
        <w:rPr>
          <w:lang w:eastAsia="et-EE"/>
        </w:rPr>
        <w:t>-i</w:t>
      </w:r>
      <w:r w:rsidR="00D82259" w:rsidRPr="00C50854">
        <w:rPr>
          <w:lang w:eastAsia="et-EE"/>
        </w:rPr>
        <w:t xml:space="preserve"> </w:t>
      </w:r>
      <w:r w:rsidR="00617C95" w:rsidRPr="00C50854">
        <w:rPr>
          <w:lang w:eastAsia="et-EE"/>
        </w:rPr>
        <w:t>ja valguskaabel lairiba</w:t>
      </w:r>
      <w:r w:rsidR="00D82259" w:rsidRPr="00C50854">
        <w:rPr>
          <w:lang w:eastAsia="et-EE"/>
        </w:rPr>
        <w:t>teenuste turuosaga</w:t>
      </w:r>
      <w:r w:rsidR="00EA2824" w:rsidRPr="00C50854">
        <w:rPr>
          <w:lang w:eastAsia="et-EE"/>
        </w:rPr>
        <w:t xml:space="preserve"> </w:t>
      </w:r>
      <w:r w:rsidR="00BA2B5D" w:rsidRPr="00C50854">
        <w:rPr>
          <w:lang w:eastAsia="et-EE"/>
        </w:rPr>
        <w:t>43</w:t>
      </w:r>
      <w:r w:rsidR="00EA2824" w:rsidRPr="00C50854">
        <w:rPr>
          <w:lang w:eastAsia="et-EE"/>
        </w:rPr>
        <w:t>%</w:t>
      </w:r>
      <w:r w:rsidR="009C0AC9" w:rsidRPr="00C50854">
        <w:rPr>
          <w:lang w:eastAsia="et-EE"/>
        </w:rPr>
        <w:t>-</w:t>
      </w:r>
      <w:proofErr w:type="spellStart"/>
      <w:r w:rsidR="009C0AC9" w:rsidRPr="00C50854">
        <w:rPr>
          <w:lang w:eastAsia="et-EE"/>
        </w:rPr>
        <w:t>ga</w:t>
      </w:r>
      <w:proofErr w:type="spellEnd"/>
      <w:r w:rsidR="00D82259" w:rsidRPr="00C50854">
        <w:rPr>
          <w:lang w:eastAsia="et-EE"/>
        </w:rPr>
        <w:t xml:space="preserve">, piisavalt suur. Sellest võib järeldada, et kaabellevivõrgu vahendusel osutatavad elektroonilise side teenused on </w:t>
      </w:r>
      <w:r w:rsidR="00617C95" w:rsidRPr="00C50854">
        <w:rPr>
          <w:lang w:eastAsia="et-EE"/>
        </w:rPr>
        <w:t xml:space="preserve">oma paiknemise </w:t>
      </w:r>
      <w:r w:rsidR="00D82259" w:rsidRPr="00C50854">
        <w:rPr>
          <w:lang w:eastAsia="et-EE"/>
        </w:rPr>
        <w:t xml:space="preserve">piirkondades jaetasemel asendusteenusteks </w:t>
      </w:r>
      <w:r w:rsidR="00617C95" w:rsidRPr="00C50854">
        <w:rPr>
          <w:lang w:eastAsia="et-EE"/>
        </w:rPr>
        <w:t>vask- ja valguskaablil</w:t>
      </w:r>
      <w:r w:rsidR="00D82259" w:rsidRPr="00C50854">
        <w:rPr>
          <w:lang w:eastAsia="et-EE"/>
        </w:rPr>
        <w:t xml:space="preserve"> põhineva tehnoloogia vahendusel osutatavatele analoogsetele </w:t>
      </w:r>
      <w:r w:rsidR="00617C95" w:rsidRPr="00C50854">
        <w:rPr>
          <w:lang w:eastAsia="et-EE"/>
        </w:rPr>
        <w:t>jae</w:t>
      </w:r>
      <w:r w:rsidR="00D82259" w:rsidRPr="00C50854">
        <w:rPr>
          <w:lang w:eastAsia="et-EE"/>
        </w:rPr>
        <w:t>teenustele.</w:t>
      </w:r>
    </w:p>
    <w:p w14:paraId="76D4E1A0" w14:textId="77777777" w:rsidR="00D82259" w:rsidRPr="00C50854" w:rsidRDefault="00D82259" w:rsidP="00D82259">
      <w:pPr>
        <w:suppressAutoHyphens w:val="0"/>
        <w:spacing w:before="240" w:after="120"/>
        <w:rPr>
          <w:b/>
          <w:lang w:eastAsia="et-EE"/>
        </w:rPr>
      </w:pPr>
      <w:r w:rsidRPr="00C50854">
        <w:rPr>
          <w:b/>
          <w:lang w:eastAsia="et-EE"/>
        </w:rPr>
        <w:t>Pakkumisepoolne asendatavus</w:t>
      </w:r>
    </w:p>
    <w:p w14:paraId="5FE09C80" w14:textId="627CEC0F" w:rsidR="00D82259" w:rsidRPr="00C50854" w:rsidRDefault="00D82259"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Võrreldes juurdepääsuteenuste osutamise võimalusi </w:t>
      </w:r>
      <w:r w:rsidR="00617C95" w:rsidRPr="00C50854">
        <w:rPr>
          <w:lang w:eastAsia="et-EE"/>
        </w:rPr>
        <w:t xml:space="preserve">vask- ja valguskaablil </w:t>
      </w:r>
      <w:r w:rsidRPr="00C50854">
        <w:rPr>
          <w:lang w:eastAsia="et-EE"/>
        </w:rPr>
        <w:t xml:space="preserve">põhinevas juurdepääsuvõrgus ja kaabellevivõrgus, võib öelda, et kui </w:t>
      </w:r>
      <w:r w:rsidR="00617C95" w:rsidRPr="00C50854">
        <w:rPr>
          <w:lang w:eastAsia="et-EE"/>
        </w:rPr>
        <w:t xml:space="preserve">vask- ja valguskaablil </w:t>
      </w:r>
      <w:r w:rsidRPr="00C50854">
        <w:rPr>
          <w:lang w:eastAsia="et-EE"/>
        </w:rPr>
        <w:t>põhineva juurdepääsuvõrgu vahendusel on tehnoloogiline valmisolek kliendiliinile juurdepääsu teenuste osutamiseks olemas, siis kaabellevivõrkude puhul see puudub.</w:t>
      </w:r>
    </w:p>
    <w:p w14:paraId="46E0D190" w14:textId="4C6B2A79" w:rsidR="00D82259" w:rsidRPr="00C50854" w:rsidRDefault="00D82259"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Kaabellevivõrgu juurdepääsuvõrk erineb </w:t>
      </w:r>
      <w:r w:rsidR="00617C95" w:rsidRPr="00C50854">
        <w:rPr>
          <w:lang w:eastAsia="et-EE"/>
        </w:rPr>
        <w:t xml:space="preserve">vask- ja valguskaablil </w:t>
      </w:r>
      <w:r w:rsidRPr="00C50854">
        <w:rPr>
          <w:lang w:eastAsia="et-EE"/>
        </w:rPr>
        <w:t xml:space="preserve">põhisest juurdepääsuvõrgust oluliselt sellepoolest, et kaabellevivõrgu juurdepääsuvõrgus puudub igal lõppkasutajal oma individuaalne kliendiliin. Kliendiliini, mis võimaldab andmeedastuskiirust 40–80 Mbit/s, jagavad ühiselt mitmed lõppkasutajad, kelle arv võib olla sadades. Samas toimub vaskpaaripõhises juurdepääsuvõrgus lõppkasutajatele individuaalse kliendiliini ja/või kanalite eraldamine juba peajaotajas </w:t>
      </w:r>
      <w:r w:rsidR="00D87D1C" w:rsidRPr="00C50854">
        <w:rPr>
          <w:lang w:eastAsia="et-EE"/>
        </w:rPr>
        <w:t>ja</w:t>
      </w:r>
      <w:r w:rsidR="00617C95" w:rsidRPr="00C50854">
        <w:rPr>
          <w:lang w:eastAsia="et-EE"/>
        </w:rPr>
        <w:t xml:space="preserve"> valguskaabli põhistes juurdepääsu võrkudes toimub </w:t>
      </w:r>
      <w:r w:rsidR="00D87D1C" w:rsidRPr="00C50854">
        <w:rPr>
          <w:lang w:eastAsia="et-EE"/>
        </w:rPr>
        <w:t>kliendi teenuse põhine jagamine jaotuspunktis</w:t>
      </w:r>
      <w:r w:rsidRPr="00C50854">
        <w:rPr>
          <w:lang w:eastAsia="et-EE"/>
        </w:rPr>
        <w:t xml:space="preserve">, kaabellevivõrkudes luuakse </w:t>
      </w:r>
      <w:r w:rsidR="00DE4A14" w:rsidRPr="00C50854">
        <w:rPr>
          <w:lang w:eastAsia="et-EE"/>
        </w:rPr>
        <w:t xml:space="preserve">aga </w:t>
      </w:r>
      <w:r w:rsidRPr="00C50854">
        <w:rPr>
          <w:lang w:eastAsia="et-EE"/>
        </w:rPr>
        <w:t xml:space="preserve">lõppkasutajale individuaalne ühendus alles lõpp-punktist liini vahendusel. Samuti puuduvad kaabellevivõrkude juurdepääsuvõrkudes </w:t>
      </w:r>
      <w:r w:rsidR="00D87D1C" w:rsidRPr="00C50854">
        <w:rPr>
          <w:lang w:eastAsia="et-EE"/>
        </w:rPr>
        <w:t xml:space="preserve">vask- ja valguskaabel </w:t>
      </w:r>
      <w:r w:rsidRPr="00C50854">
        <w:rPr>
          <w:lang w:eastAsia="et-EE"/>
        </w:rPr>
        <w:t>juurdepääsuvõrkudele iseloomulikud peajaotajad</w:t>
      </w:r>
      <w:r w:rsidR="00D87D1C" w:rsidRPr="00C50854">
        <w:rPr>
          <w:lang w:eastAsia="et-EE"/>
        </w:rPr>
        <w:t xml:space="preserve"> või jaotuspunkt</w:t>
      </w:r>
      <w:r w:rsidRPr="00C50854">
        <w:rPr>
          <w:lang w:eastAsia="et-EE"/>
        </w:rPr>
        <w:t xml:space="preserve">, mille kaudu teistel </w:t>
      </w:r>
      <w:r w:rsidR="00D87D1C" w:rsidRPr="00C50854">
        <w:rPr>
          <w:lang w:eastAsia="et-EE"/>
        </w:rPr>
        <w:t>teenuseosutajate</w:t>
      </w:r>
      <w:r w:rsidRPr="00C50854">
        <w:rPr>
          <w:lang w:eastAsia="et-EE"/>
        </w:rPr>
        <w:t xml:space="preserve"> oleks võimalik saada juurdepääs kliendiliinile.</w:t>
      </w:r>
    </w:p>
    <w:p w14:paraId="39D44CD7" w14:textId="54FA5AF0" w:rsidR="006657D9" w:rsidRPr="00C50854" w:rsidRDefault="00D82259" w:rsidP="00311E1F">
      <w:pPr>
        <w:numPr>
          <w:ilvl w:val="0"/>
          <w:numId w:val="13"/>
        </w:numPr>
        <w:suppressAutoHyphens w:val="0"/>
        <w:autoSpaceDE w:val="0"/>
        <w:autoSpaceDN w:val="0"/>
        <w:adjustRightInd w:val="0"/>
        <w:spacing w:before="120" w:after="120"/>
        <w:jc w:val="both"/>
        <w:rPr>
          <w:lang w:eastAsia="et-EE"/>
        </w:rPr>
      </w:pPr>
      <w:r w:rsidRPr="00C50854">
        <w:rPr>
          <w:lang w:eastAsia="et-EE"/>
        </w:rPr>
        <w:t>Kaabellevivõrgus on tunneldamist</w:t>
      </w:r>
      <w:r w:rsidRPr="00C50854">
        <w:rPr>
          <w:vertAlign w:val="superscript"/>
          <w:lang w:eastAsia="et-EE"/>
        </w:rPr>
        <w:footnoteReference w:id="29"/>
      </w:r>
      <w:r w:rsidRPr="00C50854">
        <w:rPr>
          <w:lang w:eastAsia="et-EE"/>
        </w:rPr>
        <w:t xml:space="preserve"> võimalik teha</w:t>
      </w:r>
      <w:r w:rsidR="00CB6465" w:rsidRPr="00C50854">
        <w:rPr>
          <w:lang w:eastAsia="et-EE"/>
        </w:rPr>
        <w:t xml:space="preserve"> üldjuhul</w:t>
      </w:r>
      <w:r w:rsidRPr="00C50854">
        <w:rPr>
          <w:lang w:eastAsia="et-EE"/>
        </w:rPr>
        <w:t xml:space="preserve"> </w:t>
      </w:r>
      <w:r w:rsidR="00CB6465" w:rsidRPr="00C50854">
        <w:rPr>
          <w:lang w:eastAsia="et-EE"/>
        </w:rPr>
        <w:t xml:space="preserve">ainult </w:t>
      </w:r>
      <w:r w:rsidRPr="00C50854">
        <w:rPr>
          <w:lang w:eastAsia="et-EE"/>
        </w:rPr>
        <w:t xml:space="preserve">kaabellevivõrgu peajaamas, kuid ei ole võimalik teha madalamatel tasemetel, seega puudub kaabellevivõrkudel </w:t>
      </w:r>
      <w:r w:rsidR="00B2377D" w:rsidRPr="00C50854">
        <w:rPr>
          <w:lang w:eastAsia="et-EE"/>
        </w:rPr>
        <w:t>vaskkaabel</w:t>
      </w:r>
      <w:r w:rsidRPr="00C50854">
        <w:rPr>
          <w:lang w:eastAsia="et-EE"/>
        </w:rPr>
        <w:t>võrkudele iseloomulik juurdepääsuvõrgu osa ja individuaalne juurdepääs kliendile luuakse liini vahendusel</w:t>
      </w:r>
      <w:r w:rsidR="001003BB" w:rsidRPr="00C50854">
        <w:rPr>
          <w:lang w:eastAsia="et-EE"/>
        </w:rPr>
        <w:t xml:space="preserve"> (</w:t>
      </w:r>
      <w:r w:rsidRPr="00C50854">
        <w:rPr>
          <w:lang w:eastAsia="et-EE"/>
        </w:rPr>
        <w:t>mis üldjuhul kuulub kliendile</w:t>
      </w:r>
      <w:r w:rsidR="001003BB" w:rsidRPr="00C50854">
        <w:rPr>
          <w:lang w:eastAsia="et-EE"/>
        </w:rPr>
        <w:t>)</w:t>
      </w:r>
      <w:r w:rsidRPr="00C50854">
        <w:rPr>
          <w:lang w:eastAsia="et-EE"/>
        </w:rPr>
        <w:t xml:space="preserve">. </w:t>
      </w:r>
      <w:r w:rsidR="00D01EC9" w:rsidRPr="00C50854">
        <w:rPr>
          <w:lang w:eastAsia="et-EE"/>
        </w:rPr>
        <w:t xml:space="preserve">Vask- ja valguskaabli </w:t>
      </w:r>
      <w:r w:rsidRPr="00C50854">
        <w:rPr>
          <w:lang w:eastAsia="et-EE"/>
        </w:rPr>
        <w:t xml:space="preserve">põhist juurdepääsuvõrku kasutavas sidevõrgus on võimalik </w:t>
      </w:r>
      <w:r w:rsidR="00B6044B" w:rsidRPr="00C50854">
        <w:rPr>
          <w:lang w:eastAsia="et-EE"/>
        </w:rPr>
        <w:t xml:space="preserve">tagada </w:t>
      </w:r>
      <w:r w:rsidRPr="00C50854">
        <w:rPr>
          <w:lang w:eastAsia="et-EE"/>
        </w:rPr>
        <w:t>juurdepääs</w:t>
      </w:r>
      <w:r w:rsidR="00B6044B" w:rsidRPr="00C50854">
        <w:rPr>
          <w:lang w:eastAsia="et-EE"/>
        </w:rPr>
        <w:t>u</w:t>
      </w:r>
      <w:r w:rsidRPr="00C50854">
        <w:rPr>
          <w:lang w:eastAsia="et-EE"/>
        </w:rPr>
        <w:t xml:space="preserve"> ka ülekandevõrgu pe</w:t>
      </w:r>
      <w:r w:rsidR="00B6044B" w:rsidRPr="00C50854">
        <w:rPr>
          <w:lang w:eastAsia="et-EE"/>
        </w:rPr>
        <w:t xml:space="preserve">ajaamast madalamatel tasemetel - </w:t>
      </w:r>
      <w:r w:rsidRPr="00C50854">
        <w:rPr>
          <w:lang w:eastAsia="et-EE"/>
        </w:rPr>
        <w:t>näiteks juurdepääsuvõrgu peajaotajas</w:t>
      </w:r>
      <w:r w:rsidR="00D01EC9" w:rsidRPr="00C50854">
        <w:rPr>
          <w:lang w:eastAsia="et-EE"/>
        </w:rPr>
        <w:t xml:space="preserve"> või MSAN vahendusel</w:t>
      </w:r>
      <w:r w:rsidRPr="00C50854">
        <w:rPr>
          <w:lang w:eastAsia="et-EE"/>
        </w:rPr>
        <w:t>.</w:t>
      </w:r>
      <w:r w:rsidR="006657D9" w:rsidRPr="00C50854">
        <w:rPr>
          <w:lang w:eastAsia="et-EE"/>
        </w:rPr>
        <w:t xml:space="preserve"> Samas on teoreetiliselt siiski võimalik pakkuda </w:t>
      </w:r>
      <w:r w:rsidR="006657D9" w:rsidRPr="00C50854">
        <w:t>koaksiaalkaablil põhineva kaabellevivõrgu kaudu jagatud juurdepääs</w:t>
      </w:r>
      <w:r w:rsidR="00110959" w:rsidRPr="00C50854">
        <w:t>u</w:t>
      </w:r>
      <w:r w:rsidR="006657D9" w:rsidRPr="00C50854">
        <w:t xml:space="preserve"> lairibateenuse pakkumiseks - selle võrgusegmendi tasemel, kus võrguomanik ise sisestab koaksiaalkaablivõrku sageduskanalid, mis kannavad internetiühendust </w:t>
      </w:r>
      <w:r w:rsidR="006657D9" w:rsidRPr="00C50854">
        <w:rPr>
          <w:i/>
        </w:rPr>
        <w:t>(DOCSIS).</w:t>
      </w:r>
      <w:r w:rsidR="006657D9" w:rsidRPr="00C50854">
        <w:t xml:space="preserve"> Samas ei ole see hetkel hulgitasandil konkureerivaks asendusteenuseks üleriigiliselt </w:t>
      </w:r>
      <w:r w:rsidR="0034217F" w:rsidRPr="00C50854">
        <w:t>Telia</w:t>
      </w:r>
      <w:r w:rsidR="006657D9" w:rsidRPr="00C50854">
        <w:t xml:space="preserve"> poolt pakutavatele </w:t>
      </w:r>
      <w:r w:rsidR="00D01EC9" w:rsidRPr="00C50854">
        <w:rPr>
          <w:lang w:eastAsia="et-EE"/>
        </w:rPr>
        <w:t xml:space="preserve">vask- ja valguskaablil </w:t>
      </w:r>
      <w:r w:rsidR="006657D9" w:rsidRPr="00C50854">
        <w:t xml:space="preserve">baseeruvatele juurdepääsuteenustele. Ning seda mitte ainult piiratud sagedusressursi tõttu vaid ka seetõttu, et kui nimetatud tehnoloogiat kasutades hakata DOCSIS peajaamu nii-öelda eri segmentidesse paigutama, siis </w:t>
      </w:r>
      <w:r w:rsidR="00323A84" w:rsidRPr="00C50854">
        <w:t>side</w:t>
      </w:r>
      <w:r w:rsidR="006657D9" w:rsidRPr="00C50854">
        <w:t xml:space="preserve">võrgu terviklikkuse seisukohast ei ole mitme DOCSIS jaama paigaldamine </w:t>
      </w:r>
      <w:r w:rsidR="00323A84" w:rsidRPr="00C50854">
        <w:t>side</w:t>
      </w:r>
      <w:r w:rsidR="006657D9" w:rsidRPr="00C50854">
        <w:t xml:space="preserve">võrku tehniliselt soovitatav. </w:t>
      </w:r>
    </w:p>
    <w:p w14:paraId="2094B18B" w14:textId="487CEC74" w:rsidR="00D82259" w:rsidRPr="00C50854" w:rsidRDefault="00D82259"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Seega ei ole sideettevõtjad kaabellevivõrgu juurdepääsuvõrgu baasil </w:t>
      </w:r>
      <w:r w:rsidR="007235C1" w:rsidRPr="00C50854">
        <w:rPr>
          <w:lang w:eastAsia="et-EE"/>
        </w:rPr>
        <w:t xml:space="preserve">tehniliselt võimelised </w:t>
      </w:r>
      <w:r w:rsidRPr="00C50854">
        <w:rPr>
          <w:lang w:eastAsia="et-EE"/>
        </w:rPr>
        <w:t xml:space="preserve">osutama oma omadustelt ja kasutusvõimalustelt </w:t>
      </w:r>
      <w:r w:rsidR="00D01EC9" w:rsidRPr="00C50854">
        <w:rPr>
          <w:lang w:eastAsia="et-EE"/>
        </w:rPr>
        <w:t xml:space="preserve">vask- ja valguskaabel </w:t>
      </w:r>
      <w:r w:rsidRPr="00C50854">
        <w:rPr>
          <w:lang w:eastAsia="et-EE"/>
        </w:rPr>
        <w:t xml:space="preserve">juurdepääsu teenusega samaväärseid hulgiteenuseid. Juhul, kui sellised juurdepääsuteenuseid lähima kolme aasta jooksul siiski pakkuma hakatakse, ei ole </w:t>
      </w:r>
      <w:r w:rsidR="000E21A6" w:rsidRPr="00C50854">
        <w:rPr>
          <w:lang w:eastAsia="et-EE"/>
        </w:rPr>
        <w:t>T</w:t>
      </w:r>
      <w:r w:rsidR="0034217F" w:rsidRPr="00C50854">
        <w:rPr>
          <w:lang w:eastAsia="et-EE"/>
        </w:rPr>
        <w:t>TJA</w:t>
      </w:r>
      <w:r w:rsidRPr="00C50854">
        <w:rPr>
          <w:lang w:eastAsia="et-EE"/>
        </w:rPr>
        <w:t xml:space="preserve"> hinnangul tõenäoline, et need teenused suudaksid sel ajaperioodil oma uudsusest tingituna mõjutada oluliselt konkurentsiolukorda </w:t>
      </w:r>
      <w:r w:rsidR="00630F0F" w:rsidRPr="00C50854">
        <w:rPr>
          <w:lang w:eastAsia="et-EE"/>
        </w:rPr>
        <w:t xml:space="preserve">kohaliku </w:t>
      </w:r>
      <w:r w:rsidRPr="00C50854">
        <w:rPr>
          <w:lang w:eastAsia="et-EE"/>
        </w:rPr>
        <w:t>juurdepääsu turul.</w:t>
      </w:r>
    </w:p>
    <w:p w14:paraId="036BE862" w14:textId="77777777" w:rsidR="00D82259" w:rsidRPr="00C50854" w:rsidRDefault="00D82259" w:rsidP="00D82259">
      <w:pPr>
        <w:suppressAutoHyphens w:val="0"/>
        <w:spacing w:before="240" w:after="120"/>
        <w:rPr>
          <w:b/>
          <w:lang w:eastAsia="et-EE"/>
        </w:rPr>
      </w:pPr>
      <w:r w:rsidRPr="00C50854">
        <w:rPr>
          <w:b/>
          <w:lang w:eastAsia="et-EE"/>
        </w:rPr>
        <w:t>Järeldus</w:t>
      </w:r>
    </w:p>
    <w:p w14:paraId="5DBEA4A2" w14:textId="4D781575" w:rsidR="00D82259" w:rsidRPr="00C50854" w:rsidRDefault="00D82259"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Eeltoodud nõudlusepoolse asendatavuse hindamisest nähtub, et kaabellevivõrgus osutatav lairibateenus jaetasemel on oma hinnatasemelt ja funktsionaalsuselt </w:t>
      </w:r>
      <w:r w:rsidR="00D01EC9" w:rsidRPr="00C50854">
        <w:rPr>
          <w:lang w:eastAsia="et-EE"/>
        </w:rPr>
        <w:t xml:space="preserve">vask- ja valguskaablil </w:t>
      </w:r>
      <w:r w:rsidRPr="00C50854">
        <w:rPr>
          <w:lang w:eastAsia="et-EE"/>
        </w:rPr>
        <w:lastRenderedPageBreak/>
        <w:t>põhinevas juurdepääsuvõrgu</w:t>
      </w:r>
      <w:r w:rsidR="00D01EC9" w:rsidRPr="00C50854">
        <w:rPr>
          <w:lang w:eastAsia="et-EE"/>
        </w:rPr>
        <w:t xml:space="preserve"> vahendusel</w:t>
      </w:r>
      <w:r w:rsidRPr="00C50854">
        <w:rPr>
          <w:lang w:eastAsia="et-EE"/>
        </w:rPr>
        <w:t xml:space="preserve"> osutatava lairibateenuse asendusteenus. Samas ei ole </w:t>
      </w:r>
      <w:r w:rsidR="004C6DE5" w:rsidRPr="00C50854">
        <w:rPr>
          <w:lang w:eastAsia="et-EE"/>
        </w:rPr>
        <w:t xml:space="preserve">suure tõenäosusega lähima kolme aasta jooksul </w:t>
      </w:r>
      <w:r w:rsidRPr="00C50854">
        <w:rPr>
          <w:lang w:eastAsia="et-EE"/>
        </w:rPr>
        <w:t xml:space="preserve">kaabellevivõrgu juurdepääsuvõrgu baasil võimalik osutada hulgiteenuseid, mis oleksid oma omaduste ja kasutamisvõimaluste poolest </w:t>
      </w:r>
      <w:r w:rsidR="00B2377D" w:rsidRPr="00C50854">
        <w:rPr>
          <w:lang w:eastAsia="et-EE"/>
        </w:rPr>
        <w:t xml:space="preserve">kohaliku </w:t>
      </w:r>
      <w:r w:rsidRPr="00C50854">
        <w:rPr>
          <w:lang w:eastAsia="et-EE"/>
        </w:rPr>
        <w:t xml:space="preserve">juurdepääsu hulgituru koosseisu kuuluvatele juurdepäästeenustele asendusteenusteks ning mõjutaksid oluliselt konkurentsiolukorda </w:t>
      </w:r>
      <w:r w:rsidR="00B2377D" w:rsidRPr="00C50854">
        <w:rPr>
          <w:lang w:eastAsia="et-EE"/>
        </w:rPr>
        <w:t xml:space="preserve">kohaliku </w:t>
      </w:r>
      <w:r w:rsidRPr="00C50854">
        <w:rPr>
          <w:lang w:eastAsia="et-EE"/>
        </w:rPr>
        <w:t>juurdepääsu hulgiturul. Sellest tulenevalt ei ole põhjendatud kaabellevivõrgul põhineva juurdepääsuvõrgu kaasamine asjakohase turu koosseisu.</w:t>
      </w:r>
    </w:p>
    <w:p w14:paraId="75BEBB0E" w14:textId="3A6C2D02" w:rsidR="00D82259" w:rsidRPr="00C50854" w:rsidRDefault="00D82259" w:rsidP="004D4AF8">
      <w:pPr>
        <w:pStyle w:val="Pealkiri4"/>
      </w:pPr>
      <w:bookmarkStart w:id="152" w:name="_Toc464639332"/>
      <w:r w:rsidRPr="00C50854">
        <w:t>3.2.3.</w:t>
      </w:r>
      <w:r w:rsidR="001A4BB9" w:rsidRPr="00C50854">
        <w:t>4</w:t>
      </w:r>
      <w:r w:rsidR="00497BC2" w:rsidRPr="00C50854">
        <w:t xml:space="preserve">. Masstoodete </w:t>
      </w:r>
      <w:r w:rsidR="00CC1C14" w:rsidRPr="00C50854">
        <w:t>keskse</w:t>
      </w:r>
      <w:r w:rsidRPr="00C50854">
        <w:t xml:space="preserve"> juurdepääsu teenus</w:t>
      </w:r>
      <w:bookmarkEnd w:id="152"/>
      <w:r w:rsidR="00AD13BB" w:rsidRPr="00C50854">
        <w:t xml:space="preserve"> (</w:t>
      </w:r>
      <w:proofErr w:type="spellStart"/>
      <w:r w:rsidR="00AD13BB" w:rsidRPr="00C50854">
        <w:t>Wholesale</w:t>
      </w:r>
      <w:proofErr w:type="spellEnd"/>
      <w:r w:rsidR="00AD13BB" w:rsidRPr="00C50854">
        <w:t xml:space="preserve"> </w:t>
      </w:r>
      <w:proofErr w:type="spellStart"/>
      <w:r w:rsidR="00AD13BB" w:rsidRPr="00C50854">
        <w:t>central</w:t>
      </w:r>
      <w:proofErr w:type="spellEnd"/>
      <w:r w:rsidR="00AD13BB" w:rsidRPr="00C50854">
        <w:t xml:space="preserve"> </w:t>
      </w:r>
      <w:proofErr w:type="spellStart"/>
      <w:r w:rsidR="00AD13BB" w:rsidRPr="00C50854">
        <w:t>access</w:t>
      </w:r>
      <w:proofErr w:type="spellEnd"/>
      <w:r w:rsidR="00AD13BB" w:rsidRPr="00C50854">
        <w:t xml:space="preserve"> </w:t>
      </w:r>
      <w:proofErr w:type="spellStart"/>
      <w:r w:rsidR="00AD13BB" w:rsidRPr="00C50854">
        <w:t>provided</w:t>
      </w:r>
      <w:proofErr w:type="spellEnd"/>
      <w:r w:rsidR="00AD13BB" w:rsidRPr="00C50854">
        <w:t xml:space="preserve"> at a </w:t>
      </w:r>
      <w:proofErr w:type="spellStart"/>
      <w:r w:rsidR="00AD13BB" w:rsidRPr="00C50854">
        <w:t>fixed</w:t>
      </w:r>
      <w:proofErr w:type="spellEnd"/>
      <w:r w:rsidR="00AD13BB" w:rsidRPr="00C50854">
        <w:t xml:space="preserve"> </w:t>
      </w:r>
      <w:proofErr w:type="spellStart"/>
      <w:r w:rsidR="00AD13BB" w:rsidRPr="00C50854">
        <w:t>location</w:t>
      </w:r>
      <w:proofErr w:type="spellEnd"/>
      <w:r w:rsidR="00AD13BB" w:rsidRPr="00C50854">
        <w:t xml:space="preserve"> </w:t>
      </w:r>
      <w:proofErr w:type="spellStart"/>
      <w:r w:rsidR="00AD13BB" w:rsidRPr="00C50854">
        <w:t>for</w:t>
      </w:r>
      <w:proofErr w:type="spellEnd"/>
      <w:r w:rsidR="00AD13BB" w:rsidRPr="00C50854">
        <w:t xml:space="preserve"> mass-market </w:t>
      </w:r>
      <w:proofErr w:type="spellStart"/>
      <w:r w:rsidR="00AD13BB" w:rsidRPr="00C50854">
        <w:t>products</w:t>
      </w:r>
      <w:proofErr w:type="spellEnd"/>
      <w:r w:rsidR="00AD13BB" w:rsidRPr="00C50854">
        <w:t>)</w:t>
      </w:r>
    </w:p>
    <w:p w14:paraId="6DAE4153" w14:textId="265697CB" w:rsidR="00CC1C14" w:rsidRPr="00C50854" w:rsidRDefault="00AD13BB" w:rsidP="00311E1F">
      <w:pPr>
        <w:numPr>
          <w:ilvl w:val="0"/>
          <w:numId w:val="13"/>
        </w:numPr>
        <w:suppressAutoHyphens w:val="0"/>
        <w:autoSpaceDE w:val="0"/>
        <w:autoSpaceDN w:val="0"/>
        <w:adjustRightInd w:val="0"/>
        <w:spacing w:before="120" w:after="120"/>
        <w:jc w:val="both"/>
        <w:rPr>
          <w:lang w:eastAsia="et-EE"/>
        </w:rPr>
      </w:pPr>
      <w:r w:rsidRPr="00C50854">
        <w:rPr>
          <w:lang w:eastAsia="et-EE"/>
        </w:rPr>
        <w:t>T</w:t>
      </w:r>
      <w:r w:rsidR="00497BC2" w:rsidRPr="00C50854">
        <w:rPr>
          <w:lang w:eastAsia="et-EE"/>
        </w:rPr>
        <w:t xml:space="preserve">TJA </w:t>
      </w:r>
      <w:r w:rsidR="00D82259" w:rsidRPr="00C50854">
        <w:rPr>
          <w:lang w:eastAsia="et-EE"/>
        </w:rPr>
        <w:t xml:space="preserve">analüüsis, kuivõrd võib </w:t>
      </w:r>
      <w:r w:rsidR="00CC1C14" w:rsidRPr="00C50854">
        <w:rPr>
          <w:lang w:eastAsia="et-EE"/>
        </w:rPr>
        <w:t xml:space="preserve">kohaliku </w:t>
      </w:r>
      <w:r w:rsidR="00D82259" w:rsidRPr="00C50854">
        <w:rPr>
          <w:lang w:eastAsia="et-EE"/>
        </w:rPr>
        <w:t xml:space="preserve">juurdepääsu </w:t>
      </w:r>
      <w:r w:rsidR="009E5DCB" w:rsidRPr="00C50854">
        <w:rPr>
          <w:lang w:eastAsia="et-EE"/>
        </w:rPr>
        <w:t>hulgi</w:t>
      </w:r>
      <w:r w:rsidR="00D82259" w:rsidRPr="00C50854">
        <w:rPr>
          <w:lang w:eastAsia="et-EE"/>
        </w:rPr>
        <w:t xml:space="preserve">teenuse asendusteenuseks olla </w:t>
      </w:r>
      <w:r w:rsidR="00497BC2" w:rsidRPr="00C50854">
        <w:rPr>
          <w:lang w:eastAsia="et-EE"/>
        </w:rPr>
        <w:t xml:space="preserve">masstoodete </w:t>
      </w:r>
      <w:r w:rsidR="00CC1C14" w:rsidRPr="00C50854">
        <w:rPr>
          <w:lang w:eastAsia="et-EE"/>
        </w:rPr>
        <w:t xml:space="preserve">keskse </w:t>
      </w:r>
      <w:r w:rsidR="00D82259" w:rsidRPr="00C50854">
        <w:rPr>
          <w:lang w:eastAsia="et-EE"/>
        </w:rPr>
        <w:t xml:space="preserve">juurdepääsu </w:t>
      </w:r>
      <w:r w:rsidR="009E5DCB" w:rsidRPr="00C50854">
        <w:rPr>
          <w:lang w:eastAsia="et-EE"/>
        </w:rPr>
        <w:t>hulgi</w:t>
      </w:r>
      <w:r w:rsidR="00D82259" w:rsidRPr="00C50854">
        <w:rPr>
          <w:lang w:eastAsia="et-EE"/>
        </w:rPr>
        <w:t xml:space="preserve">teenus. </w:t>
      </w:r>
      <w:r w:rsidR="0034217F" w:rsidRPr="00C50854">
        <w:rPr>
          <w:lang w:eastAsia="et-EE"/>
        </w:rPr>
        <w:t>T</w:t>
      </w:r>
      <w:r w:rsidRPr="00C50854">
        <w:rPr>
          <w:lang w:eastAsia="et-EE"/>
        </w:rPr>
        <w:t>T</w:t>
      </w:r>
      <w:r w:rsidR="0034217F" w:rsidRPr="00C50854">
        <w:rPr>
          <w:lang w:eastAsia="et-EE"/>
        </w:rPr>
        <w:t>JA</w:t>
      </w:r>
      <w:r w:rsidR="00D82259" w:rsidRPr="00C50854">
        <w:rPr>
          <w:lang w:eastAsia="et-EE"/>
        </w:rPr>
        <w:t xml:space="preserve"> leidis, et nimetatud teenused ei ole teineteisele asendusteenusteks, kuna </w:t>
      </w:r>
      <w:r w:rsidR="00497BC2" w:rsidRPr="00C50854">
        <w:rPr>
          <w:lang w:eastAsia="et-EE"/>
        </w:rPr>
        <w:t xml:space="preserve">masstoodete </w:t>
      </w:r>
      <w:r w:rsidR="00CC1C14" w:rsidRPr="00C50854">
        <w:rPr>
          <w:lang w:eastAsia="et-EE"/>
        </w:rPr>
        <w:t xml:space="preserve">keskse </w:t>
      </w:r>
      <w:r w:rsidR="00D82259" w:rsidRPr="00C50854">
        <w:rPr>
          <w:lang w:eastAsia="et-EE"/>
        </w:rPr>
        <w:t>juurdepääsu</w:t>
      </w:r>
      <w:r w:rsidR="009E5DCB" w:rsidRPr="00C50854">
        <w:rPr>
          <w:lang w:eastAsia="et-EE"/>
        </w:rPr>
        <w:t xml:space="preserve"> hulgi</w:t>
      </w:r>
      <w:r w:rsidR="00D82259" w:rsidRPr="00C50854">
        <w:rPr>
          <w:lang w:eastAsia="et-EE"/>
        </w:rPr>
        <w:t xml:space="preserve">teenuse funktsionaalsus võimaldab </w:t>
      </w:r>
      <w:r w:rsidR="009E5DCB" w:rsidRPr="00C50854">
        <w:rPr>
          <w:lang w:eastAsia="et-EE"/>
        </w:rPr>
        <w:t>hulgi</w:t>
      </w:r>
      <w:r w:rsidR="00D82259" w:rsidRPr="00C50854">
        <w:rPr>
          <w:lang w:eastAsia="et-EE"/>
        </w:rPr>
        <w:t>teenuse kasutajal oma jaeteenuseid vähem kontrollida (omaduste ja hinna poolest), kui seda võimalda</w:t>
      </w:r>
      <w:r w:rsidR="001B4750" w:rsidRPr="00C50854">
        <w:rPr>
          <w:lang w:eastAsia="et-EE"/>
        </w:rPr>
        <w:t>vad</w:t>
      </w:r>
      <w:r w:rsidR="00D82259" w:rsidRPr="00C50854">
        <w:rPr>
          <w:lang w:eastAsia="et-EE"/>
        </w:rPr>
        <w:t xml:space="preserve"> </w:t>
      </w:r>
      <w:r w:rsidR="00497BC2" w:rsidRPr="00C50854">
        <w:rPr>
          <w:lang w:eastAsia="et-EE"/>
        </w:rPr>
        <w:t>kohaliku</w:t>
      </w:r>
      <w:r w:rsidR="00D01EC9" w:rsidRPr="00C50854">
        <w:rPr>
          <w:lang w:eastAsia="et-EE"/>
        </w:rPr>
        <w:t xml:space="preserve"> </w:t>
      </w:r>
      <w:r w:rsidR="00D82259" w:rsidRPr="00C50854">
        <w:rPr>
          <w:lang w:eastAsia="et-EE"/>
        </w:rPr>
        <w:t xml:space="preserve">juurdepääsu </w:t>
      </w:r>
      <w:r w:rsidR="009E5DCB" w:rsidRPr="00C50854">
        <w:rPr>
          <w:lang w:eastAsia="et-EE"/>
        </w:rPr>
        <w:t>hulgi</w:t>
      </w:r>
      <w:r w:rsidR="00D82259" w:rsidRPr="00C50854">
        <w:rPr>
          <w:lang w:eastAsia="et-EE"/>
        </w:rPr>
        <w:t xml:space="preserve">teenused. Seetõttu ei ole </w:t>
      </w:r>
      <w:r w:rsidR="00497BC2" w:rsidRPr="00C50854">
        <w:rPr>
          <w:lang w:eastAsia="et-EE"/>
        </w:rPr>
        <w:t>masstoodete keskse juurdepääsu</w:t>
      </w:r>
      <w:r w:rsidR="00D82259" w:rsidRPr="00C50854">
        <w:rPr>
          <w:lang w:eastAsia="et-EE"/>
        </w:rPr>
        <w:t xml:space="preserve"> </w:t>
      </w:r>
      <w:r w:rsidR="009E5DCB" w:rsidRPr="00C50854">
        <w:rPr>
          <w:lang w:eastAsia="et-EE"/>
        </w:rPr>
        <w:t>hulgi</w:t>
      </w:r>
      <w:r w:rsidR="00D82259" w:rsidRPr="00C50854">
        <w:rPr>
          <w:lang w:eastAsia="et-EE"/>
        </w:rPr>
        <w:t>teenus asjakohase turu koosseisu kaasamine põhjendatud.</w:t>
      </w:r>
    </w:p>
    <w:p w14:paraId="766741A0" w14:textId="77777777" w:rsidR="00227E96" w:rsidRPr="00C50854" w:rsidRDefault="00227E96" w:rsidP="006379EC">
      <w:pPr>
        <w:pStyle w:val="Pealkiri2"/>
      </w:pPr>
      <w:bookmarkStart w:id="153" w:name="_Toc464639334"/>
      <w:bookmarkStart w:id="154" w:name="_Toc42072438"/>
      <w:r w:rsidRPr="00C50854">
        <w:t>3.3. Turuosalised</w:t>
      </w:r>
      <w:bookmarkEnd w:id="153"/>
      <w:bookmarkEnd w:id="154"/>
    </w:p>
    <w:p w14:paraId="724D8C29" w14:textId="2F0C4479" w:rsidR="00227E96" w:rsidRPr="00C50854" w:rsidRDefault="008076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201</w:t>
      </w:r>
      <w:r w:rsidR="00950841" w:rsidRPr="00C50854">
        <w:rPr>
          <w:lang w:eastAsia="et-EE"/>
        </w:rPr>
        <w:t>9</w:t>
      </w:r>
      <w:r w:rsidRPr="00C50854">
        <w:rPr>
          <w:lang w:eastAsia="et-EE"/>
        </w:rPr>
        <w:t xml:space="preserve">. aasta </w:t>
      </w:r>
      <w:r w:rsidR="002009B7" w:rsidRPr="00C50854">
        <w:rPr>
          <w:lang w:eastAsia="et-EE"/>
        </w:rPr>
        <w:t>aprillis</w:t>
      </w:r>
      <w:r w:rsidR="00227E96" w:rsidRPr="00C50854">
        <w:rPr>
          <w:lang w:eastAsia="et-EE"/>
        </w:rPr>
        <w:t xml:space="preserve"> saatis </w:t>
      </w:r>
      <w:r w:rsidR="007626DF" w:rsidRPr="00C50854">
        <w:rPr>
          <w:lang w:eastAsia="et-EE"/>
        </w:rPr>
        <w:t>T</w:t>
      </w:r>
      <w:r w:rsidR="00CD203D" w:rsidRPr="00C50854">
        <w:rPr>
          <w:lang w:eastAsia="et-EE"/>
        </w:rPr>
        <w:t>TJA</w:t>
      </w:r>
      <w:r w:rsidR="00227E96" w:rsidRPr="00C50854">
        <w:rPr>
          <w:lang w:eastAsia="et-EE"/>
        </w:rPr>
        <w:t xml:space="preserve"> </w:t>
      </w:r>
      <w:r w:rsidR="007770C8" w:rsidRPr="00C50854">
        <w:rPr>
          <w:lang w:eastAsia="et-EE"/>
        </w:rPr>
        <w:t xml:space="preserve">juhindudes </w:t>
      </w:r>
      <w:r w:rsidR="00227E96" w:rsidRPr="00C50854">
        <w:rPr>
          <w:lang w:eastAsia="et-EE"/>
        </w:rPr>
        <w:t>ESS § 148 l</w:t>
      </w:r>
      <w:r w:rsidR="00A01994" w:rsidRPr="00C50854">
        <w:rPr>
          <w:lang w:eastAsia="et-EE"/>
        </w:rPr>
        <w:t>õike</w:t>
      </w:r>
      <w:r w:rsidR="007770C8" w:rsidRPr="00C50854">
        <w:rPr>
          <w:lang w:eastAsia="et-EE"/>
        </w:rPr>
        <w:t>st</w:t>
      </w:r>
      <w:r w:rsidR="00227E96" w:rsidRPr="00C50854">
        <w:rPr>
          <w:lang w:eastAsia="et-EE"/>
        </w:rPr>
        <w:t xml:space="preserve"> 2 sideettevõtjatele turuanalüüside läbiviimiseks vajalike andmete </w:t>
      </w:r>
      <w:r w:rsidR="007770C8" w:rsidRPr="00C50854">
        <w:rPr>
          <w:lang w:eastAsia="et-EE"/>
        </w:rPr>
        <w:t>küsimustikud, mis</w:t>
      </w:r>
      <w:r w:rsidR="00227E96" w:rsidRPr="00C50854">
        <w:rPr>
          <w:lang w:eastAsia="et-EE"/>
        </w:rPr>
        <w:t xml:space="preserve"> hõlmasid </w:t>
      </w:r>
      <w:r w:rsidR="004726B2" w:rsidRPr="00C50854">
        <w:rPr>
          <w:lang w:eastAsia="et-EE"/>
        </w:rPr>
        <w:t>kindlaksmääratud asukohas juurdepääsu hulgiteenuse turge</w:t>
      </w:r>
      <w:r w:rsidR="00227E96" w:rsidRPr="00C50854">
        <w:rPr>
          <w:lang w:eastAsia="et-EE"/>
        </w:rPr>
        <w:t xml:space="preserve"> (toote- ja teenuseturgude soovituse punktis </w:t>
      </w:r>
      <w:r w:rsidR="004726B2" w:rsidRPr="00C50854">
        <w:rPr>
          <w:lang w:eastAsia="et-EE"/>
        </w:rPr>
        <w:t>3a ja 3b</w:t>
      </w:r>
      <w:r w:rsidR="00227E96" w:rsidRPr="00C50854">
        <w:rPr>
          <w:lang w:eastAsia="et-EE"/>
        </w:rPr>
        <w:t xml:space="preserve"> nimetatud turg</w:t>
      </w:r>
      <w:r w:rsidR="004726B2" w:rsidRPr="00C50854">
        <w:rPr>
          <w:lang w:eastAsia="et-EE"/>
        </w:rPr>
        <w:t>e</w:t>
      </w:r>
      <w:r w:rsidR="00227E96" w:rsidRPr="00C50854">
        <w:rPr>
          <w:lang w:eastAsia="et-EE"/>
        </w:rPr>
        <w:t>).</w:t>
      </w:r>
    </w:p>
    <w:p w14:paraId="2406F69C" w14:textId="77777777" w:rsidR="00227E96" w:rsidRPr="00C50854" w:rsidRDefault="00227E96" w:rsidP="00311E1F">
      <w:pPr>
        <w:numPr>
          <w:ilvl w:val="0"/>
          <w:numId w:val="13"/>
        </w:numPr>
        <w:suppressAutoHyphens w:val="0"/>
        <w:autoSpaceDE w:val="0"/>
        <w:autoSpaceDN w:val="0"/>
        <w:adjustRightInd w:val="0"/>
        <w:spacing w:before="120" w:after="120"/>
        <w:jc w:val="both"/>
        <w:rPr>
          <w:lang w:eastAsia="et-EE"/>
        </w:rPr>
      </w:pPr>
      <w:r w:rsidRPr="00C50854">
        <w:rPr>
          <w:lang w:eastAsia="et-EE"/>
        </w:rPr>
        <w:t>Küsimustikud saadeti sideettevõtjatele, kes olid esitanud teate sideteenuste osutamise alustamise kohta võrguteenuste osutamiseks kooskõlas ESS §-ga 4 või sellega samaväärse teate ESS § 189 lõigete 2 ja 3 alusel.</w:t>
      </w:r>
    </w:p>
    <w:p w14:paraId="3A2F7FEF" w14:textId="77777777" w:rsidR="00227E96" w:rsidRPr="00C50854" w:rsidRDefault="00227E96" w:rsidP="00311E1F">
      <w:pPr>
        <w:numPr>
          <w:ilvl w:val="0"/>
          <w:numId w:val="13"/>
        </w:numPr>
        <w:suppressAutoHyphens w:val="0"/>
        <w:autoSpaceDE w:val="0"/>
        <w:autoSpaceDN w:val="0"/>
        <w:adjustRightInd w:val="0"/>
        <w:spacing w:before="120" w:after="120"/>
        <w:jc w:val="both"/>
        <w:rPr>
          <w:lang w:eastAsia="et-EE"/>
        </w:rPr>
      </w:pPr>
      <w:r w:rsidRPr="00C50854">
        <w:rPr>
          <w:lang w:eastAsia="et-EE"/>
        </w:rPr>
        <w:t>Küsimustikega sooviti saada sideettevõtjalt motiveeritud mahus võimalikult laiapõhjalisi andmeid (muuhulgas teenuse osutamise mahud,</w:t>
      </w:r>
      <w:r w:rsidR="00FF34DC" w:rsidRPr="00C50854">
        <w:rPr>
          <w:lang w:eastAsia="et-EE"/>
        </w:rPr>
        <w:t xml:space="preserve"> piirkonnad,</w:t>
      </w:r>
      <w:r w:rsidRPr="00C50854">
        <w:rPr>
          <w:lang w:eastAsia="et-EE"/>
        </w:rPr>
        <w:t xml:space="preserve"> kaasnevad kulud</w:t>
      </w:r>
      <w:r w:rsidR="00FF34DC" w:rsidRPr="00C50854">
        <w:rPr>
          <w:lang w:eastAsia="et-EE"/>
        </w:rPr>
        <w:t>,</w:t>
      </w:r>
      <w:r w:rsidRPr="00C50854">
        <w:rPr>
          <w:lang w:eastAsia="et-EE"/>
        </w:rPr>
        <w:t xml:space="preserve"> jne), võimaldamaks turgude piiritlemisel ja analüüsimisel võtta arvesse kõiki olulisi teenuseid ning asjaolusid ja vältimaks vajadust andmeid korduvalt küsida.</w:t>
      </w:r>
    </w:p>
    <w:p w14:paraId="4B4BD5AE" w14:textId="49671526" w:rsidR="00227E96" w:rsidRPr="00C50854" w:rsidRDefault="00227E96" w:rsidP="00311E1F">
      <w:pPr>
        <w:numPr>
          <w:ilvl w:val="0"/>
          <w:numId w:val="13"/>
        </w:numPr>
        <w:suppressAutoHyphens w:val="0"/>
        <w:autoSpaceDE w:val="0"/>
        <w:autoSpaceDN w:val="0"/>
        <w:adjustRightInd w:val="0"/>
        <w:spacing w:before="120" w:after="120"/>
        <w:jc w:val="both"/>
        <w:rPr>
          <w:lang w:eastAsia="et-EE"/>
        </w:rPr>
      </w:pPr>
      <w:r w:rsidRPr="00C50854">
        <w:rPr>
          <w:lang w:eastAsia="et-EE"/>
        </w:rPr>
        <w:t>Vastavalt turuanalüüsi ja märkimisväärse turujõu hindamise suuniste punktile 74 tuleb ettevõtjaid, kes teenuse väikese, kuid märkimisväärse ja püsiva hinnatõusu korral võivad „kesk</w:t>
      </w:r>
      <w:r w:rsidR="00A938E0" w:rsidRPr="00C50854">
        <w:rPr>
          <w:lang w:eastAsia="et-EE"/>
        </w:rPr>
        <w:t>-</w:t>
      </w:r>
      <w:r w:rsidRPr="00C50854">
        <w:rPr>
          <w:lang w:eastAsia="et-EE"/>
        </w:rPr>
        <w:t xml:space="preserve">pikas perspektiivis“ otsustada turule siseneda, kohelda potentsiaalsete turuosalistena isegi sel juhul, kui nad hetkel asjakohast teenust ei osuta. Kuna fikseeritud </w:t>
      </w:r>
      <w:r w:rsidR="00A938E0" w:rsidRPr="00C50854">
        <w:rPr>
          <w:lang w:eastAsia="et-EE"/>
        </w:rPr>
        <w:t xml:space="preserve">sidevõrgule </w:t>
      </w:r>
      <w:r w:rsidRPr="00C50854">
        <w:rPr>
          <w:lang w:eastAsia="et-EE"/>
        </w:rPr>
        <w:t>juurdepääsu hulgituru sisenemistõk</w:t>
      </w:r>
      <w:r w:rsidR="00987543" w:rsidRPr="00C50854">
        <w:rPr>
          <w:lang w:eastAsia="et-EE"/>
        </w:rPr>
        <w:t>ked on kõrged (vt otsuse</w:t>
      </w:r>
      <w:r w:rsidRPr="00C50854">
        <w:rPr>
          <w:lang w:eastAsia="et-EE"/>
        </w:rPr>
        <w:t xml:space="preserve"> punkti 4.3.</w:t>
      </w:r>
      <w:r w:rsidR="00C35B1F" w:rsidRPr="00C50854">
        <w:rPr>
          <w:lang w:eastAsia="et-EE"/>
        </w:rPr>
        <w:t>3</w:t>
      </w:r>
      <w:r w:rsidRPr="00C50854">
        <w:rPr>
          <w:lang w:eastAsia="et-EE"/>
        </w:rPr>
        <w:t xml:space="preserve">. koos alapunktidega), saab potentsiaalsete turuosalistena kohelda vaid niisuguseid sideettevõtjaid, kellel on vaskpaaril ja valguskaablil põhinev juurdepääsuvõrk ning </w:t>
      </w:r>
      <w:r w:rsidR="000C0C49" w:rsidRPr="00C50854">
        <w:rPr>
          <w:lang w:eastAsia="et-EE"/>
        </w:rPr>
        <w:t xml:space="preserve">kohaliku </w:t>
      </w:r>
      <w:r w:rsidRPr="00C50854">
        <w:rPr>
          <w:lang w:eastAsia="et-EE"/>
        </w:rPr>
        <w:t xml:space="preserve">juurdepääsu hulgiturul olemas teenuste osutamiseks teatav tehniline valmisolek. </w:t>
      </w:r>
      <w:r w:rsidR="002009B7" w:rsidRPr="00C50854">
        <w:rPr>
          <w:lang w:eastAsia="et-EE"/>
        </w:rPr>
        <w:t>T</w:t>
      </w:r>
      <w:r w:rsidR="00FF34DC" w:rsidRPr="00C50854">
        <w:rPr>
          <w:lang w:eastAsia="et-EE"/>
        </w:rPr>
        <w:t>TJA</w:t>
      </w:r>
      <w:r w:rsidRPr="00C50854">
        <w:rPr>
          <w:lang w:eastAsia="et-EE"/>
        </w:rPr>
        <w:t xml:space="preserve"> hinnangul ei ole lähema kolme aasta perspektiivis selliste infrastruktuuride puudumisel võimalik </w:t>
      </w:r>
      <w:r w:rsidR="000C0C49" w:rsidRPr="00C50854">
        <w:rPr>
          <w:lang w:eastAsia="et-EE"/>
        </w:rPr>
        <w:t xml:space="preserve">kohaliku </w:t>
      </w:r>
      <w:r w:rsidRPr="00C50854">
        <w:rPr>
          <w:lang w:eastAsia="et-EE"/>
        </w:rPr>
        <w:t>juurdepääsu hulgiturule siseneda.</w:t>
      </w:r>
    </w:p>
    <w:p w14:paraId="37515698" w14:textId="4160564E" w:rsidR="00227E96" w:rsidRPr="00C50854" w:rsidRDefault="00227E96" w:rsidP="00311E1F">
      <w:pPr>
        <w:numPr>
          <w:ilvl w:val="0"/>
          <w:numId w:val="13"/>
        </w:numPr>
        <w:suppressAutoHyphens w:val="0"/>
        <w:autoSpaceDE w:val="0"/>
        <w:autoSpaceDN w:val="0"/>
        <w:adjustRightInd w:val="0"/>
        <w:spacing w:before="120" w:after="120"/>
        <w:jc w:val="both"/>
        <w:rPr>
          <w:lang w:eastAsia="et-EE"/>
        </w:rPr>
      </w:pPr>
      <w:bookmarkStart w:id="155" w:name="_Ref463343857"/>
      <w:r w:rsidRPr="00C50854">
        <w:rPr>
          <w:lang w:eastAsia="et-EE"/>
        </w:rPr>
        <w:t>Ettevõtjaid, kes turuanalüüsiks kogutud andmete alusel omasid 201</w:t>
      </w:r>
      <w:r w:rsidR="00CF397D" w:rsidRPr="00C50854">
        <w:rPr>
          <w:lang w:eastAsia="et-EE"/>
        </w:rPr>
        <w:t>8</w:t>
      </w:r>
      <w:r w:rsidRPr="00C50854">
        <w:rPr>
          <w:lang w:eastAsia="et-EE"/>
        </w:rPr>
        <w:t xml:space="preserve">. aasta lõpu seisuga </w:t>
      </w:r>
      <w:r w:rsidR="000C0C49" w:rsidRPr="00C50854">
        <w:rPr>
          <w:lang w:eastAsia="et-EE"/>
        </w:rPr>
        <w:t xml:space="preserve">kohaliku </w:t>
      </w:r>
      <w:r w:rsidRPr="00C50854">
        <w:rPr>
          <w:lang w:eastAsia="et-EE"/>
        </w:rPr>
        <w:t xml:space="preserve">juurdepääsu hulgituru juurdepääsuvõrku ning kellel oli tehniline valmisolek </w:t>
      </w:r>
      <w:r w:rsidR="000C0C49" w:rsidRPr="00C50854">
        <w:rPr>
          <w:lang w:eastAsia="et-EE"/>
        </w:rPr>
        <w:t xml:space="preserve">kohaliku </w:t>
      </w:r>
      <w:r w:rsidRPr="00C50854">
        <w:rPr>
          <w:lang w:eastAsia="et-EE"/>
        </w:rPr>
        <w:t xml:space="preserve">juurdepääsu hulgiturul teenuste osutamiseks, oli </w:t>
      </w:r>
      <w:r w:rsidR="00550F35" w:rsidRPr="00C50854">
        <w:rPr>
          <w:lang w:eastAsia="et-EE"/>
        </w:rPr>
        <w:t>k</w:t>
      </w:r>
      <w:r w:rsidR="00F11509" w:rsidRPr="00C50854">
        <w:rPr>
          <w:lang w:eastAsia="et-EE"/>
        </w:rPr>
        <w:t>aheksa</w:t>
      </w:r>
      <w:r w:rsidRPr="00C50854">
        <w:rPr>
          <w:lang w:eastAsia="et-EE"/>
        </w:rPr>
        <w:t>:</w:t>
      </w:r>
      <w:bookmarkEnd w:id="155"/>
    </w:p>
    <w:p w14:paraId="4673CBA7" w14:textId="77777777" w:rsidR="00227E96" w:rsidRPr="00C50854" w:rsidRDefault="007D21E7" w:rsidP="007E0516">
      <w:pPr>
        <w:numPr>
          <w:ilvl w:val="0"/>
          <w:numId w:val="3"/>
        </w:numPr>
        <w:suppressAutoHyphens w:val="0"/>
        <w:spacing w:before="120" w:after="120"/>
        <w:rPr>
          <w:lang w:eastAsia="et-EE"/>
        </w:rPr>
      </w:pPr>
      <w:r w:rsidRPr="00C50854">
        <w:rPr>
          <w:lang w:eastAsia="et-EE"/>
        </w:rPr>
        <w:t>Telia</w:t>
      </w:r>
      <w:r w:rsidR="00807640" w:rsidRPr="00C50854">
        <w:rPr>
          <w:lang w:eastAsia="et-EE"/>
        </w:rPr>
        <w:t>;</w:t>
      </w:r>
    </w:p>
    <w:p w14:paraId="6358959D" w14:textId="77777777" w:rsidR="00550F35" w:rsidRPr="00C50854" w:rsidRDefault="00550F35" w:rsidP="007E0516">
      <w:pPr>
        <w:numPr>
          <w:ilvl w:val="0"/>
          <w:numId w:val="3"/>
        </w:numPr>
        <w:suppressAutoHyphens w:val="0"/>
        <w:spacing w:before="120" w:after="120"/>
        <w:rPr>
          <w:lang w:eastAsia="et-EE"/>
        </w:rPr>
      </w:pPr>
      <w:r w:rsidRPr="00C50854">
        <w:rPr>
          <w:lang w:eastAsia="et-EE"/>
        </w:rPr>
        <w:t xml:space="preserve">Elisa Eesti AS (edaspidi </w:t>
      </w:r>
      <w:r w:rsidRPr="00C50854">
        <w:rPr>
          <w:i/>
          <w:lang w:eastAsia="et-EE"/>
        </w:rPr>
        <w:t>Elisa</w:t>
      </w:r>
      <w:r w:rsidRPr="00C50854">
        <w:rPr>
          <w:lang w:eastAsia="et-EE"/>
        </w:rPr>
        <w:t>)</w:t>
      </w:r>
    </w:p>
    <w:p w14:paraId="73DC2A60" w14:textId="5E3259C1" w:rsidR="001A4BB9" w:rsidRPr="00C50854" w:rsidRDefault="002A305C" w:rsidP="00550F35">
      <w:pPr>
        <w:numPr>
          <w:ilvl w:val="0"/>
          <w:numId w:val="3"/>
        </w:numPr>
        <w:suppressAutoHyphens w:val="0"/>
        <w:spacing w:before="120" w:after="120"/>
        <w:rPr>
          <w:lang w:eastAsia="et-EE"/>
        </w:rPr>
      </w:pPr>
      <w:r w:rsidRPr="00C50854">
        <w:t xml:space="preserve">Osaühing </w:t>
      </w:r>
      <w:r w:rsidR="00A01994" w:rsidRPr="00C50854">
        <w:t>FILL</w:t>
      </w:r>
      <w:r w:rsidR="00311E1F" w:rsidRPr="00C50854">
        <w:t xml:space="preserve"> </w:t>
      </w:r>
      <w:r w:rsidR="00A01994" w:rsidRPr="00C50854">
        <w:t>Networks</w:t>
      </w:r>
      <w:r w:rsidR="00A01994" w:rsidRPr="00C50854">
        <w:rPr>
          <w:lang w:eastAsia="et-EE"/>
        </w:rPr>
        <w:t xml:space="preserve"> </w:t>
      </w:r>
      <w:r w:rsidR="00550F35" w:rsidRPr="00C50854">
        <w:rPr>
          <w:lang w:eastAsia="et-EE"/>
        </w:rPr>
        <w:t xml:space="preserve">(edaspidi </w:t>
      </w:r>
      <w:r w:rsidR="00550F35" w:rsidRPr="00C50854">
        <w:rPr>
          <w:i/>
          <w:lang w:eastAsia="et-EE"/>
        </w:rPr>
        <w:t>Fill</w:t>
      </w:r>
      <w:r w:rsidR="00550F35" w:rsidRPr="00C50854">
        <w:rPr>
          <w:lang w:eastAsia="et-EE"/>
        </w:rPr>
        <w:t>);</w:t>
      </w:r>
    </w:p>
    <w:p w14:paraId="60528E5F" w14:textId="1DD5162F" w:rsidR="00550F35" w:rsidRPr="00C50854" w:rsidRDefault="001A4BB9" w:rsidP="00550F35">
      <w:pPr>
        <w:numPr>
          <w:ilvl w:val="0"/>
          <w:numId w:val="3"/>
        </w:numPr>
        <w:suppressAutoHyphens w:val="0"/>
        <w:spacing w:before="120" w:after="120"/>
        <w:rPr>
          <w:lang w:eastAsia="et-EE"/>
        </w:rPr>
      </w:pPr>
      <w:r w:rsidRPr="00C50854">
        <w:rPr>
          <w:lang w:eastAsia="et-EE"/>
        </w:rPr>
        <w:t>Interframe</w:t>
      </w:r>
      <w:r w:rsidR="00CF397D" w:rsidRPr="00C50854">
        <w:rPr>
          <w:lang w:eastAsia="et-EE"/>
        </w:rPr>
        <w:t xml:space="preserve"> OÜ </w:t>
      </w:r>
      <w:r w:rsidR="00550F35" w:rsidRPr="00C50854">
        <w:rPr>
          <w:lang w:eastAsia="et-EE"/>
        </w:rPr>
        <w:t xml:space="preserve">(edaspidi </w:t>
      </w:r>
      <w:r w:rsidR="00550F35" w:rsidRPr="00C50854">
        <w:rPr>
          <w:i/>
          <w:lang w:eastAsia="et-EE"/>
        </w:rPr>
        <w:t>Interframe</w:t>
      </w:r>
      <w:r w:rsidR="00550F35" w:rsidRPr="00C50854">
        <w:rPr>
          <w:lang w:eastAsia="et-EE"/>
        </w:rPr>
        <w:t>);</w:t>
      </w:r>
    </w:p>
    <w:p w14:paraId="2CBD32B6" w14:textId="524EC91D" w:rsidR="00CF397D" w:rsidRPr="00C50854" w:rsidRDefault="00CF397D" w:rsidP="00550F35">
      <w:pPr>
        <w:numPr>
          <w:ilvl w:val="0"/>
          <w:numId w:val="3"/>
        </w:numPr>
        <w:suppressAutoHyphens w:val="0"/>
        <w:spacing w:before="120" w:after="120"/>
        <w:rPr>
          <w:lang w:eastAsia="et-EE"/>
        </w:rPr>
      </w:pPr>
      <w:r w:rsidRPr="00C50854">
        <w:rPr>
          <w:lang w:eastAsia="et-EE"/>
        </w:rPr>
        <w:t>Uus</w:t>
      </w:r>
      <w:r w:rsidR="00F30760" w:rsidRPr="00C50854">
        <w:rPr>
          <w:lang w:eastAsia="et-EE"/>
        </w:rPr>
        <w:t xml:space="preserve"> P</w:t>
      </w:r>
      <w:r w:rsidRPr="00C50854">
        <w:rPr>
          <w:lang w:eastAsia="et-EE"/>
        </w:rPr>
        <w:t xml:space="preserve">rogramm OÜ (edaspidi </w:t>
      </w:r>
      <w:r w:rsidRPr="00C50854">
        <w:rPr>
          <w:i/>
          <w:lang w:eastAsia="et-EE"/>
        </w:rPr>
        <w:t>Uus</w:t>
      </w:r>
      <w:r w:rsidR="00F30760" w:rsidRPr="00C50854">
        <w:rPr>
          <w:i/>
          <w:lang w:eastAsia="et-EE"/>
        </w:rPr>
        <w:t xml:space="preserve"> P</w:t>
      </w:r>
      <w:r w:rsidRPr="00C50854">
        <w:rPr>
          <w:i/>
          <w:lang w:eastAsia="et-EE"/>
        </w:rPr>
        <w:t>rogramm</w:t>
      </w:r>
      <w:r w:rsidRPr="00C50854">
        <w:rPr>
          <w:lang w:eastAsia="et-EE"/>
        </w:rPr>
        <w:t>);</w:t>
      </w:r>
    </w:p>
    <w:p w14:paraId="689392F4" w14:textId="4AB9D76F" w:rsidR="008872A4" w:rsidRPr="00C50854" w:rsidRDefault="008872A4" w:rsidP="00550F35">
      <w:pPr>
        <w:numPr>
          <w:ilvl w:val="0"/>
          <w:numId w:val="3"/>
        </w:numPr>
        <w:suppressAutoHyphens w:val="0"/>
        <w:spacing w:before="120" w:after="120"/>
        <w:rPr>
          <w:lang w:eastAsia="et-EE"/>
        </w:rPr>
      </w:pPr>
      <w:r w:rsidRPr="00C50854">
        <w:rPr>
          <w:lang w:eastAsia="et-EE"/>
        </w:rPr>
        <w:lastRenderedPageBreak/>
        <w:t xml:space="preserve">Elisa Teleteenused AS (edaspidi </w:t>
      </w:r>
      <w:r w:rsidRPr="00C50854">
        <w:rPr>
          <w:i/>
          <w:lang w:eastAsia="et-EE"/>
        </w:rPr>
        <w:t>Teleteenused</w:t>
      </w:r>
      <w:r w:rsidRPr="00C50854">
        <w:rPr>
          <w:lang w:eastAsia="et-EE"/>
        </w:rPr>
        <w:t>);</w:t>
      </w:r>
    </w:p>
    <w:p w14:paraId="568A9B49" w14:textId="0A905416" w:rsidR="008872A4" w:rsidRPr="00C50854" w:rsidRDefault="008872A4" w:rsidP="00550F35">
      <w:pPr>
        <w:numPr>
          <w:ilvl w:val="0"/>
          <w:numId w:val="3"/>
        </w:numPr>
        <w:suppressAutoHyphens w:val="0"/>
        <w:spacing w:before="120" w:after="120"/>
        <w:rPr>
          <w:lang w:eastAsia="et-EE"/>
        </w:rPr>
      </w:pPr>
      <w:r w:rsidRPr="00C50854">
        <w:rPr>
          <w:lang w:eastAsia="et-EE"/>
        </w:rPr>
        <w:t xml:space="preserve">STV AS (edaspidi </w:t>
      </w:r>
      <w:r w:rsidRPr="00C50854">
        <w:rPr>
          <w:i/>
          <w:lang w:eastAsia="et-EE"/>
        </w:rPr>
        <w:t>STV</w:t>
      </w:r>
      <w:r w:rsidRPr="00C50854">
        <w:rPr>
          <w:lang w:eastAsia="et-EE"/>
        </w:rPr>
        <w:t>);</w:t>
      </w:r>
    </w:p>
    <w:p w14:paraId="5A2CC91F" w14:textId="2CCABADE" w:rsidR="00227E96" w:rsidRPr="00C50854" w:rsidRDefault="00227E96" w:rsidP="00550F35">
      <w:pPr>
        <w:numPr>
          <w:ilvl w:val="0"/>
          <w:numId w:val="3"/>
        </w:numPr>
        <w:suppressAutoHyphens w:val="0"/>
        <w:spacing w:before="120" w:after="120"/>
        <w:rPr>
          <w:lang w:eastAsia="et-EE"/>
        </w:rPr>
      </w:pPr>
      <w:r w:rsidRPr="00C50854">
        <w:rPr>
          <w:lang w:eastAsia="et-EE"/>
        </w:rPr>
        <w:t>Telset</w:t>
      </w:r>
      <w:r w:rsidR="00C51076" w:rsidRPr="00C50854">
        <w:rPr>
          <w:lang w:eastAsia="et-EE"/>
        </w:rPr>
        <w:t xml:space="preserve"> AS</w:t>
      </w:r>
      <w:r w:rsidRPr="00C50854">
        <w:rPr>
          <w:lang w:eastAsia="et-EE"/>
        </w:rPr>
        <w:t xml:space="preserve"> (edaspidi </w:t>
      </w:r>
      <w:r w:rsidRPr="00C50854">
        <w:rPr>
          <w:i/>
          <w:lang w:eastAsia="et-EE"/>
        </w:rPr>
        <w:t>Telset</w:t>
      </w:r>
      <w:r w:rsidR="00885A9F" w:rsidRPr="00C50854">
        <w:rPr>
          <w:lang w:eastAsia="et-EE"/>
        </w:rPr>
        <w:t>).</w:t>
      </w:r>
    </w:p>
    <w:p w14:paraId="032C98B6" w14:textId="531EBB49" w:rsidR="00227E96" w:rsidRPr="00C50854" w:rsidRDefault="00227E96"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Seega </w:t>
      </w:r>
      <w:r w:rsidR="00496BDE" w:rsidRPr="00C50854">
        <w:rPr>
          <w:lang w:eastAsia="et-EE"/>
        </w:rPr>
        <w:t>tuleb kohaliku</w:t>
      </w:r>
      <w:r w:rsidRPr="00C50854">
        <w:rPr>
          <w:lang w:eastAsia="et-EE"/>
        </w:rPr>
        <w:t xml:space="preserve"> juurdepääsu hulgitu</w:t>
      </w:r>
      <w:r w:rsidR="00576278" w:rsidRPr="00C50854">
        <w:rPr>
          <w:lang w:eastAsia="et-EE"/>
        </w:rPr>
        <w:t xml:space="preserve">ru osalisteks lugeda eelnimetatud </w:t>
      </w:r>
      <w:r w:rsidR="008872A4" w:rsidRPr="00C50854">
        <w:rPr>
          <w:lang w:eastAsia="et-EE"/>
        </w:rPr>
        <w:t>8</w:t>
      </w:r>
      <w:r w:rsidRPr="00C50854">
        <w:rPr>
          <w:lang w:eastAsia="et-EE"/>
        </w:rPr>
        <w:t xml:space="preserve"> ettevõtjat.</w:t>
      </w:r>
    </w:p>
    <w:p w14:paraId="60EB278D" w14:textId="77777777" w:rsidR="003E1FB8" w:rsidRPr="00C50854" w:rsidRDefault="005449BF" w:rsidP="006379EC">
      <w:pPr>
        <w:pStyle w:val="Pealkiri2"/>
      </w:pPr>
      <w:bookmarkStart w:id="156" w:name="_Toc464639335"/>
      <w:bookmarkStart w:id="157" w:name="_Toc42072439"/>
      <w:r w:rsidRPr="00C50854">
        <w:t xml:space="preserve">3.4. </w:t>
      </w:r>
      <w:r w:rsidR="00885A9F" w:rsidRPr="00C50854">
        <w:t>Kohaliku</w:t>
      </w:r>
      <w:r w:rsidRPr="00C50854">
        <w:t xml:space="preserve"> juurdepääsu</w:t>
      </w:r>
      <w:r w:rsidR="003E1FB8" w:rsidRPr="00C50854">
        <w:t xml:space="preserve"> </w:t>
      </w:r>
      <w:r w:rsidRPr="00C50854">
        <w:t>hulgi</w:t>
      </w:r>
      <w:r w:rsidR="003E1FB8" w:rsidRPr="00C50854">
        <w:t>turu piiritlemine: geograafiline käibimisala</w:t>
      </w:r>
      <w:bookmarkEnd w:id="156"/>
      <w:bookmarkEnd w:id="157"/>
    </w:p>
    <w:p w14:paraId="38593739" w14:textId="1AF94014" w:rsidR="003E1FB8" w:rsidRPr="00C50854" w:rsidRDefault="003E1FB8"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Turgude geograafilist ulatust on </w:t>
      </w:r>
      <w:r w:rsidR="00630F0F" w:rsidRPr="00C50854">
        <w:rPr>
          <w:lang w:eastAsia="et-EE"/>
        </w:rPr>
        <w:t xml:space="preserve">kohaliku </w:t>
      </w:r>
      <w:r w:rsidRPr="00C50854">
        <w:rPr>
          <w:lang w:eastAsia="et-EE"/>
        </w:rPr>
        <w:t>juurdepääsu hulgiturul</w:t>
      </w:r>
      <w:r w:rsidR="00987543" w:rsidRPr="00C50854">
        <w:rPr>
          <w:lang w:eastAsia="et-EE"/>
        </w:rPr>
        <w:t xml:space="preserve"> (nagu selgitatud otsuse </w:t>
      </w:r>
      <w:r w:rsidRPr="00C50854">
        <w:rPr>
          <w:lang w:eastAsia="et-EE"/>
        </w:rPr>
        <w:t xml:space="preserve"> punktis 3.1.3.) võimalik hinnata ettevõtjate sidevõrkude paiknemise ja struktuuri järgi ning lähtudes </w:t>
      </w:r>
      <w:r w:rsidR="00630F0F" w:rsidRPr="00C50854">
        <w:rPr>
          <w:lang w:eastAsia="et-EE"/>
        </w:rPr>
        <w:t xml:space="preserve">kohaliku </w:t>
      </w:r>
      <w:r w:rsidRPr="00C50854">
        <w:rPr>
          <w:lang w:eastAsia="et-EE"/>
        </w:rPr>
        <w:t>juurdepääsu hulgituru teenuste kättesaadavusest.</w:t>
      </w:r>
    </w:p>
    <w:p w14:paraId="51A85EDF" w14:textId="03854ED8" w:rsidR="003E1FB8" w:rsidRPr="00C50854" w:rsidRDefault="00A250DF" w:rsidP="00311E1F">
      <w:pPr>
        <w:numPr>
          <w:ilvl w:val="0"/>
          <w:numId w:val="13"/>
        </w:numPr>
        <w:suppressAutoHyphens w:val="0"/>
        <w:autoSpaceDE w:val="0"/>
        <w:autoSpaceDN w:val="0"/>
        <w:adjustRightInd w:val="0"/>
        <w:spacing w:before="120" w:after="120"/>
        <w:jc w:val="both"/>
        <w:rPr>
          <w:lang w:eastAsia="et-EE"/>
        </w:rPr>
      </w:pPr>
      <w:r w:rsidRPr="00C50854">
        <w:rPr>
          <w:lang w:eastAsia="et-EE"/>
        </w:rPr>
        <w:t>T</w:t>
      </w:r>
      <w:r w:rsidR="00885A9F" w:rsidRPr="00C50854">
        <w:rPr>
          <w:lang w:eastAsia="et-EE"/>
        </w:rPr>
        <w:t>TJA</w:t>
      </w:r>
      <w:r w:rsidR="003E1FB8" w:rsidRPr="00C50854">
        <w:rPr>
          <w:lang w:eastAsia="et-EE"/>
        </w:rPr>
        <w:t xml:space="preserve"> leiab, et </w:t>
      </w:r>
      <w:r w:rsidR="00630F0F" w:rsidRPr="00C50854">
        <w:rPr>
          <w:lang w:eastAsia="et-EE"/>
        </w:rPr>
        <w:t xml:space="preserve">kohaliku </w:t>
      </w:r>
      <w:r w:rsidR="003E1FB8" w:rsidRPr="00C50854">
        <w:rPr>
          <w:lang w:eastAsia="et-EE"/>
        </w:rPr>
        <w:t xml:space="preserve">juurdepääsu hulgiturg on üleriigilise ulatusega - kogutud andmetest lähtuvalt pakub suurim </w:t>
      </w:r>
      <w:r w:rsidR="00630F0F" w:rsidRPr="00C50854">
        <w:rPr>
          <w:lang w:eastAsia="et-EE"/>
        </w:rPr>
        <w:t xml:space="preserve">kohaliku </w:t>
      </w:r>
      <w:r w:rsidR="003E1FB8" w:rsidRPr="00C50854">
        <w:rPr>
          <w:lang w:eastAsia="et-EE"/>
        </w:rPr>
        <w:t xml:space="preserve">juurdepääsu hulgituru koosseisu kuuluvate hulgiteenuste osutamiseks vajalikku </w:t>
      </w:r>
      <w:r w:rsidR="00C35B1F" w:rsidRPr="00C50854">
        <w:rPr>
          <w:lang w:eastAsia="et-EE"/>
        </w:rPr>
        <w:t xml:space="preserve">infrastruktuuri omav ettevõtja </w:t>
      </w:r>
      <w:r w:rsidR="00885A9F" w:rsidRPr="00C50854">
        <w:rPr>
          <w:lang w:eastAsia="et-EE"/>
        </w:rPr>
        <w:t>Telia</w:t>
      </w:r>
      <w:r w:rsidR="00C35B1F" w:rsidRPr="00C50854">
        <w:rPr>
          <w:lang w:eastAsia="et-EE"/>
        </w:rPr>
        <w:t xml:space="preserve"> </w:t>
      </w:r>
      <w:r w:rsidR="003E1FB8" w:rsidRPr="00C50854">
        <w:rPr>
          <w:lang w:eastAsia="et-EE"/>
        </w:rPr>
        <w:t>teenuseid üle Eesti samadel tingimustel.</w:t>
      </w:r>
    </w:p>
    <w:p w14:paraId="45F5D30A" w14:textId="349E4CCB" w:rsidR="00541FAF" w:rsidRPr="00C50854" w:rsidRDefault="00541FAF" w:rsidP="00311E1F">
      <w:pPr>
        <w:pStyle w:val="Loendilik"/>
        <w:numPr>
          <w:ilvl w:val="0"/>
          <w:numId w:val="13"/>
        </w:numPr>
        <w:rPr>
          <w:lang w:eastAsia="et-EE"/>
        </w:rPr>
      </w:pPr>
      <w:r w:rsidRPr="00C50854">
        <w:rPr>
          <w:lang w:eastAsia="et-EE"/>
        </w:rPr>
        <w:t>Masstoodete keskse juurdepääsu hulgiturul (turg 3b) viis TTJA läbi konkurentsiolukorra analüüsi viie suurema linna kohta (Tallinn, Tartu, Narva, Pärnu ja Kohtla-Järve), et välja selgitada, kas suuremastes linnades on konkurentsi olukord lairibateenuste jaeturul oluliselt erinev võrreldes ülejäänud Eesti territooriumiga.</w:t>
      </w:r>
    </w:p>
    <w:p w14:paraId="4F17372B" w14:textId="2252936A" w:rsidR="00541FAF" w:rsidRPr="00C50854" w:rsidRDefault="00541FAF"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Turuanalüüside läbiviimiseks kogutud andmetest selgus, et peamiselt kaabellevi </w:t>
      </w:r>
      <w:r w:rsidR="002A5D20" w:rsidRPr="00C50854">
        <w:rPr>
          <w:lang w:eastAsia="et-EE"/>
        </w:rPr>
        <w:t>sideettevõtja</w:t>
      </w:r>
      <w:r w:rsidRPr="00C50854">
        <w:rPr>
          <w:lang w:eastAsia="et-EE"/>
        </w:rPr>
        <w:t xml:space="preserve">d on rajanud Teliaga paralleelsed sidevõrgud suuremates linnades ning nad konkureerivad jaeturul peamiselt Telia poolt osutatavate teenustega. Viiest linnast kahes </w:t>
      </w:r>
      <w:r w:rsidR="002A305C" w:rsidRPr="00C50854">
        <w:rPr>
          <w:lang w:eastAsia="et-EE"/>
        </w:rPr>
        <w:t xml:space="preserve">suuremas linnas </w:t>
      </w:r>
      <w:r w:rsidRPr="00C50854">
        <w:rPr>
          <w:lang w:eastAsia="et-EE"/>
        </w:rPr>
        <w:t>(Kohtla-Järvel ning Narvas) on Telia turuosa aktiivsete ühenduste arvu osas alla 40%.</w:t>
      </w:r>
    </w:p>
    <w:p w14:paraId="437BB936" w14:textId="46F1240C" w:rsidR="00EB3FCB" w:rsidRPr="00C50854" w:rsidRDefault="00737622" w:rsidP="00311E1F">
      <w:pPr>
        <w:numPr>
          <w:ilvl w:val="0"/>
          <w:numId w:val="13"/>
        </w:numPr>
        <w:suppressAutoHyphens w:val="0"/>
        <w:spacing w:before="120" w:after="120"/>
        <w:jc w:val="both"/>
        <w:rPr>
          <w:lang w:eastAsia="et-EE"/>
        </w:rPr>
      </w:pPr>
      <w:r w:rsidRPr="00C50854">
        <w:rPr>
          <w:lang w:eastAsia="et-EE"/>
        </w:rPr>
        <w:t>TTJA kavandab kliendiliinidele juurdepääsu osas piiritleda Eesti geograafiliselt homogeense turuna jättes välja Kohtla-Järve ning Narva, kuna seal on jaetasandil konkurentsiolukord erinev. Kaablikanalisatsioonile juurdepääsu osas kuulub peaaegu kogu kaabelkanalisatsioon Teliale, kaasa arvatud Kohtla-Järvel ja Narvas ning seetõttu on kaablikanalisatsioonile juurdepääsu osas turg geograafiliselt homogeenne kogu Eestis.</w:t>
      </w:r>
    </w:p>
    <w:p w14:paraId="668C34C7" w14:textId="553B5ED0" w:rsidR="003E1FB8" w:rsidRPr="00C50854" w:rsidRDefault="003E1FB8"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Ülaltoodust tulenevalt </w:t>
      </w:r>
      <w:r w:rsidR="00A02F90" w:rsidRPr="00C50854">
        <w:rPr>
          <w:lang w:eastAsia="et-EE"/>
        </w:rPr>
        <w:t xml:space="preserve">kavandab TTJA </w:t>
      </w:r>
      <w:r w:rsidRPr="00C50854">
        <w:rPr>
          <w:lang w:eastAsia="et-EE"/>
        </w:rPr>
        <w:t>piiritle</w:t>
      </w:r>
      <w:r w:rsidR="00A02F90" w:rsidRPr="00C50854">
        <w:rPr>
          <w:lang w:eastAsia="et-EE"/>
        </w:rPr>
        <w:t>da</w:t>
      </w:r>
      <w:r w:rsidR="00987543" w:rsidRPr="00C50854">
        <w:rPr>
          <w:lang w:eastAsia="et-EE"/>
        </w:rPr>
        <w:t xml:space="preserve"> otsuse</w:t>
      </w:r>
      <w:r w:rsidR="00A02F90" w:rsidRPr="00C50854">
        <w:rPr>
          <w:lang w:eastAsia="et-EE"/>
        </w:rPr>
        <w:t xml:space="preserve"> kavandi</w:t>
      </w:r>
      <w:r w:rsidR="002A305C" w:rsidRPr="00C50854">
        <w:rPr>
          <w:lang w:eastAsia="et-EE"/>
        </w:rPr>
        <w:t xml:space="preserve"> </w:t>
      </w:r>
      <w:r w:rsidRPr="00C50854">
        <w:rPr>
          <w:lang w:eastAsia="et-EE"/>
        </w:rPr>
        <w:t>punktis 3.1.3.</w:t>
      </w:r>
      <w:r w:rsidR="00C35B1F" w:rsidRPr="00C50854">
        <w:rPr>
          <w:lang w:eastAsia="et-EE"/>
        </w:rPr>
        <w:t xml:space="preserve"> toodud kriteeriumeid arvesse võttes</w:t>
      </w:r>
      <w:r w:rsidRPr="00C50854">
        <w:rPr>
          <w:lang w:eastAsia="et-EE"/>
        </w:rPr>
        <w:t xml:space="preserve"> ning kooskõlas ESS § 43 lõikega 2 </w:t>
      </w:r>
      <w:r w:rsidR="00885A9F" w:rsidRPr="00C50854">
        <w:rPr>
          <w:lang w:eastAsia="et-EE"/>
        </w:rPr>
        <w:t>kohaliku</w:t>
      </w:r>
      <w:r w:rsidRPr="00C50854">
        <w:rPr>
          <w:lang w:eastAsia="et-EE"/>
        </w:rPr>
        <w:t xml:space="preserve"> juurdepääsu hulgituru geograafilise käibimisalana kogu Eesti Vabariigi territooriumi</w:t>
      </w:r>
      <w:r w:rsidR="006F7241" w:rsidRPr="00C50854">
        <w:rPr>
          <w:lang w:eastAsia="et-EE"/>
        </w:rPr>
        <w:t xml:space="preserve"> </w:t>
      </w:r>
      <w:r w:rsidR="006F7241" w:rsidRPr="00C50854">
        <w:rPr>
          <w:spacing w:val="-3"/>
        </w:rPr>
        <w:t xml:space="preserve">va </w:t>
      </w:r>
      <w:r w:rsidR="004340C7" w:rsidRPr="00C50854">
        <w:rPr>
          <w:lang w:eastAsia="et-EE"/>
        </w:rPr>
        <w:t>vaskpaar- ja valguskaabel kliendiliinile</w:t>
      </w:r>
      <w:r w:rsidR="006F7241" w:rsidRPr="00C50854">
        <w:rPr>
          <w:spacing w:val="-3"/>
        </w:rPr>
        <w:t xml:space="preserve"> juurdepääsu </w:t>
      </w:r>
      <w:r w:rsidR="00D85FD3" w:rsidRPr="00C50854">
        <w:rPr>
          <w:spacing w:val="-3"/>
        </w:rPr>
        <w:t>hulgi</w:t>
      </w:r>
      <w:r w:rsidR="006F7241" w:rsidRPr="00C50854">
        <w:rPr>
          <w:spacing w:val="-3"/>
        </w:rPr>
        <w:t>teenuste osas Narva ja Kohtla-Järve</w:t>
      </w:r>
      <w:r w:rsidR="00112664" w:rsidRPr="00C50854">
        <w:rPr>
          <w:lang w:eastAsia="et-EE"/>
        </w:rPr>
        <w:t>.</w:t>
      </w:r>
      <w:r w:rsidR="006163A3" w:rsidRPr="00C50854">
        <w:rPr>
          <w:lang w:eastAsia="et-EE"/>
        </w:rPr>
        <w:t xml:space="preserve"> </w:t>
      </w:r>
    </w:p>
    <w:p w14:paraId="2BD1A783" w14:textId="0BF0F664" w:rsidR="003E1FB8" w:rsidRPr="00C50854" w:rsidRDefault="003E1FB8" w:rsidP="00A32D26">
      <w:pPr>
        <w:pStyle w:val="Pealkiri2"/>
      </w:pPr>
      <w:bookmarkStart w:id="158" w:name="_Toc464639336"/>
      <w:bookmarkStart w:id="159" w:name="_Toc42072440"/>
      <w:r w:rsidRPr="00C50854">
        <w:t xml:space="preserve">3.5. </w:t>
      </w:r>
      <w:r w:rsidR="00885A9F" w:rsidRPr="00C50854">
        <w:t>Kohaliku</w:t>
      </w:r>
      <w:r w:rsidR="005449BF" w:rsidRPr="00C50854">
        <w:t xml:space="preserve"> juurdepääsu hul</w:t>
      </w:r>
      <w:r w:rsidR="003C7651" w:rsidRPr="00C50854">
        <w:t>giturg</w:t>
      </w:r>
      <w:bookmarkEnd w:id="158"/>
      <w:bookmarkEnd w:id="159"/>
    </w:p>
    <w:p w14:paraId="251411AD" w14:textId="2C2E67DF" w:rsidR="003E1FB8" w:rsidRPr="00C50854" w:rsidRDefault="003E1FB8" w:rsidP="00311E1F">
      <w:pPr>
        <w:numPr>
          <w:ilvl w:val="0"/>
          <w:numId w:val="13"/>
        </w:numPr>
        <w:suppressAutoHyphens w:val="0"/>
        <w:autoSpaceDE w:val="0"/>
        <w:autoSpaceDN w:val="0"/>
        <w:adjustRightInd w:val="0"/>
        <w:spacing w:before="120" w:after="120"/>
        <w:jc w:val="both"/>
        <w:rPr>
          <w:lang w:eastAsia="et-EE"/>
        </w:rPr>
      </w:pPr>
      <w:r w:rsidRPr="00C50854">
        <w:rPr>
          <w:lang w:eastAsia="et-EE"/>
        </w:rPr>
        <w:t>Võttes arvesse toote- ja teenuseturgude soovitust ning turuanalüüsi ja märkimisväärse turujõu hindamise suuniseid, samuti arvestades ESS</w:t>
      </w:r>
      <w:r w:rsidR="00F61E49" w:rsidRPr="00C50854">
        <w:rPr>
          <w:lang w:eastAsia="et-EE"/>
        </w:rPr>
        <w:t>-</w:t>
      </w:r>
      <w:r w:rsidRPr="00C50854">
        <w:rPr>
          <w:lang w:eastAsia="et-EE"/>
        </w:rPr>
        <w:t xml:space="preserve">i sätteid ning olukorda </w:t>
      </w:r>
      <w:r w:rsidR="00630F0F" w:rsidRPr="00C50854">
        <w:rPr>
          <w:lang w:eastAsia="et-EE"/>
        </w:rPr>
        <w:t xml:space="preserve">kohaliku </w:t>
      </w:r>
      <w:r w:rsidRPr="00C50854">
        <w:rPr>
          <w:lang w:eastAsia="et-EE"/>
        </w:rPr>
        <w:t xml:space="preserve">juurdepääsu hulgiturul Eestis, piiritleb </w:t>
      </w:r>
      <w:r w:rsidR="00A250DF" w:rsidRPr="00C50854">
        <w:rPr>
          <w:lang w:eastAsia="et-EE"/>
        </w:rPr>
        <w:t>T</w:t>
      </w:r>
      <w:r w:rsidR="00885A9F" w:rsidRPr="00C50854">
        <w:rPr>
          <w:lang w:eastAsia="et-EE"/>
        </w:rPr>
        <w:t xml:space="preserve">TJA </w:t>
      </w:r>
      <w:r w:rsidRPr="00C50854">
        <w:rPr>
          <w:lang w:eastAsia="et-EE"/>
        </w:rPr>
        <w:t xml:space="preserve">asjakohase turu kooskõlas </w:t>
      </w:r>
      <w:bookmarkStart w:id="160" w:name="_Hlk42001260"/>
      <w:r w:rsidRPr="00C50854">
        <w:rPr>
          <w:lang w:eastAsia="et-EE"/>
        </w:rPr>
        <w:t xml:space="preserve">toote- ja teenuseturgude </w:t>
      </w:r>
      <w:bookmarkEnd w:id="160"/>
      <w:r w:rsidRPr="00C50854">
        <w:rPr>
          <w:lang w:eastAsia="et-EE"/>
        </w:rPr>
        <w:t>soovituse lisa punktiga </w:t>
      </w:r>
      <w:r w:rsidR="00630F0F" w:rsidRPr="00C50854">
        <w:rPr>
          <w:lang w:eastAsia="et-EE"/>
        </w:rPr>
        <w:t>3a</w:t>
      </w:r>
      <w:r w:rsidRPr="00C50854">
        <w:rPr>
          <w:lang w:eastAsia="et-EE"/>
        </w:rPr>
        <w:t>.</w:t>
      </w:r>
    </w:p>
    <w:p w14:paraId="0DF6DF76" w14:textId="51F9DDE4" w:rsidR="003E1FB8" w:rsidRPr="00C50854" w:rsidRDefault="00885A9F" w:rsidP="00311E1F">
      <w:pPr>
        <w:numPr>
          <w:ilvl w:val="0"/>
          <w:numId w:val="13"/>
        </w:numPr>
        <w:suppressAutoHyphens w:val="0"/>
        <w:autoSpaceDE w:val="0"/>
        <w:autoSpaceDN w:val="0"/>
        <w:adjustRightInd w:val="0"/>
        <w:spacing w:before="120" w:after="120"/>
        <w:jc w:val="both"/>
        <w:rPr>
          <w:lang w:eastAsia="et-EE"/>
        </w:rPr>
      </w:pPr>
      <w:r w:rsidRPr="00C50854">
        <w:rPr>
          <w:lang w:eastAsia="et-EE"/>
        </w:rPr>
        <w:t>Kohaliku</w:t>
      </w:r>
      <w:r w:rsidR="003E1FB8" w:rsidRPr="00C50854">
        <w:rPr>
          <w:lang w:eastAsia="et-EE"/>
        </w:rPr>
        <w:t xml:space="preserve"> juurdepääsu hulgituru koosseisu kuuluvad </w:t>
      </w:r>
      <w:r w:rsidR="004340C7" w:rsidRPr="00C50854">
        <w:rPr>
          <w:lang w:eastAsia="et-EE"/>
        </w:rPr>
        <w:t xml:space="preserve">vaskpaar- ja valguskaabel kliendiliinile </w:t>
      </w:r>
      <w:r w:rsidR="003E1FB8" w:rsidRPr="00C50854">
        <w:rPr>
          <w:lang w:eastAsia="et-EE"/>
        </w:rPr>
        <w:t xml:space="preserve">juurdepääsu </w:t>
      </w:r>
      <w:r w:rsidR="008319AB" w:rsidRPr="00C50854">
        <w:rPr>
          <w:lang w:eastAsia="et-EE"/>
        </w:rPr>
        <w:t>hulgi</w:t>
      </w:r>
      <w:r w:rsidR="003E1FB8" w:rsidRPr="00C50854">
        <w:rPr>
          <w:lang w:eastAsia="et-EE"/>
        </w:rPr>
        <w:t>teenused, millega üks sideettevõtja annab teisele sideettevõtjale kasutada (täielikult või jagatult) oma fikseeritud sidevõrgu juurdepääsuvõrgu vaskpaar</w:t>
      </w:r>
      <w:r w:rsidR="004340C7" w:rsidRPr="00C50854">
        <w:rPr>
          <w:lang w:eastAsia="et-EE"/>
        </w:rPr>
        <w:t>-</w:t>
      </w:r>
      <w:r w:rsidR="00890C36" w:rsidRPr="00C50854">
        <w:rPr>
          <w:lang w:eastAsia="et-EE"/>
        </w:rPr>
        <w:t xml:space="preserve"> ja valguskaablit</w:t>
      </w:r>
      <w:r w:rsidR="003E1FB8" w:rsidRPr="00C50854">
        <w:rPr>
          <w:lang w:eastAsia="et-EE"/>
        </w:rPr>
        <w:t xml:space="preserve">, et teine sideettevõtja saaks osutada </w:t>
      </w:r>
      <w:r w:rsidR="008319AB" w:rsidRPr="00C50854">
        <w:rPr>
          <w:lang w:eastAsia="et-EE"/>
        </w:rPr>
        <w:t xml:space="preserve">oma </w:t>
      </w:r>
      <w:r w:rsidR="003E1FB8" w:rsidRPr="00C50854">
        <w:rPr>
          <w:lang w:eastAsia="et-EE"/>
        </w:rPr>
        <w:t xml:space="preserve">kliendile sideteenuseid. Sealhulgas hõlmab asjaomane hulgiturg ka juurdepääsu </w:t>
      </w:r>
      <w:r w:rsidR="007A3F32" w:rsidRPr="00C50854">
        <w:rPr>
          <w:lang w:eastAsia="et-EE"/>
        </w:rPr>
        <w:t xml:space="preserve">kaablikanalisatsioonile ja </w:t>
      </w:r>
      <w:r w:rsidR="003E1FB8" w:rsidRPr="00C50854">
        <w:rPr>
          <w:lang w:eastAsia="et-EE"/>
        </w:rPr>
        <w:t>tugiteenuseid</w:t>
      </w:r>
      <w:r w:rsidR="005701C2" w:rsidRPr="00C50854">
        <w:rPr>
          <w:lang w:eastAsia="et-EE"/>
        </w:rPr>
        <w:t xml:space="preserve"> (sh seadmemajutust</w:t>
      </w:r>
      <w:r w:rsidR="003E1FB8" w:rsidRPr="00C50854">
        <w:rPr>
          <w:lang w:eastAsia="et-EE"/>
        </w:rPr>
        <w:t xml:space="preserve"> ja hoonete ühiskasutust) niivõrd, kuivõrd need on vajalikud </w:t>
      </w:r>
      <w:r w:rsidRPr="00C50854">
        <w:rPr>
          <w:lang w:eastAsia="et-EE"/>
        </w:rPr>
        <w:t>kohaliku</w:t>
      </w:r>
      <w:r w:rsidR="003E1FB8" w:rsidRPr="00C50854">
        <w:rPr>
          <w:lang w:eastAsia="et-EE"/>
        </w:rPr>
        <w:t xml:space="preserve"> juurdepääsu hulgiturul osutatavate hulgiteenuste kasutamiseks</w:t>
      </w:r>
      <w:r w:rsidR="007A3F32" w:rsidRPr="00C50854">
        <w:rPr>
          <w:lang w:eastAsia="et-EE"/>
        </w:rPr>
        <w:t xml:space="preserve"> või oma sidevõrgu välja ehitamiseks</w:t>
      </w:r>
      <w:r w:rsidR="003E1FB8" w:rsidRPr="00C50854">
        <w:rPr>
          <w:lang w:eastAsia="et-EE"/>
        </w:rPr>
        <w:t>.</w:t>
      </w:r>
    </w:p>
    <w:p w14:paraId="52E75B87" w14:textId="77777777" w:rsidR="003E1FB8" w:rsidRPr="00C50854" w:rsidRDefault="00885A9F" w:rsidP="00311E1F">
      <w:pPr>
        <w:numPr>
          <w:ilvl w:val="0"/>
          <w:numId w:val="13"/>
        </w:numPr>
        <w:suppressAutoHyphens w:val="0"/>
        <w:autoSpaceDE w:val="0"/>
        <w:autoSpaceDN w:val="0"/>
        <w:adjustRightInd w:val="0"/>
        <w:spacing w:before="120" w:after="120"/>
        <w:jc w:val="both"/>
        <w:rPr>
          <w:lang w:eastAsia="et-EE"/>
        </w:rPr>
      </w:pPr>
      <w:r w:rsidRPr="00C50854">
        <w:rPr>
          <w:lang w:eastAsia="et-EE"/>
        </w:rPr>
        <w:t>Kohaliku</w:t>
      </w:r>
      <w:r w:rsidR="003E1FB8" w:rsidRPr="00C50854">
        <w:rPr>
          <w:lang w:eastAsia="et-EE"/>
        </w:rPr>
        <w:t xml:space="preserve"> juurdepääsu hulgituru koosseisu kuuluvad juurdepääsuteenused jagunevad järgmisteks hulgiteenusteks:</w:t>
      </w:r>
    </w:p>
    <w:p w14:paraId="10AF2396" w14:textId="42993AFB" w:rsidR="003E1FB8" w:rsidRPr="00C50854" w:rsidRDefault="003E1FB8" w:rsidP="00BE48A9">
      <w:pPr>
        <w:numPr>
          <w:ilvl w:val="0"/>
          <w:numId w:val="6"/>
        </w:numPr>
        <w:suppressAutoHyphens w:val="0"/>
        <w:spacing w:before="120" w:after="120"/>
        <w:jc w:val="both"/>
        <w:rPr>
          <w:lang w:eastAsia="et-EE"/>
        </w:rPr>
      </w:pPr>
      <w:r w:rsidRPr="00C50854">
        <w:rPr>
          <w:bCs/>
          <w:lang w:eastAsia="et-EE"/>
        </w:rPr>
        <w:lastRenderedPageBreak/>
        <w:t>täielik juurdepääs kliendiliinile</w:t>
      </w:r>
      <w:r w:rsidRPr="00C50854">
        <w:rPr>
          <w:lang w:eastAsia="et-EE"/>
        </w:rPr>
        <w:t xml:space="preserve"> </w:t>
      </w:r>
      <w:r w:rsidRPr="00C50854">
        <w:rPr>
          <w:i/>
          <w:iCs/>
          <w:lang w:eastAsia="et-EE"/>
        </w:rPr>
        <w:t>(</w:t>
      </w:r>
      <w:proofErr w:type="spellStart"/>
      <w:r w:rsidRPr="00C50854">
        <w:rPr>
          <w:i/>
          <w:iCs/>
          <w:lang w:eastAsia="et-EE"/>
        </w:rPr>
        <w:t>fully</w:t>
      </w:r>
      <w:proofErr w:type="spellEnd"/>
      <w:r w:rsidRPr="00C50854">
        <w:rPr>
          <w:i/>
          <w:iCs/>
          <w:lang w:eastAsia="et-EE"/>
        </w:rPr>
        <w:t xml:space="preserve"> </w:t>
      </w:r>
      <w:proofErr w:type="spellStart"/>
      <w:r w:rsidRPr="00C50854">
        <w:rPr>
          <w:i/>
          <w:iCs/>
          <w:lang w:eastAsia="et-EE"/>
        </w:rPr>
        <w:t>unbundled</w:t>
      </w:r>
      <w:proofErr w:type="spellEnd"/>
      <w:r w:rsidRPr="00C50854">
        <w:rPr>
          <w:i/>
          <w:iCs/>
          <w:lang w:eastAsia="et-EE"/>
        </w:rPr>
        <w:t xml:space="preserve"> </w:t>
      </w:r>
      <w:proofErr w:type="spellStart"/>
      <w:r w:rsidRPr="00C50854">
        <w:rPr>
          <w:i/>
          <w:iCs/>
          <w:lang w:eastAsia="et-EE"/>
        </w:rPr>
        <w:t>local</w:t>
      </w:r>
      <w:proofErr w:type="spellEnd"/>
      <w:r w:rsidRPr="00C50854">
        <w:rPr>
          <w:i/>
          <w:iCs/>
          <w:lang w:eastAsia="et-EE"/>
        </w:rPr>
        <w:t xml:space="preserve"> loop)</w:t>
      </w:r>
      <w:r w:rsidR="004340C7" w:rsidRPr="00C50854">
        <w:rPr>
          <w:i/>
          <w:iCs/>
          <w:lang w:eastAsia="et-EE"/>
        </w:rPr>
        <w:t xml:space="preserve"> </w:t>
      </w:r>
      <w:r w:rsidR="004340C7" w:rsidRPr="00C50854">
        <w:rPr>
          <w:lang w:eastAsia="et-EE"/>
        </w:rPr>
        <w:t>ja/või alamkliendiliinile (</w:t>
      </w:r>
      <w:proofErr w:type="spellStart"/>
      <w:r w:rsidR="004340C7" w:rsidRPr="00C50854">
        <w:rPr>
          <w:i/>
          <w:iCs/>
          <w:lang w:eastAsia="et-EE"/>
        </w:rPr>
        <w:t>sub</w:t>
      </w:r>
      <w:proofErr w:type="spellEnd"/>
      <w:r w:rsidR="004340C7" w:rsidRPr="00C50854">
        <w:rPr>
          <w:i/>
          <w:iCs/>
          <w:lang w:eastAsia="et-EE"/>
        </w:rPr>
        <w:t xml:space="preserve">-loop) </w:t>
      </w:r>
      <w:r w:rsidRPr="00C50854">
        <w:rPr>
          <w:i/>
          <w:iCs/>
          <w:lang w:eastAsia="et-EE"/>
        </w:rPr>
        <w:t xml:space="preserve"> </w:t>
      </w:r>
      <w:r w:rsidRPr="00C50854">
        <w:rPr>
          <w:lang w:eastAsia="et-EE"/>
        </w:rPr>
        <w:t>– teisele sideettevõtjale antakse kasutada (renditakse) kliendiliin (füüsiline ühendus peajaotajast</w:t>
      </w:r>
      <w:r w:rsidR="004340C7" w:rsidRPr="00C50854">
        <w:rPr>
          <w:lang w:eastAsia="et-EE"/>
        </w:rPr>
        <w:t xml:space="preserve"> ja/või vahejaotuspunktist</w:t>
      </w:r>
      <w:r w:rsidRPr="00C50854">
        <w:rPr>
          <w:lang w:eastAsia="et-EE"/>
        </w:rPr>
        <w:t xml:space="preserve"> lõpp-punktini) tervikuna kogu sagedusspektri ulatuses;</w:t>
      </w:r>
    </w:p>
    <w:p w14:paraId="3359EBC2" w14:textId="586E6111" w:rsidR="003E1FB8" w:rsidRPr="00C50854" w:rsidRDefault="003E1FB8" w:rsidP="00BE48A9">
      <w:pPr>
        <w:numPr>
          <w:ilvl w:val="0"/>
          <w:numId w:val="6"/>
        </w:numPr>
        <w:suppressAutoHyphens w:val="0"/>
        <w:spacing w:before="120" w:after="120"/>
        <w:jc w:val="both"/>
        <w:rPr>
          <w:lang w:eastAsia="et-EE"/>
        </w:rPr>
      </w:pPr>
      <w:r w:rsidRPr="00C50854">
        <w:rPr>
          <w:bCs/>
          <w:lang w:eastAsia="et-EE"/>
        </w:rPr>
        <w:t>jagatud juurdepääs kliendiliinile ja/või alamkliendiliinile</w:t>
      </w:r>
      <w:r w:rsidRPr="00C50854">
        <w:rPr>
          <w:lang w:eastAsia="et-EE"/>
        </w:rPr>
        <w:t xml:space="preserve"> </w:t>
      </w:r>
      <w:r w:rsidRPr="00C50854">
        <w:rPr>
          <w:i/>
          <w:iCs/>
          <w:lang w:eastAsia="et-EE"/>
        </w:rPr>
        <w:t>(</w:t>
      </w:r>
      <w:proofErr w:type="spellStart"/>
      <w:r w:rsidRPr="00C50854">
        <w:rPr>
          <w:i/>
          <w:iCs/>
          <w:lang w:eastAsia="et-EE"/>
        </w:rPr>
        <w:t>shared</w:t>
      </w:r>
      <w:proofErr w:type="spellEnd"/>
      <w:r w:rsidRPr="00C50854">
        <w:rPr>
          <w:i/>
          <w:iCs/>
          <w:lang w:eastAsia="et-EE"/>
        </w:rPr>
        <w:t xml:space="preserve"> </w:t>
      </w:r>
      <w:proofErr w:type="spellStart"/>
      <w:r w:rsidRPr="00C50854">
        <w:rPr>
          <w:i/>
          <w:iCs/>
          <w:lang w:eastAsia="et-EE"/>
        </w:rPr>
        <w:t>access</w:t>
      </w:r>
      <w:proofErr w:type="spellEnd"/>
      <w:r w:rsidRPr="00C50854">
        <w:rPr>
          <w:i/>
          <w:iCs/>
          <w:lang w:eastAsia="et-EE"/>
        </w:rPr>
        <w:t xml:space="preserve"> </w:t>
      </w:r>
      <w:proofErr w:type="spellStart"/>
      <w:r w:rsidRPr="00C50854">
        <w:rPr>
          <w:i/>
          <w:iCs/>
          <w:lang w:eastAsia="et-EE"/>
        </w:rPr>
        <w:t>local</w:t>
      </w:r>
      <w:proofErr w:type="spellEnd"/>
      <w:r w:rsidRPr="00C50854">
        <w:rPr>
          <w:i/>
          <w:iCs/>
          <w:lang w:eastAsia="et-EE"/>
        </w:rPr>
        <w:t xml:space="preserve"> </w:t>
      </w:r>
      <w:proofErr w:type="spellStart"/>
      <w:r w:rsidRPr="00C50854">
        <w:rPr>
          <w:i/>
          <w:iCs/>
          <w:lang w:eastAsia="et-EE"/>
        </w:rPr>
        <w:t>or</w:t>
      </w:r>
      <w:proofErr w:type="spellEnd"/>
      <w:r w:rsidRPr="00C50854">
        <w:rPr>
          <w:i/>
          <w:iCs/>
          <w:lang w:eastAsia="et-EE"/>
        </w:rPr>
        <w:t xml:space="preserve"> </w:t>
      </w:r>
      <w:proofErr w:type="spellStart"/>
      <w:r w:rsidRPr="00C50854">
        <w:rPr>
          <w:i/>
          <w:iCs/>
          <w:lang w:eastAsia="et-EE"/>
        </w:rPr>
        <w:t>sub</w:t>
      </w:r>
      <w:proofErr w:type="spellEnd"/>
      <w:r w:rsidRPr="00C50854">
        <w:rPr>
          <w:i/>
          <w:iCs/>
          <w:lang w:eastAsia="et-EE"/>
        </w:rPr>
        <w:t xml:space="preserve">-loop) </w:t>
      </w:r>
      <w:r w:rsidRPr="00C50854">
        <w:rPr>
          <w:lang w:eastAsia="et-EE"/>
        </w:rPr>
        <w:t>–sideettevõtja juurdepääs teise sideettevõtja kliendiliinile või alamkliendiliinile, millega võimaldatakse kasutada vastavat elektroonilise side võrgu infrastruktuuri mahtu osaliselt;</w:t>
      </w:r>
    </w:p>
    <w:p w14:paraId="1BB63E35" w14:textId="32779FBC" w:rsidR="003E1FB8" w:rsidRPr="00C50854" w:rsidRDefault="003E1FB8" w:rsidP="00BE48A9">
      <w:pPr>
        <w:numPr>
          <w:ilvl w:val="0"/>
          <w:numId w:val="6"/>
        </w:numPr>
        <w:suppressAutoHyphens w:val="0"/>
        <w:spacing w:before="120" w:after="120"/>
        <w:jc w:val="both"/>
        <w:rPr>
          <w:lang w:eastAsia="et-EE"/>
        </w:rPr>
      </w:pPr>
      <w:r w:rsidRPr="00C50854">
        <w:rPr>
          <w:lang w:eastAsia="et-EE"/>
        </w:rPr>
        <w:t>j</w:t>
      </w:r>
      <w:r w:rsidR="00625A30" w:rsidRPr="00C50854">
        <w:rPr>
          <w:bCs/>
          <w:lang w:eastAsia="et-EE"/>
        </w:rPr>
        <w:t>uurdepääs</w:t>
      </w:r>
      <w:r w:rsidRPr="00C50854">
        <w:rPr>
          <w:bCs/>
          <w:lang w:eastAsia="et-EE"/>
        </w:rPr>
        <w:t xml:space="preserve"> </w:t>
      </w:r>
      <w:r w:rsidR="00625A30" w:rsidRPr="00C50854">
        <w:rPr>
          <w:bCs/>
          <w:lang w:eastAsia="et-EE"/>
        </w:rPr>
        <w:t xml:space="preserve">kaablikanalisatsioonile ja </w:t>
      </w:r>
      <w:r w:rsidRPr="00C50854">
        <w:rPr>
          <w:bCs/>
          <w:lang w:eastAsia="et-EE"/>
        </w:rPr>
        <w:t>tugiteenus</w:t>
      </w:r>
      <w:r w:rsidR="00625A30" w:rsidRPr="00C50854">
        <w:rPr>
          <w:bCs/>
          <w:lang w:eastAsia="et-EE"/>
        </w:rPr>
        <w:t>t</w:t>
      </w:r>
      <w:r w:rsidRPr="00C50854">
        <w:rPr>
          <w:bCs/>
          <w:lang w:eastAsia="et-EE"/>
        </w:rPr>
        <w:t>e</w:t>
      </w:r>
      <w:r w:rsidR="00625A30" w:rsidRPr="00C50854">
        <w:rPr>
          <w:bCs/>
          <w:lang w:eastAsia="et-EE"/>
        </w:rPr>
        <w:t>le</w:t>
      </w:r>
      <w:r w:rsidRPr="00C50854">
        <w:rPr>
          <w:bCs/>
          <w:lang w:eastAsia="et-EE"/>
        </w:rPr>
        <w:t xml:space="preserve"> - teisele sideettevõtjale juurdepääsu võimaldamises </w:t>
      </w:r>
      <w:r w:rsidRPr="00C50854">
        <w:rPr>
          <w:lang w:eastAsia="et-EE"/>
        </w:rPr>
        <w:t>muudele sidevõrgu osadele, seadmetele ja teenustele (muu hulgas juurdepääsu seadmemajutuse</w:t>
      </w:r>
      <w:r w:rsidRPr="00C50854">
        <w:rPr>
          <w:vertAlign w:val="superscript"/>
          <w:lang w:eastAsia="et-EE"/>
        </w:rPr>
        <w:footnoteReference w:id="30"/>
      </w:r>
      <w:r w:rsidRPr="00C50854">
        <w:rPr>
          <w:lang w:eastAsia="et-EE"/>
        </w:rPr>
        <w:t xml:space="preserve"> teenusele ja hoonete ühiskasutusele), mis on teisele sideettevõtjale vajalikud juurdepääsu turu koosseisu kuuluvate hulgiteenuste kasutamiseks või oma sidevõrgu väljaehitamiseks.</w:t>
      </w:r>
    </w:p>
    <w:p w14:paraId="397D2ABB" w14:textId="303E0535" w:rsidR="003E1FB8" w:rsidRPr="00C50854" w:rsidRDefault="003E1FB8"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Tulenevalt asjaolust, et </w:t>
      </w:r>
      <w:r w:rsidR="00625A30" w:rsidRPr="00C50854">
        <w:rPr>
          <w:lang w:eastAsia="et-EE"/>
        </w:rPr>
        <w:t xml:space="preserve">kohaliku </w:t>
      </w:r>
      <w:r w:rsidRPr="00C50854">
        <w:rPr>
          <w:lang w:eastAsia="et-EE"/>
        </w:rPr>
        <w:t>juurdepääsu turu ana</w:t>
      </w:r>
      <w:r w:rsidR="00E91FA6" w:rsidRPr="00C50854">
        <w:rPr>
          <w:lang w:eastAsia="et-EE"/>
        </w:rPr>
        <w:t xml:space="preserve">lüüsi kaasatud </w:t>
      </w:r>
      <w:r w:rsidR="008319AB" w:rsidRPr="00C50854">
        <w:rPr>
          <w:lang w:eastAsia="et-EE"/>
        </w:rPr>
        <w:t>sideettevõtjad</w:t>
      </w:r>
      <w:r w:rsidR="00E91FA6" w:rsidRPr="00C50854">
        <w:rPr>
          <w:lang w:eastAsia="et-EE"/>
        </w:rPr>
        <w:t xml:space="preserve"> </w:t>
      </w:r>
      <w:r w:rsidRPr="00C50854">
        <w:rPr>
          <w:lang w:eastAsia="et-EE"/>
        </w:rPr>
        <w:t xml:space="preserve">konkureerivad </w:t>
      </w:r>
      <w:r w:rsidR="008319AB" w:rsidRPr="00C50854">
        <w:rPr>
          <w:lang w:eastAsia="et-EE"/>
        </w:rPr>
        <w:t xml:space="preserve">kohaliku </w:t>
      </w:r>
      <w:r w:rsidRPr="00C50854">
        <w:rPr>
          <w:lang w:eastAsia="et-EE"/>
        </w:rPr>
        <w:t>juurdepääsu</w:t>
      </w:r>
      <w:r w:rsidR="008319AB" w:rsidRPr="00C50854">
        <w:rPr>
          <w:lang w:eastAsia="et-EE"/>
        </w:rPr>
        <w:t xml:space="preserve"> hulgiteenuste osutamisel</w:t>
      </w:r>
      <w:r w:rsidRPr="00C50854">
        <w:rPr>
          <w:lang w:eastAsia="et-EE"/>
        </w:rPr>
        <w:t xml:space="preserve"> </w:t>
      </w:r>
      <w:r w:rsidR="008319AB" w:rsidRPr="00C50854">
        <w:rPr>
          <w:lang w:eastAsia="et-EE"/>
        </w:rPr>
        <w:t>peamiselt kogu</w:t>
      </w:r>
      <w:r w:rsidRPr="00C50854">
        <w:rPr>
          <w:lang w:eastAsia="et-EE"/>
        </w:rPr>
        <w:t xml:space="preserve"> Eesti territooriumi</w:t>
      </w:r>
      <w:r w:rsidR="008319AB" w:rsidRPr="00C50854">
        <w:rPr>
          <w:lang w:eastAsia="et-EE"/>
        </w:rPr>
        <w:t xml:space="preserve">l nimetatud teenust ühetaolistel tingimustel osutava </w:t>
      </w:r>
      <w:r w:rsidRPr="00C50854">
        <w:rPr>
          <w:lang w:eastAsia="et-EE"/>
        </w:rPr>
        <w:t>ettevõtjaga</w:t>
      </w:r>
      <w:r w:rsidR="008319AB" w:rsidRPr="00C50854">
        <w:rPr>
          <w:lang w:eastAsia="et-EE"/>
        </w:rPr>
        <w:t xml:space="preserve"> Telia</w:t>
      </w:r>
      <w:r w:rsidR="001A0D36" w:rsidRPr="00C50854">
        <w:rPr>
          <w:lang w:eastAsia="et-EE"/>
        </w:rPr>
        <w:t xml:space="preserve"> ning kohaliku juurdepääsu hulgiteenuste osutamisel on oluline juurdepääs kaabelkanalisatsioonile ja tugiteenustele</w:t>
      </w:r>
      <w:r w:rsidRPr="00C50854">
        <w:rPr>
          <w:lang w:eastAsia="et-EE"/>
        </w:rPr>
        <w:t xml:space="preserve">, leiab </w:t>
      </w:r>
      <w:r w:rsidR="00A250DF" w:rsidRPr="00C50854">
        <w:rPr>
          <w:lang w:eastAsia="et-EE"/>
        </w:rPr>
        <w:t>T</w:t>
      </w:r>
      <w:r w:rsidR="00885A9F" w:rsidRPr="00C50854">
        <w:rPr>
          <w:lang w:eastAsia="et-EE"/>
        </w:rPr>
        <w:t>TJA</w:t>
      </w:r>
      <w:r w:rsidRPr="00C50854">
        <w:rPr>
          <w:lang w:eastAsia="et-EE"/>
        </w:rPr>
        <w:t>, et konkurentsitingimused on üleriigiliselt homogeensed</w:t>
      </w:r>
      <w:r w:rsidR="00DE4A14" w:rsidRPr="00C50854">
        <w:rPr>
          <w:lang w:eastAsia="et-EE"/>
        </w:rPr>
        <w:t xml:space="preserve">. Võttes arvesse eeltoodut, </w:t>
      </w:r>
      <w:r w:rsidRPr="00C50854">
        <w:rPr>
          <w:lang w:eastAsia="et-EE"/>
        </w:rPr>
        <w:t>piiritleb</w:t>
      </w:r>
      <w:r w:rsidR="00DE4A14" w:rsidRPr="00C50854">
        <w:rPr>
          <w:lang w:eastAsia="et-EE"/>
        </w:rPr>
        <w:t xml:space="preserve"> </w:t>
      </w:r>
      <w:r w:rsidR="00A250DF" w:rsidRPr="00C50854">
        <w:rPr>
          <w:lang w:eastAsia="et-EE"/>
        </w:rPr>
        <w:t>T</w:t>
      </w:r>
      <w:r w:rsidR="00885A9F" w:rsidRPr="00C50854">
        <w:rPr>
          <w:lang w:eastAsia="et-EE"/>
        </w:rPr>
        <w:t>TJA</w:t>
      </w:r>
      <w:r w:rsidRPr="00C50854">
        <w:rPr>
          <w:lang w:eastAsia="et-EE"/>
        </w:rPr>
        <w:t xml:space="preserve"> </w:t>
      </w:r>
      <w:r w:rsidR="00885A9F" w:rsidRPr="00C50854">
        <w:rPr>
          <w:lang w:eastAsia="et-EE"/>
        </w:rPr>
        <w:t>kohaliku</w:t>
      </w:r>
      <w:r w:rsidRPr="00C50854">
        <w:rPr>
          <w:lang w:eastAsia="et-EE"/>
        </w:rPr>
        <w:t xml:space="preserve"> juurdepääsu hulgituru geograafilise käibimisalana kogu Eesti Vabariigi territooriumi</w:t>
      </w:r>
      <w:r w:rsidR="004340C7" w:rsidRPr="00C50854">
        <w:t xml:space="preserve"> </w:t>
      </w:r>
      <w:r w:rsidR="004340C7" w:rsidRPr="00C50854">
        <w:rPr>
          <w:lang w:eastAsia="et-EE"/>
        </w:rPr>
        <w:t>va vaskpaar- ja valguskaabel kliendiliinile juurdepääsu hulgiteenuste osas Narvas ja Kohtla-Järvel</w:t>
      </w:r>
      <w:r w:rsidRPr="00C50854">
        <w:rPr>
          <w:lang w:eastAsia="et-EE"/>
        </w:rPr>
        <w:t>.</w:t>
      </w:r>
    </w:p>
    <w:p w14:paraId="6E908B90" w14:textId="77777777" w:rsidR="00C51076" w:rsidRPr="00C50854" w:rsidRDefault="00C51076" w:rsidP="00C51076">
      <w:pPr>
        <w:suppressAutoHyphens w:val="0"/>
        <w:autoSpaceDE w:val="0"/>
        <w:autoSpaceDN w:val="0"/>
        <w:adjustRightInd w:val="0"/>
        <w:spacing w:before="120" w:after="120"/>
        <w:ind w:left="360"/>
        <w:jc w:val="both"/>
        <w:rPr>
          <w:lang w:eastAsia="et-EE"/>
        </w:rPr>
      </w:pPr>
    </w:p>
    <w:p w14:paraId="11DD199C" w14:textId="77777777" w:rsidR="00E42F9F" w:rsidRPr="00C50854" w:rsidRDefault="00E42F9F" w:rsidP="00311E1F">
      <w:pPr>
        <w:pStyle w:val="Pealkiri1"/>
      </w:pPr>
      <w:bookmarkStart w:id="161" w:name="_Toc151432352"/>
      <w:bookmarkStart w:id="162" w:name="_Toc152389806"/>
      <w:bookmarkStart w:id="163" w:name="_Toc153794483"/>
      <w:bookmarkStart w:id="164" w:name="_Toc170536758"/>
      <w:bookmarkStart w:id="165" w:name="_Toc170620307"/>
      <w:bookmarkStart w:id="166" w:name="_Toc170788331"/>
      <w:bookmarkStart w:id="167" w:name="_Toc215466481"/>
      <w:bookmarkStart w:id="168" w:name="_Toc310840862"/>
      <w:bookmarkStart w:id="169" w:name="_Toc464639337"/>
      <w:bookmarkStart w:id="170" w:name="_Toc42072441"/>
      <w:r w:rsidRPr="00C50854">
        <w:t>4. TURUANALÜÜS</w:t>
      </w:r>
      <w:bookmarkStart w:id="171" w:name="_Toc128372973"/>
      <w:bookmarkStart w:id="172" w:name="_Toc129760765"/>
      <w:bookmarkStart w:id="173" w:name="_Toc150651454"/>
      <w:bookmarkStart w:id="174" w:name="_Toc150654438"/>
      <w:bookmarkStart w:id="175" w:name="_Toc150841606"/>
      <w:bookmarkStart w:id="176" w:name="_Toc150842824"/>
      <w:bookmarkStart w:id="177" w:name="_Toc150842912"/>
      <w:bookmarkStart w:id="178" w:name="_Toc151432353"/>
      <w:bookmarkStart w:id="179" w:name="_Toc152389807"/>
      <w:bookmarkStart w:id="180" w:name="_Toc153794484"/>
      <w:bookmarkStart w:id="181" w:name="_Toc170536759"/>
      <w:bookmarkStart w:id="182" w:name="_Toc170620308"/>
      <w:bookmarkStart w:id="183" w:name="_Toc170788332"/>
      <w:bookmarkEnd w:id="161"/>
      <w:bookmarkEnd w:id="162"/>
      <w:bookmarkEnd w:id="163"/>
      <w:bookmarkEnd w:id="164"/>
      <w:bookmarkEnd w:id="165"/>
      <w:bookmarkEnd w:id="166"/>
      <w:bookmarkEnd w:id="167"/>
      <w:bookmarkEnd w:id="168"/>
      <w:bookmarkEnd w:id="169"/>
      <w:bookmarkEnd w:id="170"/>
    </w:p>
    <w:p w14:paraId="6A2C28B2" w14:textId="77777777" w:rsidR="00E42F9F" w:rsidRPr="00C50854" w:rsidRDefault="00E42F9F" w:rsidP="00A32D26">
      <w:pPr>
        <w:pStyle w:val="Pealkiri2"/>
      </w:pPr>
      <w:bookmarkStart w:id="184" w:name="_Toc215466482"/>
      <w:bookmarkStart w:id="185" w:name="_Toc310840863"/>
      <w:bookmarkStart w:id="186" w:name="_Toc464639338"/>
      <w:bookmarkStart w:id="187" w:name="_Toc42072442"/>
      <w:r w:rsidRPr="00C50854">
        <w:t>4.1. Turuanalüüsi üldised põhimõtted</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3B222941" w14:textId="7EA8B1E5" w:rsidR="00F702CE" w:rsidRPr="00C50854" w:rsidRDefault="00F702CE"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Kooskõlas ESS § 44 ning raamdirektiivi artikliga 16 viib </w:t>
      </w:r>
      <w:r w:rsidR="00A250DF" w:rsidRPr="00C50854">
        <w:rPr>
          <w:lang w:eastAsia="et-EE"/>
        </w:rPr>
        <w:t>T</w:t>
      </w:r>
      <w:r w:rsidR="00885A9F" w:rsidRPr="00C50854">
        <w:rPr>
          <w:lang w:eastAsia="et-EE"/>
        </w:rPr>
        <w:t>TJA</w:t>
      </w:r>
      <w:r w:rsidRPr="00C50854">
        <w:rPr>
          <w:lang w:eastAsia="et-EE"/>
        </w:rPr>
        <w:t xml:space="preserve"> sideturu piiritlemise järel läbi konkurentsiolukorra analüüsi, eesmärgiga teha kindlaks, kas va</w:t>
      </w:r>
      <w:r w:rsidR="00E91FA6" w:rsidRPr="00C50854">
        <w:rPr>
          <w:lang w:eastAsia="et-EE"/>
        </w:rPr>
        <w:t>staval turul toimib konkurents. Kui turuanalüüsist tuleneb</w:t>
      </w:r>
      <w:r w:rsidRPr="00C50854">
        <w:rPr>
          <w:lang w:eastAsia="et-EE"/>
        </w:rPr>
        <w:t xml:space="preserve">, et sideteenuse turul konkurents toimib, koostab </w:t>
      </w:r>
      <w:r w:rsidR="00A250DF" w:rsidRPr="00C50854">
        <w:rPr>
          <w:lang w:eastAsia="et-EE"/>
        </w:rPr>
        <w:t>T</w:t>
      </w:r>
      <w:r w:rsidR="00885A9F" w:rsidRPr="00C50854">
        <w:rPr>
          <w:lang w:eastAsia="et-EE"/>
        </w:rPr>
        <w:t>TJA</w:t>
      </w:r>
      <w:r w:rsidR="005B136E" w:rsidRPr="00C50854">
        <w:rPr>
          <w:lang w:eastAsia="et-EE"/>
        </w:rPr>
        <w:t xml:space="preserve"> otsus</w:t>
      </w:r>
      <w:r w:rsidRPr="00C50854">
        <w:rPr>
          <w:lang w:eastAsia="et-EE"/>
        </w:rPr>
        <w:t xml:space="preserve"> märkimisväärse turujõuga ettevõtja määramata jätmise kohta.</w:t>
      </w:r>
    </w:p>
    <w:p w14:paraId="28956E5E" w14:textId="28BDA54A" w:rsidR="00F702CE" w:rsidRPr="00C50854" w:rsidRDefault="00A250DF" w:rsidP="00311E1F">
      <w:pPr>
        <w:numPr>
          <w:ilvl w:val="0"/>
          <w:numId w:val="13"/>
        </w:numPr>
        <w:suppressAutoHyphens w:val="0"/>
        <w:autoSpaceDE w:val="0"/>
        <w:autoSpaceDN w:val="0"/>
        <w:adjustRightInd w:val="0"/>
        <w:spacing w:before="120" w:after="120"/>
        <w:jc w:val="both"/>
        <w:rPr>
          <w:lang w:eastAsia="et-EE"/>
        </w:rPr>
      </w:pPr>
      <w:r w:rsidRPr="00C50854">
        <w:rPr>
          <w:lang w:eastAsia="et-EE"/>
        </w:rPr>
        <w:t>T</w:t>
      </w:r>
      <w:r w:rsidR="00885A9F" w:rsidRPr="00C50854">
        <w:rPr>
          <w:lang w:eastAsia="et-EE"/>
        </w:rPr>
        <w:t>TJA</w:t>
      </w:r>
      <w:r w:rsidR="00F702CE" w:rsidRPr="00C50854">
        <w:rPr>
          <w:lang w:eastAsia="et-EE"/>
        </w:rPr>
        <w:t xml:space="preserve"> määrab kindlaks ühe või mitu märkimisväärse turujõuga ettevõtjat, kui turuanalüüsi käigus on tuvastatud, et vastaval sideteenuse turul ei toimi konkurents ja ettevõtja vastab märkimisväärse turujõuga ettevõtja tunnustele: st ettevõtja eraldi või ühiselt koos teiste ettevõtjatega omab märkimisväärset turujõudu ehk positsiooni, mis võimaldab tal (või neil ühiselt) sellel turul tegutseda arvestataval määral sõltumatult konkurentidest, lepingupartneritest ja lõppkasutajatest.</w:t>
      </w:r>
    </w:p>
    <w:p w14:paraId="07B7D821" w14:textId="0E7ACE8B" w:rsidR="00F702CE" w:rsidRPr="00C50854" w:rsidRDefault="00F702CE"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Kooskõlas ESS § 45 lõikega 2 võib </w:t>
      </w:r>
      <w:r w:rsidR="00A250DF" w:rsidRPr="00C50854">
        <w:rPr>
          <w:lang w:eastAsia="et-EE"/>
        </w:rPr>
        <w:t>T</w:t>
      </w:r>
      <w:r w:rsidR="00885A9F" w:rsidRPr="00C50854">
        <w:rPr>
          <w:lang w:eastAsia="et-EE"/>
        </w:rPr>
        <w:t>TJA</w:t>
      </w:r>
      <w:r w:rsidRPr="00C50854">
        <w:rPr>
          <w:lang w:eastAsia="et-EE"/>
        </w:rPr>
        <w:t xml:space="preserve"> jätta sama paragrahvi lõikes 2 sätestatud tunnustele vastava ettevõtja konkreetsel teenuseturul märkimisväärse turujõuga ettevõtjaks tunnistamata, kui vastava teenuse turg on uus ja arenev turg ning kohustuste kehtestamine sellel turul võib pikemas perspektiivis piirata turu arengut ning välistada märkimisväärse turujõuga ettevõtja tunnustele vastava ettevõtja motivatsiooni vastava turu edasiarendamiseks.</w:t>
      </w:r>
    </w:p>
    <w:p w14:paraId="32EB2482" w14:textId="77777777" w:rsidR="00F702CE" w:rsidRPr="00C50854" w:rsidRDefault="00F702CE"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Märkimisväärse turujõuga ettevõtja kindlaksmääramine </w:t>
      </w:r>
      <w:proofErr w:type="spellStart"/>
      <w:r w:rsidRPr="00C50854">
        <w:rPr>
          <w:i/>
          <w:lang w:eastAsia="et-EE"/>
        </w:rPr>
        <w:t>ex</w:t>
      </w:r>
      <w:proofErr w:type="spellEnd"/>
      <w:r w:rsidRPr="00C50854">
        <w:rPr>
          <w:i/>
          <w:lang w:eastAsia="et-EE"/>
        </w:rPr>
        <w:t xml:space="preserve"> </w:t>
      </w:r>
      <w:proofErr w:type="spellStart"/>
      <w:r w:rsidRPr="00C50854">
        <w:rPr>
          <w:i/>
          <w:lang w:eastAsia="et-EE"/>
        </w:rPr>
        <w:t>ante</w:t>
      </w:r>
      <w:proofErr w:type="spellEnd"/>
      <w:r w:rsidRPr="00C50854">
        <w:rPr>
          <w:lang w:eastAsia="et-EE"/>
        </w:rPr>
        <w:t xml:space="preserve"> kooskõlas raamdirektiivi artikliga 14, ehkki see toimub EL konkurentsiõiguse põhimõtete alusel ja kooskõlas Euroopa Kohtu konkurentsialase kohtupraktikaga, rajaneb teistele eeldustele kui need, mida kohaldab konkurentsiasutus oletatava turgu valitseva seisundi kuritarvituse kindlakstegemisel </w:t>
      </w:r>
      <w:proofErr w:type="spellStart"/>
      <w:r w:rsidRPr="00C50854">
        <w:rPr>
          <w:i/>
          <w:lang w:eastAsia="et-EE"/>
        </w:rPr>
        <w:t>ex</w:t>
      </w:r>
      <w:proofErr w:type="spellEnd"/>
      <w:r w:rsidRPr="00C50854">
        <w:rPr>
          <w:i/>
          <w:lang w:eastAsia="et-EE"/>
        </w:rPr>
        <w:t xml:space="preserve"> post</w:t>
      </w:r>
      <w:r w:rsidRPr="00C50854">
        <w:rPr>
          <w:lang w:eastAsia="et-EE"/>
        </w:rPr>
        <w:t xml:space="preserve">. </w:t>
      </w:r>
      <w:r w:rsidRPr="00C50854">
        <w:rPr>
          <w:lang w:eastAsia="et-EE"/>
        </w:rPr>
        <w:lastRenderedPageBreak/>
        <w:t xml:space="preserve">Kuivõrd </w:t>
      </w:r>
      <w:proofErr w:type="spellStart"/>
      <w:r w:rsidRPr="00C50854">
        <w:rPr>
          <w:i/>
          <w:lang w:eastAsia="et-EE"/>
        </w:rPr>
        <w:t>ex</w:t>
      </w:r>
      <w:proofErr w:type="spellEnd"/>
      <w:r w:rsidRPr="00C50854">
        <w:rPr>
          <w:i/>
          <w:lang w:eastAsia="et-EE"/>
        </w:rPr>
        <w:t xml:space="preserve"> post</w:t>
      </w:r>
      <w:r w:rsidRPr="00C50854">
        <w:rPr>
          <w:lang w:eastAsia="et-EE"/>
        </w:rPr>
        <w:t xml:space="preserve"> analüüs on suunatud juba toimepandud rikkumiste tuvastamisele, sellal kui </w:t>
      </w:r>
      <w:proofErr w:type="spellStart"/>
      <w:r w:rsidRPr="00C50854">
        <w:rPr>
          <w:i/>
          <w:lang w:eastAsia="et-EE"/>
        </w:rPr>
        <w:t>ex</w:t>
      </w:r>
      <w:proofErr w:type="spellEnd"/>
      <w:r w:rsidRPr="00C50854">
        <w:rPr>
          <w:i/>
          <w:lang w:eastAsia="et-EE"/>
        </w:rPr>
        <w:t xml:space="preserve"> </w:t>
      </w:r>
      <w:proofErr w:type="spellStart"/>
      <w:r w:rsidRPr="00C50854">
        <w:rPr>
          <w:i/>
          <w:lang w:eastAsia="et-EE"/>
        </w:rPr>
        <w:t>ante</w:t>
      </w:r>
      <w:proofErr w:type="spellEnd"/>
      <w:r w:rsidRPr="00C50854">
        <w:rPr>
          <w:lang w:eastAsia="et-EE"/>
        </w:rPr>
        <w:t xml:space="preserve"> valdkonnaspetsiifiline regulatsioon on preventiivne ning suunatud konkurentsi tagamisele ja edendamisele sideturul ning rikkumiste ärahoidmisele</w:t>
      </w:r>
      <w:r w:rsidRPr="00C50854">
        <w:rPr>
          <w:vertAlign w:val="superscript"/>
          <w:lang w:eastAsia="et-EE"/>
        </w:rPr>
        <w:footnoteReference w:id="31"/>
      </w:r>
      <w:r w:rsidRPr="00C50854">
        <w:rPr>
          <w:lang w:eastAsia="et-EE"/>
        </w:rPr>
        <w:t>.</w:t>
      </w:r>
    </w:p>
    <w:p w14:paraId="01E463C0" w14:textId="54932552" w:rsidR="00F702CE" w:rsidRPr="00C50854" w:rsidRDefault="00F702CE"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Samuti ei tähenda ettevõtja tunnistamine märkimisväärse turujõuga ettevõtjaks sideturul </w:t>
      </w:r>
      <w:proofErr w:type="spellStart"/>
      <w:r w:rsidRPr="00C50854">
        <w:rPr>
          <w:i/>
          <w:lang w:eastAsia="et-EE"/>
        </w:rPr>
        <w:t>ex</w:t>
      </w:r>
      <w:proofErr w:type="spellEnd"/>
      <w:r w:rsidRPr="00C50854">
        <w:rPr>
          <w:i/>
          <w:lang w:eastAsia="et-EE"/>
        </w:rPr>
        <w:t xml:space="preserve"> </w:t>
      </w:r>
      <w:proofErr w:type="spellStart"/>
      <w:r w:rsidRPr="00C50854">
        <w:rPr>
          <w:i/>
          <w:lang w:eastAsia="et-EE"/>
        </w:rPr>
        <w:t>ante</w:t>
      </w:r>
      <w:proofErr w:type="spellEnd"/>
      <w:r w:rsidRPr="00C50854">
        <w:rPr>
          <w:lang w:eastAsia="et-EE"/>
        </w:rPr>
        <w:t xml:space="preserve"> regulatsiooni mõistes automaatselt, nagu oleks konkreetne ettevõtja ka turgu valitsev ettevõtja ühenduse asutamislepingu artikli 82 või konkurentsiseaduse</w:t>
      </w:r>
      <w:r w:rsidRPr="00C50854">
        <w:rPr>
          <w:vertAlign w:val="superscript"/>
          <w:lang w:eastAsia="et-EE"/>
        </w:rPr>
        <w:footnoteReference w:id="32"/>
      </w:r>
      <w:r w:rsidRPr="00C50854">
        <w:rPr>
          <w:lang w:eastAsia="et-EE"/>
        </w:rPr>
        <w:t xml:space="preserve"> tähenduses, ning ettevõtja märkimisväärse turujõuga ettevõtjaks tunnistamise puhul ei oma tähendust, kas ettevõtja on kuritarvitanud turgu valitsevat seisundit artikli 82 või konkurentsiseaduse tähenduses. Märkimisväärse turujõu kindlakstegemine omab tähendust üksnes sellest aspektist, kas ettevõtjal on hetkel ja lähemas perspektiivis piiritletud sideturul piisavalt turujõudu, et tegutseda märkimisväärsel määral sõltumatult konkurentidest, lepingu</w:t>
      </w:r>
      <w:r w:rsidR="00FF5296" w:rsidRPr="00C50854">
        <w:rPr>
          <w:lang w:eastAsia="et-EE"/>
        </w:rPr>
        <w:t>-</w:t>
      </w:r>
      <w:r w:rsidRPr="00C50854">
        <w:rPr>
          <w:lang w:eastAsia="et-EE"/>
        </w:rPr>
        <w:t xml:space="preserve">partneritest ja lõpuks ka lõppkasutajatest raamdirektiivi artikli 14 ning ESS § 45 lõike 2 tähenduses. Valdkonnaspetsiifiliste </w:t>
      </w:r>
      <w:proofErr w:type="spellStart"/>
      <w:r w:rsidR="00707A75" w:rsidRPr="00C50854">
        <w:rPr>
          <w:i/>
          <w:lang w:eastAsia="et-EE"/>
        </w:rPr>
        <w:t>ex</w:t>
      </w:r>
      <w:proofErr w:type="spellEnd"/>
      <w:r w:rsidR="00707A75" w:rsidRPr="00C50854">
        <w:rPr>
          <w:i/>
          <w:lang w:eastAsia="et-EE"/>
        </w:rPr>
        <w:t xml:space="preserve"> </w:t>
      </w:r>
      <w:proofErr w:type="spellStart"/>
      <w:r w:rsidRPr="00C50854">
        <w:rPr>
          <w:i/>
          <w:lang w:eastAsia="et-EE"/>
        </w:rPr>
        <w:t>ante</w:t>
      </w:r>
      <w:proofErr w:type="spellEnd"/>
      <w:r w:rsidRPr="00C50854">
        <w:rPr>
          <w:lang w:eastAsia="et-EE"/>
        </w:rPr>
        <w:t xml:space="preserve"> kohustuste kehtestamine ettevõtjatele kannab raamdirektiiviga seatud eesmärki, et konkreetsel sideturul märkimisväärse turujõuga ettevõtjaks tunnistatud sideettevõtja ei saaks oma turujõudu sellel turul kasutada konkurentsi piiramiseks või moonutamiseks või kanda oma turujõudu üle seotud turgudele</w:t>
      </w:r>
      <w:r w:rsidRPr="00C50854">
        <w:rPr>
          <w:vertAlign w:val="superscript"/>
          <w:lang w:eastAsia="et-EE"/>
        </w:rPr>
        <w:footnoteReference w:id="33"/>
      </w:r>
      <w:r w:rsidRPr="00C50854">
        <w:rPr>
          <w:lang w:eastAsia="et-EE"/>
        </w:rPr>
        <w:t>.</w:t>
      </w:r>
    </w:p>
    <w:p w14:paraId="31D36C08" w14:textId="185268FD" w:rsidR="00F702CE" w:rsidRPr="00C50854" w:rsidRDefault="00F702CE"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Vastavalt ESS § 44 lõikele 3 teostab </w:t>
      </w:r>
      <w:r w:rsidR="00A250DF" w:rsidRPr="00C50854">
        <w:rPr>
          <w:lang w:eastAsia="et-EE"/>
        </w:rPr>
        <w:t>T</w:t>
      </w:r>
      <w:r w:rsidR="00885A9F" w:rsidRPr="00C50854">
        <w:rPr>
          <w:lang w:eastAsia="et-EE"/>
        </w:rPr>
        <w:t>TJA</w:t>
      </w:r>
      <w:r w:rsidRPr="00C50854">
        <w:rPr>
          <w:lang w:eastAsia="et-EE"/>
        </w:rPr>
        <w:t xml:space="preserve"> turuanalüüsi kooskõlas EL konkurentsiõiguse põhimõtetega ning Euroopa Komisjoni turuanalüüsi ja märkimisväärse turujõu hindamise suunistega.</w:t>
      </w:r>
    </w:p>
    <w:p w14:paraId="16E439FD" w14:textId="6D431572" w:rsidR="00F702CE" w:rsidRPr="00C50854" w:rsidRDefault="00F702CE" w:rsidP="00311E1F">
      <w:pPr>
        <w:numPr>
          <w:ilvl w:val="0"/>
          <w:numId w:val="13"/>
        </w:numPr>
        <w:suppressAutoHyphens w:val="0"/>
        <w:autoSpaceDE w:val="0"/>
        <w:autoSpaceDN w:val="0"/>
        <w:adjustRightInd w:val="0"/>
        <w:spacing w:before="120" w:after="120"/>
        <w:jc w:val="both"/>
        <w:rPr>
          <w:lang w:eastAsia="et-EE"/>
        </w:rPr>
      </w:pPr>
      <w:r w:rsidRPr="00C50854">
        <w:rPr>
          <w:lang w:eastAsia="et-EE"/>
        </w:rPr>
        <w:t>Konkurentsiõiguse põhimõtetest tulenevalt tuleb selleks, et tuvastada, kas asjakohasel turul toimib efektiivne konkurents või mitte, turu konkurentsitaset hinnata mitme kriteeriumi alusel. Konkurentsiolukorra hindamiseks ja ettevõtja turgu valitseva seisundi kindlakstegemiseks (mis on aluseks märkimisväärse turujõuga ettevõtjaks tunnistamisele) asjakohasel turul kasutatakse kooskõlas Euroopa Komisjoni ja Euroopa Kohtu otsustuspraktikaga mitmesuguseid näitajaid. Peamised neist on ettevõtja turuosa, sisenemistõkete olemasolu turul, ettevõtja suurus, kontroll raskesti dubleeritava infrastruktuuri üle jne (turuanalüüsi ja märkimisväärse turujõu hindamise suuniste punkt 78).</w:t>
      </w:r>
    </w:p>
    <w:p w14:paraId="4C91698A" w14:textId="61B78117" w:rsidR="00F702CE" w:rsidRPr="00C50854" w:rsidRDefault="00885A9F"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Kohaliku </w:t>
      </w:r>
      <w:r w:rsidR="00625A30" w:rsidRPr="00C50854">
        <w:rPr>
          <w:lang w:eastAsia="et-EE"/>
        </w:rPr>
        <w:t>juurdepääsu hulgit</w:t>
      </w:r>
      <w:r w:rsidR="00F702CE" w:rsidRPr="00C50854">
        <w:rPr>
          <w:lang w:eastAsia="et-EE"/>
        </w:rPr>
        <w:t>eenuste konkurentsitaseme analüüsimisel hinnati turgu järgmiste kriteeriumite alusel:</w:t>
      </w:r>
    </w:p>
    <w:p w14:paraId="018AA9AE" w14:textId="77777777" w:rsidR="00F702CE" w:rsidRPr="00C50854" w:rsidRDefault="00F702CE" w:rsidP="00F702CE">
      <w:pPr>
        <w:suppressAutoHyphens w:val="0"/>
        <w:spacing w:before="120" w:after="120"/>
        <w:ind w:left="720" w:hanging="360"/>
        <w:jc w:val="both"/>
        <w:rPr>
          <w:lang w:eastAsia="et-EE"/>
        </w:rPr>
      </w:pPr>
      <w:r w:rsidRPr="00C50854">
        <w:rPr>
          <w:lang w:eastAsia="et-EE"/>
        </w:rPr>
        <w:t xml:space="preserve">1) </w:t>
      </w:r>
      <w:r w:rsidRPr="00C50854">
        <w:rPr>
          <w:lang w:eastAsia="et-EE"/>
        </w:rPr>
        <w:tab/>
        <w:t>ettevõtjate turuosad;</w:t>
      </w:r>
    </w:p>
    <w:p w14:paraId="3F9C23D2" w14:textId="77777777" w:rsidR="00F702CE" w:rsidRPr="00C50854" w:rsidRDefault="00F702CE" w:rsidP="00F702CE">
      <w:pPr>
        <w:suppressAutoHyphens w:val="0"/>
        <w:spacing w:before="120" w:after="120"/>
        <w:ind w:left="720" w:hanging="360"/>
        <w:jc w:val="both"/>
        <w:rPr>
          <w:lang w:eastAsia="et-EE"/>
        </w:rPr>
      </w:pPr>
      <w:r w:rsidRPr="00C50854">
        <w:rPr>
          <w:lang w:eastAsia="et-EE"/>
        </w:rPr>
        <w:t xml:space="preserve">2) </w:t>
      </w:r>
      <w:r w:rsidRPr="00C50854">
        <w:rPr>
          <w:lang w:eastAsia="et-EE"/>
        </w:rPr>
        <w:tab/>
        <w:t>kontroll raskesti dubleeritava infrastruktuuri üle ja investeeringud infrastruktuuri;</w:t>
      </w:r>
    </w:p>
    <w:p w14:paraId="61226701" w14:textId="2B89C1E7" w:rsidR="00F702CE" w:rsidRPr="00C50854" w:rsidRDefault="00F702CE" w:rsidP="00625A30">
      <w:pPr>
        <w:suppressAutoHyphens w:val="0"/>
        <w:spacing w:before="120" w:after="120"/>
        <w:ind w:left="720" w:hanging="360"/>
        <w:jc w:val="both"/>
        <w:rPr>
          <w:lang w:eastAsia="et-EE"/>
        </w:rPr>
      </w:pPr>
      <w:r w:rsidRPr="00C50854">
        <w:rPr>
          <w:lang w:eastAsia="et-EE"/>
        </w:rPr>
        <w:t xml:space="preserve">3) </w:t>
      </w:r>
      <w:r w:rsidRPr="00C50854">
        <w:rPr>
          <w:lang w:eastAsia="et-EE"/>
        </w:rPr>
        <w:tab/>
        <w:t>regulatiivsed ja struktuursed sisenemistõkked (pöördumatud kulud, juurdepääs finantsvahenditele ja kapitaliturgudele, mastaabisääst, profiilisääst, teabe kättesaadavus, vertikaalne integrats</w:t>
      </w:r>
      <w:r w:rsidR="00625A30" w:rsidRPr="00C50854">
        <w:rPr>
          <w:lang w:eastAsia="et-EE"/>
        </w:rPr>
        <w:t>ioon, potentsiaalne konkurents).</w:t>
      </w:r>
    </w:p>
    <w:p w14:paraId="7FD67CF5" w14:textId="0A16F84F" w:rsidR="00F702CE" w:rsidRPr="00C50854" w:rsidRDefault="00A250DF" w:rsidP="00311E1F">
      <w:pPr>
        <w:numPr>
          <w:ilvl w:val="0"/>
          <w:numId w:val="13"/>
        </w:numPr>
        <w:suppressAutoHyphens w:val="0"/>
        <w:autoSpaceDE w:val="0"/>
        <w:autoSpaceDN w:val="0"/>
        <w:adjustRightInd w:val="0"/>
        <w:spacing w:before="120" w:after="120"/>
        <w:jc w:val="both"/>
        <w:rPr>
          <w:lang w:eastAsia="et-EE"/>
        </w:rPr>
      </w:pPr>
      <w:r w:rsidRPr="00C50854">
        <w:rPr>
          <w:lang w:eastAsia="et-EE"/>
        </w:rPr>
        <w:t>T</w:t>
      </w:r>
      <w:r w:rsidR="00885A9F" w:rsidRPr="00C50854">
        <w:rPr>
          <w:lang w:eastAsia="et-EE"/>
        </w:rPr>
        <w:t>TJA</w:t>
      </w:r>
      <w:r w:rsidR="004449C7" w:rsidRPr="00C50854">
        <w:rPr>
          <w:lang w:eastAsia="et-EE"/>
        </w:rPr>
        <w:t xml:space="preserve"> kogus </w:t>
      </w:r>
      <w:r w:rsidR="00F702CE" w:rsidRPr="00C50854">
        <w:rPr>
          <w:lang w:eastAsia="et-EE"/>
        </w:rPr>
        <w:t>fikseeritud</w:t>
      </w:r>
      <w:r w:rsidR="007C663B" w:rsidRPr="00C50854">
        <w:rPr>
          <w:lang w:eastAsia="et-EE"/>
        </w:rPr>
        <w:t xml:space="preserve"> sidevõrgus kohaliku</w:t>
      </w:r>
      <w:r w:rsidR="00F702CE" w:rsidRPr="00C50854">
        <w:rPr>
          <w:lang w:eastAsia="et-EE"/>
        </w:rPr>
        <w:t xml:space="preserve"> juurdepääsu</w:t>
      </w:r>
      <w:r w:rsidR="007C663B" w:rsidRPr="00C50854">
        <w:rPr>
          <w:lang w:eastAsia="et-EE"/>
        </w:rPr>
        <w:t xml:space="preserve"> hulgi</w:t>
      </w:r>
      <w:r w:rsidR="00F702CE" w:rsidRPr="00C50854">
        <w:rPr>
          <w:lang w:eastAsia="et-EE"/>
        </w:rPr>
        <w:t xml:space="preserve">teenuste turul </w:t>
      </w:r>
      <w:r w:rsidR="004449C7" w:rsidRPr="00C50854">
        <w:rPr>
          <w:lang w:eastAsia="et-EE"/>
        </w:rPr>
        <w:t xml:space="preserve">turuanalüüsi läbiviimiseks </w:t>
      </w:r>
      <w:r w:rsidR="00F702CE" w:rsidRPr="00C50854">
        <w:rPr>
          <w:lang w:eastAsia="et-EE"/>
        </w:rPr>
        <w:t>otsuse</w:t>
      </w:r>
      <w:r w:rsidR="004449C7" w:rsidRPr="00C50854">
        <w:rPr>
          <w:lang w:eastAsia="et-EE"/>
        </w:rPr>
        <w:t xml:space="preserve"> punktis 3.3. nimetatud</w:t>
      </w:r>
      <w:r w:rsidR="00F702CE" w:rsidRPr="00C50854">
        <w:rPr>
          <w:lang w:eastAsia="et-EE"/>
        </w:rPr>
        <w:t xml:space="preserve"> </w:t>
      </w:r>
      <w:r w:rsidR="007C663B" w:rsidRPr="00C50854">
        <w:rPr>
          <w:lang w:eastAsia="et-EE"/>
        </w:rPr>
        <w:t>sideettevõtjatelt</w:t>
      </w:r>
      <w:r w:rsidR="00F702CE" w:rsidRPr="00C50854">
        <w:rPr>
          <w:lang w:eastAsia="et-EE"/>
        </w:rPr>
        <w:t xml:space="preserve"> andmeid kõnealusel turul asjakohaste teenuste osutamise mahtude, hindade ja tulude kohta ning teenuse osutamiseks kasutatava infrastruktuuri kohta. Lisaks küsimustiku vahendusel kogutud teabele kasutab </w:t>
      </w:r>
      <w:r w:rsidR="00885A9F" w:rsidRPr="00C50854">
        <w:rPr>
          <w:lang w:eastAsia="et-EE"/>
        </w:rPr>
        <w:t>TJA</w:t>
      </w:r>
      <w:r w:rsidR="00F702CE" w:rsidRPr="00C50854">
        <w:rPr>
          <w:lang w:eastAsia="et-EE"/>
        </w:rPr>
        <w:t xml:space="preserve"> ettevõtjate poolt äriregistrile esitatud teavet ja </w:t>
      </w:r>
      <w:r w:rsidRPr="00C50854">
        <w:rPr>
          <w:lang w:eastAsia="et-EE"/>
        </w:rPr>
        <w:t>T</w:t>
      </w:r>
      <w:r w:rsidR="00885A9F" w:rsidRPr="00C50854">
        <w:rPr>
          <w:lang w:eastAsia="et-EE"/>
        </w:rPr>
        <w:t>TJA-</w:t>
      </w:r>
      <w:proofErr w:type="spellStart"/>
      <w:r w:rsidR="00885A9F" w:rsidRPr="00C50854">
        <w:rPr>
          <w:lang w:eastAsia="et-EE"/>
        </w:rPr>
        <w:t>le</w:t>
      </w:r>
      <w:proofErr w:type="spellEnd"/>
      <w:r w:rsidR="00F702CE" w:rsidRPr="00C50854">
        <w:rPr>
          <w:lang w:eastAsia="et-EE"/>
        </w:rPr>
        <w:t xml:space="preserve"> sideturgude kvartaalse aruandluse raames esitatud teavet.</w:t>
      </w:r>
    </w:p>
    <w:p w14:paraId="6284BCE9" w14:textId="77777777" w:rsidR="00F702CE" w:rsidRPr="00C50854" w:rsidRDefault="00F702CE" w:rsidP="00311E1F">
      <w:pPr>
        <w:numPr>
          <w:ilvl w:val="0"/>
          <w:numId w:val="13"/>
        </w:numPr>
        <w:suppressAutoHyphens w:val="0"/>
        <w:autoSpaceDE w:val="0"/>
        <w:autoSpaceDN w:val="0"/>
        <w:adjustRightInd w:val="0"/>
        <w:spacing w:before="120" w:after="120"/>
        <w:jc w:val="both"/>
        <w:rPr>
          <w:lang w:eastAsia="et-EE"/>
        </w:rPr>
      </w:pPr>
      <w:r w:rsidRPr="00C50854">
        <w:rPr>
          <w:lang w:eastAsia="et-EE"/>
        </w:rPr>
        <w:t>Käesolevasse turuanalüüsi on tulenevalt turu piiritlemise järeldustest (otsuse</w:t>
      </w:r>
      <w:r w:rsidR="00987543" w:rsidRPr="00C50854">
        <w:rPr>
          <w:lang w:eastAsia="et-EE"/>
        </w:rPr>
        <w:t xml:space="preserve"> </w:t>
      </w:r>
      <w:r w:rsidRPr="00C50854">
        <w:rPr>
          <w:lang w:eastAsia="et-EE"/>
        </w:rPr>
        <w:t xml:space="preserve"> punktid 3.3. ja 3.5.) kaasatud järgmised ettevõtjad:</w:t>
      </w:r>
    </w:p>
    <w:p w14:paraId="195024DE" w14:textId="77777777" w:rsidR="00F702CE" w:rsidRPr="00C50854" w:rsidRDefault="00E217B1" w:rsidP="007E0516">
      <w:pPr>
        <w:numPr>
          <w:ilvl w:val="0"/>
          <w:numId w:val="3"/>
        </w:numPr>
        <w:suppressAutoHyphens w:val="0"/>
        <w:spacing w:before="120" w:after="120"/>
        <w:rPr>
          <w:lang w:eastAsia="et-EE"/>
        </w:rPr>
      </w:pPr>
      <w:r w:rsidRPr="00C50854">
        <w:rPr>
          <w:lang w:eastAsia="et-EE"/>
        </w:rPr>
        <w:t>Telia</w:t>
      </w:r>
      <w:r w:rsidR="00F702CE" w:rsidRPr="00C50854">
        <w:rPr>
          <w:lang w:eastAsia="et-EE"/>
        </w:rPr>
        <w:t>;</w:t>
      </w:r>
    </w:p>
    <w:p w14:paraId="32A3138B" w14:textId="77777777" w:rsidR="00550F35" w:rsidRPr="00C50854" w:rsidRDefault="00550F35" w:rsidP="007E0516">
      <w:pPr>
        <w:numPr>
          <w:ilvl w:val="0"/>
          <w:numId w:val="3"/>
        </w:numPr>
        <w:suppressAutoHyphens w:val="0"/>
        <w:spacing w:before="120" w:after="120"/>
        <w:rPr>
          <w:lang w:eastAsia="et-EE"/>
        </w:rPr>
      </w:pPr>
      <w:r w:rsidRPr="00C50854">
        <w:rPr>
          <w:lang w:eastAsia="et-EE"/>
        </w:rPr>
        <w:t>Elisa;</w:t>
      </w:r>
    </w:p>
    <w:p w14:paraId="48E7A52D" w14:textId="77777777" w:rsidR="001A4BB9" w:rsidRPr="00C50854" w:rsidRDefault="001A4BB9" w:rsidP="007E0516">
      <w:pPr>
        <w:numPr>
          <w:ilvl w:val="0"/>
          <w:numId w:val="3"/>
        </w:numPr>
        <w:suppressAutoHyphens w:val="0"/>
        <w:spacing w:before="120" w:after="120"/>
        <w:rPr>
          <w:lang w:eastAsia="et-EE"/>
        </w:rPr>
      </w:pPr>
      <w:r w:rsidRPr="00C50854">
        <w:rPr>
          <w:lang w:eastAsia="et-EE"/>
        </w:rPr>
        <w:lastRenderedPageBreak/>
        <w:t>Fill;</w:t>
      </w:r>
    </w:p>
    <w:p w14:paraId="79B87C4C" w14:textId="1726740E" w:rsidR="001A4BB9" w:rsidRPr="00C50854" w:rsidRDefault="001A4BB9" w:rsidP="007E0516">
      <w:pPr>
        <w:numPr>
          <w:ilvl w:val="0"/>
          <w:numId w:val="3"/>
        </w:numPr>
        <w:suppressAutoHyphens w:val="0"/>
        <w:spacing w:before="120" w:after="120"/>
        <w:rPr>
          <w:lang w:eastAsia="et-EE"/>
        </w:rPr>
      </w:pPr>
      <w:r w:rsidRPr="00C50854">
        <w:rPr>
          <w:lang w:eastAsia="et-EE"/>
        </w:rPr>
        <w:t>Interframe;</w:t>
      </w:r>
    </w:p>
    <w:p w14:paraId="393EFB47" w14:textId="43CC9352" w:rsidR="00F30760" w:rsidRPr="00C50854" w:rsidRDefault="00F30760" w:rsidP="007E0516">
      <w:pPr>
        <w:numPr>
          <w:ilvl w:val="0"/>
          <w:numId w:val="3"/>
        </w:numPr>
        <w:suppressAutoHyphens w:val="0"/>
        <w:spacing w:before="120" w:after="120"/>
        <w:rPr>
          <w:lang w:eastAsia="et-EE"/>
        </w:rPr>
      </w:pPr>
      <w:r w:rsidRPr="00C50854">
        <w:rPr>
          <w:lang w:eastAsia="et-EE"/>
        </w:rPr>
        <w:t>Uus</w:t>
      </w:r>
      <w:r w:rsidR="002A305C" w:rsidRPr="00C50854">
        <w:rPr>
          <w:lang w:eastAsia="et-EE"/>
        </w:rPr>
        <w:t xml:space="preserve"> P</w:t>
      </w:r>
      <w:r w:rsidRPr="00C50854">
        <w:rPr>
          <w:lang w:eastAsia="et-EE"/>
        </w:rPr>
        <w:t>rogramm;</w:t>
      </w:r>
    </w:p>
    <w:p w14:paraId="5DF5948E" w14:textId="56D0EBDE" w:rsidR="00F30760" w:rsidRPr="00C50854" w:rsidRDefault="00F30760" w:rsidP="007E0516">
      <w:pPr>
        <w:numPr>
          <w:ilvl w:val="0"/>
          <w:numId w:val="3"/>
        </w:numPr>
        <w:suppressAutoHyphens w:val="0"/>
        <w:spacing w:before="120" w:after="120"/>
        <w:rPr>
          <w:lang w:eastAsia="et-EE"/>
        </w:rPr>
      </w:pPr>
      <w:r w:rsidRPr="00C50854">
        <w:rPr>
          <w:lang w:eastAsia="et-EE"/>
        </w:rPr>
        <w:t>Teleteenused;</w:t>
      </w:r>
    </w:p>
    <w:p w14:paraId="27F5959E" w14:textId="01ABF192" w:rsidR="00F30760" w:rsidRPr="00C50854" w:rsidRDefault="00F30760" w:rsidP="007E0516">
      <w:pPr>
        <w:numPr>
          <w:ilvl w:val="0"/>
          <w:numId w:val="3"/>
        </w:numPr>
        <w:suppressAutoHyphens w:val="0"/>
        <w:spacing w:before="120" w:after="120"/>
        <w:rPr>
          <w:lang w:eastAsia="et-EE"/>
        </w:rPr>
      </w:pPr>
      <w:r w:rsidRPr="00C50854">
        <w:rPr>
          <w:lang w:eastAsia="et-EE"/>
        </w:rPr>
        <w:t>STV;</w:t>
      </w:r>
    </w:p>
    <w:p w14:paraId="35855E5B" w14:textId="77777777" w:rsidR="00F702CE" w:rsidRPr="00C50854" w:rsidRDefault="00F702CE" w:rsidP="00DA049A">
      <w:pPr>
        <w:numPr>
          <w:ilvl w:val="0"/>
          <w:numId w:val="3"/>
        </w:numPr>
        <w:suppressAutoHyphens w:val="0"/>
        <w:spacing w:before="120" w:after="120"/>
        <w:rPr>
          <w:lang w:eastAsia="et-EE"/>
        </w:rPr>
      </w:pPr>
      <w:r w:rsidRPr="00C50854">
        <w:rPr>
          <w:lang w:eastAsia="et-EE"/>
        </w:rPr>
        <w:t>Telset.</w:t>
      </w:r>
    </w:p>
    <w:p w14:paraId="58818E84" w14:textId="77777777" w:rsidR="00E42F9F" w:rsidRPr="00C50854" w:rsidRDefault="00E42F9F" w:rsidP="00A32D26">
      <w:pPr>
        <w:pStyle w:val="Pealkiri2"/>
      </w:pPr>
      <w:bookmarkStart w:id="188" w:name="_Toc215466483"/>
      <w:bookmarkStart w:id="189" w:name="_Toc310840864"/>
      <w:bookmarkStart w:id="190" w:name="_Toc464639339"/>
      <w:bookmarkStart w:id="191" w:name="_Toc42072443"/>
      <w:bookmarkStart w:id="192" w:name="_Toc118191730"/>
      <w:bookmarkStart w:id="193" w:name="_Toc142446209"/>
      <w:bookmarkStart w:id="194" w:name="_Toc143424545"/>
      <w:bookmarkStart w:id="195" w:name="_Toc143660108"/>
      <w:bookmarkStart w:id="196" w:name="_Toc150651455"/>
      <w:bookmarkStart w:id="197" w:name="_Toc150654439"/>
      <w:bookmarkStart w:id="198" w:name="_Toc150841607"/>
      <w:bookmarkStart w:id="199" w:name="_Toc150842825"/>
      <w:bookmarkStart w:id="200" w:name="_Toc150842913"/>
      <w:bookmarkStart w:id="201" w:name="_Toc151432354"/>
      <w:bookmarkStart w:id="202" w:name="_Toc152389808"/>
      <w:bookmarkStart w:id="203" w:name="_Toc153794485"/>
      <w:bookmarkStart w:id="204" w:name="_Toc170536760"/>
      <w:bookmarkStart w:id="205" w:name="_Toc170620309"/>
      <w:bookmarkStart w:id="206" w:name="_Toc170788333"/>
      <w:r w:rsidRPr="00C50854">
        <w:t>4.2.</w:t>
      </w:r>
      <w:r w:rsidR="00362CFB" w:rsidRPr="00C50854">
        <w:t xml:space="preserve"> </w:t>
      </w:r>
      <w:bookmarkEnd w:id="188"/>
      <w:bookmarkEnd w:id="189"/>
      <w:r w:rsidR="00F702CE" w:rsidRPr="00C50854">
        <w:t>Turu ülevaade</w:t>
      </w:r>
      <w:bookmarkEnd w:id="190"/>
      <w:bookmarkEnd w:id="191"/>
    </w:p>
    <w:p w14:paraId="7D454666" w14:textId="77777777" w:rsidR="00F702CE" w:rsidRPr="00C50854" w:rsidRDefault="00F702CE" w:rsidP="00F702CE">
      <w:pPr>
        <w:pStyle w:val="Pealkiri3"/>
        <w:rPr>
          <w:i/>
        </w:rPr>
      </w:pPr>
      <w:bookmarkStart w:id="207" w:name="_Ref464478475"/>
      <w:bookmarkStart w:id="208" w:name="_Toc464639340"/>
      <w:bookmarkStart w:id="209" w:name="_Toc42072444"/>
      <w:r w:rsidRPr="00C50854">
        <w:rPr>
          <w:i/>
        </w:rPr>
        <w:t>4.2.1. Elektroonilise side jaeturud</w:t>
      </w:r>
      <w:bookmarkEnd w:id="207"/>
      <w:bookmarkEnd w:id="208"/>
      <w:bookmarkEnd w:id="209"/>
    </w:p>
    <w:p w14:paraId="65AABF33" w14:textId="527D77BA" w:rsidR="00F702CE" w:rsidRPr="00C50854" w:rsidRDefault="00987543" w:rsidP="00311E1F">
      <w:pPr>
        <w:numPr>
          <w:ilvl w:val="0"/>
          <w:numId w:val="13"/>
        </w:numPr>
        <w:suppressAutoHyphens w:val="0"/>
        <w:autoSpaceDE w:val="0"/>
        <w:autoSpaceDN w:val="0"/>
        <w:adjustRightInd w:val="0"/>
        <w:spacing w:before="120" w:after="120"/>
        <w:jc w:val="both"/>
        <w:rPr>
          <w:lang w:eastAsia="et-EE"/>
        </w:rPr>
      </w:pPr>
      <w:r w:rsidRPr="00C50854">
        <w:rPr>
          <w:lang w:eastAsia="et-EE"/>
        </w:rPr>
        <w:t>Otsuse</w:t>
      </w:r>
      <w:r w:rsidR="005B136E" w:rsidRPr="00C50854">
        <w:rPr>
          <w:lang w:eastAsia="et-EE"/>
        </w:rPr>
        <w:t xml:space="preserve"> </w:t>
      </w:r>
      <w:r w:rsidR="00F702CE" w:rsidRPr="00C50854">
        <w:rPr>
          <w:lang w:eastAsia="et-EE"/>
        </w:rPr>
        <w:t xml:space="preserve">punkti </w:t>
      </w:r>
      <w:r w:rsidR="004449C7" w:rsidRPr="00C50854">
        <w:rPr>
          <w:lang w:eastAsia="et-EE"/>
        </w:rPr>
        <w:t>3.2.1</w:t>
      </w:r>
      <w:r w:rsidR="00F702CE" w:rsidRPr="00C50854">
        <w:rPr>
          <w:lang w:eastAsia="et-EE"/>
        </w:rPr>
        <w:t xml:space="preserve">. kohaselt tarbitakse </w:t>
      </w:r>
      <w:r w:rsidR="00DA049A" w:rsidRPr="00C50854">
        <w:rPr>
          <w:lang w:eastAsia="et-EE"/>
        </w:rPr>
        <w:t>kohaliku</w:t>
      </w:r>
      <w:r w:rsidR="00F702CE" w:rsidRPr="00C50854">
        <w:rPr>
          <w:lang w:eastAsia="et-EE"/>
        </w:rPr>
        <w:t xml:space="preserve"> juurdepääsu hulgituru koosseisu kuuluvaid teenuseid eelkõige eesmärgiga osutada lõppkasutajale elektroonilise side jaeteenuseid. Seega on </w:t>
      </w:r>
      <w:r w:rsidR="00DA049A" w:rsidRPr="00C50854">
        <w:rPr>
          <w:lang w:eastAsia="et-EE"/>
        </w:rPr>
        <w:t>kohaliku</w:t>
      </w:r>
      <w:r w:rsidR="00F702CE" w:rsidRPr="00C50854">
        <w:rPr>
          <w:lang w:eastAsia="et-EE"/>
        </w:rPr>
        <w:t xml:space="preserve"> juurdepääs</w:t>
      </w:r>
      <w:r w:rsidR="00DA049A" w:rsidRPr="00C50854">
        <w:rPr>
          <w:lang w:eastAsia="et-EE"/>
        </w:rPr>
        <w:t>u</w:t>
      </w:r>
      <w:r w:rsidR="00F702CE" w:rsidRPr="00C50854">
        <w:rPr>
          <w:lang w:eastAsia="et-EE"/>
        </w:rPr>
        <w:t xml:space="preserve"> hulgituru ning elektroonilise side </w:t>
      </w:r>
      <w:proofErr w:type="spellStart"/>
      <w:r w:rsidR="00F702CE" w:rsidRPr="00C50854">
        <w:rPr>
          <w:lang w:eastAsia="et-EE"/>
        </w:rPr>
        <w:t>jaeturu</w:t>
      </w:r>
      <w:proofErr w:type="spellEnd"/>
      <w:r w:rsidR="00F702CE" w:rsidRPr="00C50854">
        <w:rPr>
          <w:lang w:eastAsia="et-EE"/>
        </w:rPr>
        <w:t xml:space="preserve"> nõudluste vahel tugev seos ning on asjakohane vaadelda konkurentsi ka elektroonilise side jaeturul.</w:t>
      </w:r>
    </w:p>
    <w:p w14:paraId="6275E303" w14:textId="77777777" w:rsidR="00961889" w:rsidRPr="00C50854" w:rsidRDefault="00961889" w:rsidP="00311E1F">
      <w:pPr>
        <w:numPr>
          <w:ilvl w:val="0"/>
          <w:numId w:val="13"/>
        </w:numPr>
        <w:suppressAutoHyphens w:val="0"/>
        <w:autoSpaceDE w:val="0"/>
        <w:autoSpaceDN w:val="0"/>
        <w:adjustRightInd w:val="0"/>
        <w:spacing w:before="120" w:after="120"/>
        <w:jc w:val="both"/>
        <w:rPr>
          <w:lang w:eastAsia="et-EE"/>
        </w:rPr>
      </w:pPr>
      <w:r w:rsidRPr="00C50854">
        <w:rPr>
          <w:lang w:eastAsia="et-EE"/>
        </w:rPr>
        <w:t>Elektroonilise side jaeturul osalevad ja konkureerivad põhiliselt järgmised elektroonilise side teenuste pakkujad:</w:t>
      </w:r>
    </w:p>
    <w:p w14:paraId="5F92E1F9" w14:textId="24E37322" w:rsidR="00961889" w:rsidRPr="00C50854" w:rsidRDefault="00961889" w:rsidP="00961889">
      <w:pPr>
        <w:numPr>
          <w:ilvl w:val="0"/>
          <w:numId w:val="4"/>
        </w:numPr>
        <w:suppressAutoHyphens w:val="0"/>
        <w:spacing w:before="120" w:after="120"/>
        <w:jc w:val="both"/>
        <w:rPr>
          <w:lang w:eastAsia="et-EE"/>
        </w:rPr>
      </w:pPr>
      <w:r w:rsidRPr="00C50854">
        <w:rPr>
          <w:lang w:eastAsia="et-EE"/>
        </w:rPr>
        <w:t>endise elektroonilise side võr</w:t>
      </w:r>
      <w:r w:rsidR="009B288E" w:rsidRPr="00C50854">
        <w:rPr>
          <w:lang w:eastAsia="et-EE"/>
        </w:rPr>
        <w:t>g</w:t>
      </w:r>
      <w:r w:rsidRPr="00C50854">
        <w:rPr>
          <w:lang w:eastAsia="et-EE"/>
        </w:rPr>
        <w:t xml:space="preserve">u </w:t>
      </w:r>
      <w:r w:rsidR="002A305C" w:rsidRPr="00C50854">
        <w:rPr>
          <w:lang w:eastAsia="et-EE"/>
        </w:rPr>
        <w:t xml:space="preserve">monopoolne </w:t>
      </w:r>
      <w:r w:rsidRPr="00C50854">
        <w:rPr>
          <w:lang w:eastAsia="et-EE"/>
        </w:rPr>
        <w:t xml:space="preserve">omanik (nn </w:t>
      </w:r>
      <w:r w:rsidRPr="00C50854">
        <w:rPr>
          <w:i/>
          <w:lang w:val="en-GB" w:eastAsia="et-EE"/>
        </w:rPr>
        <w:t>incumbent operator</w:t>
      </w:r>
      <w:r w:rsidRPr="00C50854">
        <w:rPr>
          <w:lang w:eastAsia="et-EE"/>
        </w:rPr>
        <w:t>)</w:t>
      </w:r>
      <w:r w:rsidR="007C663B" w:rsidRPr="00C50854">
        <w:rPr>
          <w:lang w:eastAsia="et-EE"/>
        </w:rPr>
        <w:t xml:space="preserve"> Telia</w:t>
      </w:r>
      <w:r w:rsidRPr="00C50854">
        <w:rPr>
          <w:lang w:eastAsia="et-EE"/>
        </w:rPr>
        <w:t>;</w:t>
      </w:r>
    </w:p>
    <w:p w14:paraId="20F3FF46" w14:textId="0C710A3D" w:rsidR="00961889" w:rsidRPr="00C50854" w:rsidRDefault="00B75304" w:rsidP="00961889">
      <w:pPr>
        <w:numPr>
          <w:ilvl w:val="0"/>
          <w:numId w:val="4"/>
        </w:numPr>
        <w:suppressAutoHyphens w:val="0"/>
        <w:spacing w:before="120" w:after="120"/>
        <w:jc w:val="both"/>
        <w:rPr>
          <w:lang w:eastAsia="et-EE"/>
        </w:rPr>
      </w:pPr>
      <w:r w:rsidRPr="00C50854">
        <w:rPr>
          <w:lang w:eastAsia="et-EE"/>
        </w:rPr>
        <w:t>kaabelleviteenust osutavad sideettevõtjad</w:t>
      </w:r>
      <w:r w:rsidR="00961889" w:rsidRPr="00C50854">
        <w:rPr>
          <w:lang w:eastAsia="et-EE"/>
        </w:rPr>
        <w:t xml:space="preserve">, kes pakuvad </w:t>
      </w:r>
      <w:r w:rsidR="009B288E" w:rsidRPr="00C50854">
        <w:rPr>
          <w:lang w:eastAsia="et-EE"/>
        </w:rPr>
        <w:t xml:space="preserve">lisaks TV-teenustele ka kõne ja lairiba </w:t>
      </w:r>
      <w:r w:rsidR="00961889" w:rsidRPr="00C50854">
        <w:rPr>
          <w:lang w:eastAsia="et-EE"/>
        </w:rPr>
        <w:t>jaeteenuseid</w:t>
      </w:r>
      <w:r w:rsidR="007C663B" w:rsidRPr="00C50854">
        <w:rPr>
          <w:lang w:eastAsia="et-EE"/>
        </w:rPr>
        <w:t xml:space="preserve">, peamiselt </w:t>
      </w:r>
      <w:r w:rsidR="00BD3690" w:rsidRPr="00C50854">
        <w:rPr>
          <w:lang w:eastAsia="et-EE"/>
        </w:rPr>
        <w:t>Teleteenused</w:t>
      </w:r>
      <w:r w:rsidR="007C663B" w:rsidRPr="00C50854">
        <w:rPr>
          <w:lang w:eastAsia="et-EE"/>
        </w:rPr>
        <w:t xml:space="preserve"> ja STV</w:t>
      </w:r>
      <w:r w:rsidR="00961889" w:rsidRPr="00C50854">
        <w:rPr>
          <w:lang w:eastAsia="et-EE"/>
        </w:rPr>
        <w:t>;</w:t>
      </w:r>
    </w:p>
    <w:p w14:paraId="4B94F6E6" w14:textId="431214C1" w:rsidR="00961889" w:rsidRPr="00C50854" w:rsidRDefault="00961889" w:rsidP="00961889">
      <w:pPr>
        <w:numPr>
          <w:ilvl w:val="0"/>
          <w:numId w:val="4"/>
        </w:numPr>
        <w:suppressAutoHyphens w:val="0"/>
        <w:spacing w:before="120" w:after="120"/>
        <w:jc w:val="both"/>
        <w:rPr>
          <w:lang w:eastAsia="et-EE"/>
        </w:rPr>
      </w:pPr>
      <w:r w:rsidRPr="00C50854">
        <w:rPr>
          <w:lang w:eastAsia="et-EE"/>
        </w:rPr>
        <w:t>väikesed teenuseosutajad, kes pakuvad elektroonilise side jaeteenust, omades selleks vajalikku (piiratud ulatusega) infrastruktuuri ja/või ostes juurdepääsuteenust vajalikku infrastruktuuri omavalt ettevõtjalt ning kujundades ise jaeturul pakutavaid teenused;</w:t>
      </w:r>
    </w:p>
    <w:p w14:paraId="20ADA64A" w14:textId="3E0223D3" w:rsidR="0080640F" w:rsidRPr="00C50854" w:rsidRDefault="0080640F" w:rsidP="00961889">
      <w:pPr>
        <w:numPr>
          <w:ilvl w:val="0"/>
          <w:numId w:val="4"/>
        </w:numPr>
        <w:suppressAutoHyphens w:val="0"/>
        <w:spacing w:before="120" w:after="120"/>
        <w:jc w:val="both"/>
        <w:rPr>
          <w:lang w:eastAsia="et-EE"/>
        </w:rPr>
      </w:pPr>
      <w:r w:rsidRPr="00C50854">
        <w:rPr>
          <w:lang w:eastAsia="et-EE"/>
        </w:rPr>
        <w:t>mobiilsid</w:t>
      </w:r>
      <w:r w:rsidR="00B75304" w:rsidRPr="00C50854">
        <w:rPr>
          <w:lang w:eastAsia="et-EE"/>
        </w:rPr>
        <w:t>ee</w:t>
      </w:r>
      <w:r w:rsidR="002A5D20" w:rsidRPr="00C50854">
        <w:rPr>
          <w:lang w:eastAsia="et-EE"/>
        </w:rPr>
        <w:t>ttevõtja</w:t>
      </w:r>
      <w:r w:rsidRPr="00C50854">
        <w:rPr>
          <w:lang w:eastAsia="et-EE"/>
        </w:rPr>
        <w:t>d;</w:t>
      </w:r>
    </w:p>
    <w:p w14:paraId="2CD0A08F" w14:textId="77777777" w:rsidR="00961889" w:rsidRPr="00C50854" w:rsidRDefault="00961889" w:rsidP="00961889">
      <w:pPr>
        <w:numPr>
          <w:ilvl w:val="0"/>
          <w:numId w:val="4"/>
        </w:numPr>
        <w:suppressAutoHyphens w:val="0"/>
        <w:spacing w:before="120" w:after="120"/>
        <w:jc w:val="both"/>
        <w:rPr>
          <w:lang w:eastAsia="et-EE"/>
        </w:rPr>
      </w:pPr>
      <w:r w:rsidRPr="00C50854">
        <w:rPr>
          <w:lang w:eastAsia="et-EE"/>
        </w:rPr>
        <w:t>elektroonilise side teenuste edasimüüjad.</w:t>
      </w:r>
    </w:p>
    <w:p w14:paraId="05C21192" w14:textId="565AA143" w:rsidR="00C02AA8" w:rsidRPr="00C50854" w:rsidRDefault="00AE2F98" w:rsidP="00311E1F">
      <w:pPr>
        <w:numPr>
          <w:ilvl w:val="0"/>
          <w:numId w:val="13"/>
        </w:numPr>
        <w:rPr>
          <w:lang w:eastAsia="et-EE"/>
        </w:rPr>
      </w:pPr>
      <w:r w:rsidRPr="00C50854">
        <w:rPr>
          <w:lang w:eastAsia="et-EE"/>
        </w:rPr>
        <w:t xml:space="preserve">Kasutatavast tehnoloogiast lähtuvalt </w:t>
      </w:r>
      <w:r w:rsidR="00F57059" w:rsidRPr="00C50854">
        <w:rPr>
          <w:lang w:eastAsia="et-EE"/>
        </w:rPr>
        <w:t>lõppkasutaja</w:t>
      </w:r>
      <w:r w:rsidRPr="00C50854">
        <w:rPr>
          <w:lang w:eastAsia="et-EE"/>
        </w:rPr>
        <w:t>tele osutatavat lairiba</w:t>
      </w:r>
      <w:r w:rsidR="009A06E4" w:rsidRPr="00C50854">
        <w:rPr>
          <w:lang w:eastAsia="et-EE"/>
        </w:rPr>
        <w:t xml:space="preserve"> jae</w:t>
      </w:r>
      <w:r w:rsidRPr="00C50854">
        <w:rPr>
          <w:lang w:eastAsia="et-EE"/>
        </w:rPr>
        <w:t xml:space="preserve">teenust analüüsides (vt </w:t>
      </w:r>
      <w:r w:rsidR="00883217" w:rsidRPr="00C50854">
        <w:rPr>
          <w:lang w:eastAsia="et-EE"/>
        </w:rPr>
        <w:fldChar w:fldCharType="begin"/>
      </w:r>
      <w:r w:rsidR="00883217" w:rsidRPr="00C50854">
        <w:rPr>
          <w:lang w:eastAsia="et-EE"/>
        </w:rPr>
        <w:instrText xml:space="preserve"> REF _Ref460231465 \h  \* MERGEFORMAT </w:instrText>
      </w:r>
      <w:r w:rsidR="00883217" w:rsidRPr="00C50854">
        <w:rPr>
          <w:lang w:eastAsia="et-EE"/>
        </w:rPr>
      </w:r>
      <w:r w:rsidR="00883217" w:rsidRPr="00C50854">
        <w:rPr>
          <w:lang w:eastAsia="et-EE"/>
        </w:rPr>
        <w:fldChar w:fldCharType="separate"/>
      </w:r>
      <w:r w:rsidR="0079054B" w:rsidRPr="00C50854">
        <w:rPr>
          <w:bCs/>
          <w:lang w:eastAsia="et-EE"/>
        </w:rPr>
        <w:t xml:space="preserve">Tabel </w:t>
      </w:r>
      <w:r w:rsidR="0079054B" w:rsidRPr="00C50854">
        <w:rPr>
          <w:bCs/>
          <w:noProof/>
          <w:lang w:eastAsia="et-EE"/>
        </w:rPr>
        <w:t>6</w:t>
      </w:r>
      <w:r w:rsidR="00883217" w:rsidRPr="00C50854">
        <w:rPr>
          <w:lang w:eastAsia="et-EE"/>
        </w:rPr>
        <w:fldChar w:fldCharType="end"/>
      </w:r>
      <w:r w:rsidRPr="00C50854">
        <w:rPr>
          <w:lang w:eastAsia="et-EE"/>
        </w:rPr>
        <w:t>), selgub, et 201</w:t>
      </w:r>
      <w:r w:rsidR="00ED33F0" w:rsidRPr="00C50854">
        <w:rPr>
          <w:lang w:eastAsia="et-EE"/>
        </w:rPr>
        <w:t>5</w:t>
      </w:r>
      <w:r w:rsidRPr="00C50854">
        <w:rPr>
          <w:lang w:eastAsia="et-EE"/>
        </w:rPr>
        <w:t>. aastaga võrreldes on aastal 201</w:t>
      </w:r>
      <w:r w:rsidR="000848B2" w:rsidRPr="00C50854">
        <w:rPr>
          <w:lang w:eastAsia="et-EE"/>
        </w:rPr>
        <w:t>9</w:t>
      </w:r>
      <w:r w:rsidRPr="00C50854">
        <w:rPr>
          <w:lang w:eastAsia="et-EE"/>
        </w:rPr>
        <w:t xml:space="preserve"> xDSL tehnoloogiat kasutavate klientide arv vähenenud </w:t>
      </w:r>
      <w:r w:rsidR="009D21FF" w:rsidRPr="00C50854">
        <w:rPr>
          <w:lang w:eastAsia="et-EE"/>
        </w:rPr>
        <w:t>4</w:t>
      </w:r>
      <w:r w:rsidR="00860F9D" w:rsidRPr="00C50854">
        <w:rPr>
          <w:lang w:eastAsia="et-EE"/>
        </w:rPr>
        <w:t>%</w:t>
      </w:r>
      <w:r w:rsidR="007C663B" w:rsidRPr="00C50854">
        <w:rPr>
          <w:lang w:eastAsia="et-EE"/>
        </w:rPr>
        <w:t xml:space="preserve"> </w:t>
      </w:r>
      <w:r w:rsidRPr="00C50854">
        <w:rPr>
          <w:lang w:eastAsia="et-EE"/>
        </w:rPr>
        <w:t>ja valguskaabel tehnoloogiat kasutavate klientide arv suurenenud</w:t>
      </w:r>
      <w:r w:rsidR="009D21FF" w:rsidRPr="00C50854">
        <w:rPr>
          <w:lang w:eastAsia="et-EE"/>
        </w:rPr>
        <w:t xml:space="preserve"> </w:t>
      </w:r>
      <w:r w:rsidR="00ED33F0" w:rsidRPr="00C50854">
        <w:rPr>
          <w:lang w:eastAsia="et-EE"/>
        </w:rPr>
        <w:t>4</w:t>
      </w:r>
      <w:r w:rsidR="00860F9D" w:rsidRPr="00C50854">
        <w:rPr>
          <w:lang w:eastAsia="et-EE"/>
        </w:rPr>
        <w:t>%</w:t>
      </w:r>
      <w:r w:rsidRPr="00C50854">
        <w:rPr>
          <w:lang w:eastAsia="et-EE"/>
        </w:rPr>
        <w:t>. Kaabellevi tehnoloogia puhul on klientide arv suurenenud</w:t>
      </w:r>
      <w:r w:rsidR="005E641E" w:rsidRPr="00C50854">
        <w:rPr>
          <w:lang w:eastAsia="et-EE"/>
        </w:rPr>
        <w:t xml:space="preserve"> </w:t>
      </w:r>
      <w:r w:rsidR="00ED33F0" w:rsidRPr="00C50854">
        <w:rPr>
          <w:lang w:eastAsia="et-EE"/>
        </w:rPr>
        <w:t>1</w:t>
      </w:r>
      <w:r w:rsidR="00F04005" w:rsidRPr="00C50854">
        <w:rPr>
          <w:lang w:eastAsia="et-EE"/>
        </w:rPr>
        <w:t>%</w:t>
      </w:r>
      <w:r w:rsidRPr="00C50854">
        <w:rPr>
          <w:lang w:eastAsia="et-EE"/>
        </w:rPr>
        <w:t xml:space="preserve">. </w:t>
      </w:r>
      <w:r w:rsidR="009A06E4" w:rsidRPr="00C50854">
        <w:rPr>
          <w:lang w:eastAsia="et-EE"/>
        </w:rPr>
        <w:t>K</w:t>
      </w:r>
      <w:r w:rsidRPr="00C50854">
        <w:rPr>
          <w:lang w:eastAsia="et-EE"/>
        </w:rPr>
        <w:t>lientide arv raadiolahenduse</w:t>
      </w:r>
      <w:r w:rsidR="00B2377D" w:rsidRPr="00C50854">
        <w:rPr>
          <w:lang w:eastAsia="et-EE"/>
        </w:rPr>
        <w:t xml:space="preserve"> </w:t>
      </w:r>
      <w:r w:rsidR="009D21FF" w:rsidRPr="00C50854">
        <w:rPr>
          <w:lang w:eastAsia="et-EE"/>
        </w:rPr>
        <w:t>ning</w:t>
      </w:r>
      <w:r w:rsidR="00B2377D" w:rsidRPr="00C50854">
        <w:rPr>
          <w:lang w:eastAsia="et-EE"/>
        </w:rPr>
        <w:t xml:space="preserve"> </w:t>
      </w:r>
      <w:r w:rsidR="00ED33F0" w:rsidRPr="00C50854">
        <w:rPr>
          <w:lang w:eastAsia="et-EE"/>
        </w:rPr>
        <w:t>„</w:t>
      </w:r>
      <w:r w:rsidRPr="00C50854">
        <w:rPr>
          <w:lang w:eastAsia="et-EE"/>
        </w:rPr>
        <w:t>teiste</w:t>
      </w:r>
      <w:r w:rsidR="00ED33F0" w:rsidRPr="00C50854">
        <w:rPr>
          <w:lang w:eastAsia="et-EE"/>
        </w:rPr>
        <w:t>“</w:t>
      </w:r>
      <w:r w:rsidRPr="00C50854">
        <w:rPr>
          <w:lang w:eastAsia="et-EE"/>
        </w:rPr>
        <w:t xml:space="preserve"> tehnoloogiate osas</w:t>
      </w:r>
      <w:r w:rsidR="003D7642" w:rsidRPr="00C50854">
        <w:rPr>
          <w:lang w:eastAsia="et-EE"/>
        </w:rPr>
        <w:t xml:space="preserve"> ei ole muutust toimunud</w:t>
      </w:r>
      <w:r w:rsidR="009D21FF" w:rsidRPr="00C50854">
        <w:rPr>
          <w:lang w:eastAsia="et-EE"/>
        </w:rPr>
        <w:t>, osakaal on 1%</w:t>
      </w:r>
      <w:r w:rsidRPr="00C50854">
        <w:rPr>
          <w:lang w:eastAsia="et-EE"/>
        </w:rPr>
        <w:t>.</w:t>
      </w:r>
    </w:p>
    <w:p w14:paraId="161899A9" w14:textId="77777777" w:rsidR="00C02AA8" w:rsidRPr="00C50854" w:rsidRDefault="00C02AA8">
      <w:pPr>
        <w:suppressAutoHyphens w:val="0"/>
        <w:rPr>
          <w:lang w:eastAsia="et-EE"/>
        </w:rPr>
      </w:pPr>
      <w:r w:rsidRPr="00C50854">
        <w:rPr>
          <w:lang w:eastAsia="et-EE"/>
        </w:rPr>
        <w:br w:type="page"/>
      </w:r>
    </w:p>
    <w:tbl>
      <w:tblPr>
        <w:tblStyle w:val="Kontuur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72"/>
        <w:gridCol w:w="1134"/>
        <w:gridCol w:w="1418"/>
        <w:gridCol w:w="1275"/>
        <w:gridCol w:w="1124"/>
        <w:gridCol w:w="1276"/>
      </w:tblGrid>
      <w:tr w:rsidR="008674CA" w:rsidRPr="00C50854" w14:paraId="002E750F" w14:textId="77777777" w:rsidTr="00EC181A">
        <w:trPr>
          <w:trHeight w:val="235"/>
        </w:trPr>
        <w:tc>
          <w:tcPr>
            <w:tcW w:w="2972" w:type="dxa"/>
            <w:shd w:val="clear" w:color="auto" w:fill="CCFFCC"/>
            <w:noWrap/>
            <w:hideMark/>
          </w:tcPr>
          <w:p w14:paraId="7BFED4D6" w14:textId="77777777" w:rsidR="008674CA" w:rsidRPr="00C50854" w:rsidRDefault="008674CA" w:rsidP="008674CA">
            <w:pPr>
              <w:suppressAutoHyphens w:val="0"/>
              <w:rPr>
                <w:rFonts w:ascii="Times New Roman" w:hAnsi="Times New Roman"/>
                <w:b/>
                <w:bCs/>
                <w:color w:val="000000"/>
                <w:sz w:val="20"/>
                <w:szCs w:val="20"/>
                <w:lang w:eastAsia="et-EE"/>
              </w:rPr>
            </w:pPr>
          </w:p>
        </w:tc>
        <w:tc>
          <w:tcPr>
            <w:tcW w:w="1134" w:type="dxa"/>
            <w:shd w:val="clear" w:color="auto" w:fill="CCFFCC"/>
            <w:noWrap/>
            <w:hideMark/>
          </w:tcPr>
          <w:p w14:paraId="55B16B05" w14:textId="2A2290DD" w:rsidR="008674CA" w:rsidRPr="00C50854" w:rsidRDefault="008674CA" w:rsidP="008674CA">
            <w:pPr>
              <w:suppressAutoHyphens w:val="0"/>
              <w:jc w:val="center"/>
              <w:rPr>
                <w:rFonts w:ascii="Times New Roman" w:hAnsi="Times New Roman"/>
                <w:b/>
                <w:bCs/>
                <w:color w:val="000000"/>
                <w:sz w:val="20"/>
                <w:szCs w:val="20"/>
                <w:lang w:eastAsia="et-EE"/>
              </w:rPr>
            </w:pPr>
            <w:r w:rsidRPr="00C50854">
              <w:rPr>
                <w:rFonts w:ascii="Times New Roman" w:hAnsi="Times New Roman"/>
                <w:b/>
                <w:sz w:val="20"/>
                <w:szCs w:val="20"/>
              </w:rPr>
              <w:t>2015</w:t>
            </w:r>
          </w:p>
        </w:tc>
        <w:tc>
          <w:tcPr>
            <w:tcW w:w="1418" w:type="dxa"/>
            <w:shd w:val="clear" w:color="auto" w:fill="CCFFCC"/>
            <w:noWrap/>
            <w:hideMark/>
          </w:tcPr>
          <w:p w14:paraId="12638BFD" w14:textId="565B4D0E" w:rsidR="008674CA" w:rsidRPr="00C50854" w:rsidRDefault="008674CA" w:rsidP="008674CA">
            <w:pPr>
              <w:suppressAutoHyphens w:val="0"/>
              <w:jc w:val="center"/>
              <w:rPr>
                <w:rFonts w:ascii="Times New Roman" w:hAnsi="Times New Roman"/>
                <w:b/>
                <w:bCs/>
                <w:color w:val="000000"/>
                <w:sz w:val="20"/>
                <w:szCs w:val="20"/>
                <w:lang w:eastAsia="et-EE"/>
              </w:rPr>
            </w:pPr>
            <w:r w:rsidRPr="00C50854">
              <w:rPr>
                <w:rFonts w:ascii="Times New Roman" w:hAnsi="Times New Roman"/>
                <w:b/>
                <w:sz w:val="20"/>
                <w:szCs w:val="20"/>
              </w:rPr>
              <w:t>2016</w:t>
            </w:r>
          </w:p>
        </w:tc>
        <w:tc>
          <w:tcPr>
            <w:tcW w:w="1275" w:type="dxa"/>
            <w:shd w:val="clear" w:color="auto" w:fill="CCFFCC"/>
            <w:noWrap/>
            <w:hideMark/>
          </w:tcPr>
          <w:p w14:paraId="0FFE3557" w14:textId="5290D80F" w:rsidR="008674CA" w:rsidRPr="00C50854" w:rsidRDefault="008674CA" w:rsidP="008674CA">
            <w:pPr>
              <w:suppressAutoHyphens w:val="0"/>
              <w:jc w:val="center"/>
              <w:rPr>
                <w:rFonts w:ascii="Times New Roman" w:hAnsi="Times New Roman"/>
                <w:b/>
                <w:bCs/>
                <w:color w:val="000000"/>
                <w:sz w:val="20"/>
                <w:szCs w:val="20"/>
                <w:lang w:eastAsia="et-EE"/>
              </w:rPr>
            </w:pPr>
            <w:r w:rsidRPr="00C50854">
              <w:rPr>
                <w:rFonts w:ascii="Times New Roman" w:hAnsi="Times New Roman"/>
                <w:b/>
                <w:sz w:val="20"/>
                <w:szCs w:val="20"/>
              </w:rPr>
              <w:t>2017</w:t>
            </w:r>
          </w:p>
        </w:tc>
        <w:tc>
          <w:tcPr>
            <w:tcW w:w="1124" w:type="dxa"/>
            <w:shd w:val="clear" w:color="auto" w:fill="CCFFCC"/>
            <w:noWrap/>
            <w:hideMark/>
          </w:tcPr>
          <w:p w14:paraId="26510893" w14:textId="194A8C3F" w:rsidR="008674CA" w:rsidRPr="00C50854" w:rsidRDefault="008674CA" w:rsidP="008674CA">
            <w:pPr>
              <w:suppressAutoHyphens w:val="0"/>
              <w:jc w:val="center"/>
              <w:rPr>
                <w:rFonts w:ascii="Times New Roman" w:hAnsi="Times New Roman"/>
                <w:b/>
                <w:bCs/>
                <w:color w:val="000000"/>
                <w:sz w:val="20"/>
                <w:szCs w:val="20"/>
                <w:lang w:eastAsia="et-EE"/>
              </w:rPr>
            </w:pPr>
            <w:r w:rsidRPr="00C50854">
              <w:rPr>
                <w:rFonts w:ascii="Times New Roman" w:hAnsi="Times New Roman"/>
                <w:b/>
                <w:sz w:val="20"/>
                <w:szCs w:val="20"/>
              </w:rPr>
              <w:t>2018</w:t>
            </w:r>
          </w:p>
        </w:tc>
        <w:tc>
          <w:tcPr>
            <w:tcW w:w="1276" w:type="dxa"/>
            <w:shd w:val="clear" w:color="auto" w:fill="CCFFCC"/>
            <w:noWrap/>
            <w:hideMark/>
          </w:tcPr>
          <w:p w14:paraId="0DC2AB33" w14:textId="15D770A6" w:rsidR="008674CA" w:rsidRPr="00C50854" w:rsidRDefault="008674CA" w:rsidP="008674CA">
            <w:pPr>
              <w:suppressAutoHyphens w:val="0"/>
              <w:jc w:val="center"/>
              <w:rPr>
                <w:rFonts w:ascii="Times New Roman" w:hAnsi="Times New Roman"/>
                <w:b/>
                <w:bCs/>
                <w:color w:val="000000"/>
                <w:sz w:val="20"/>
                <w:szCs w:val="20"/>
                <w:lang w:eastAsia="et-EE"/>
              </w:rPr>
            </w:pPr>
            <w:r w:rsidRPr="00C50854">
              <w:rPr>
                <w:rFonts w:ascii="Times New Roman" w:hAnsi="Times New Roman"/>
                <w:b/>
                <w:sz w:val="20"/>
                <w:szCs w:val="20"/>
              </w:rPr>
              <w:t xml:space="preserve"> I </w:t>
            </w:r>
            <w:proofErr w:type="spellStart"/>
            <w:r w:rsidRPr="00C50854">
              <w:rPr>
                <w:rFonts w:ascii="Times New Roman" w:hAnsi="Times New Roman"/>
                <w:b/>
                <w:sz w:val="20"/>
                <w:szCs w:val="20"/>
              </w:rPr>
              <w:t>pa</w:t>
            </w:r>
            <w:proofErr w:type="spellEnd"/>
            <w:r w:rsidRPr="00C50854">
              <w:rPr>
                <w:rFonts w:ascii="Times New Roman" w:hAnsi="Times New Roman"/>
                <w:b/>
                <w:sz w:val="20"/>
                <w:szCs w:val="20"/>
              </w:rPr>
              <w:t xml:space="preserve"> 2019</w:t>
            </w:r>
          </w:p>
        </w:tc>
      </w:tr>
      <w:tr w:rsidR="00713E88" w:rsidRPr="00C50854" w14:paraId="076F90DF" w14:textId="77777777" w:rsidTr="00EC181A">
        <w:trPr>
          <w:trHeight w:val="266"/>
        </w:trPr>
        <w:tc>
          <w:tcPr>
            <w:tcW w:w="2972" w:type="dxa"/>
            <w:noWrap/>
            <w:hideMark/>
          </w:tcPr>
          <w:p w14:paraId="114D7667" w14:textId="58A53824" w:rsidR="00713E88" w:rsidRPr="00C50854" w:rsidRDefault="00713E88" w:rsidP="00713E88">
            <w:pPr>
              <w:rPr>
                <w:rFonts w:ascii="Times New Roman" w:hAnsi="Times New Roman"/>
                <w:b/>
                <w:sz w:val="20"/>
                <w:szCs w:val="20"/>
              </w:rPr>
            </w:pPr>
            <w:r w:rsidRPr="00C50854">
              <w:rPr>
                <w:rFonts w:ascii="Times New Roman" w:hAnsi="Times New Roman"/>
                <w:b/>
                <w:sz w:val="20"/>
                <w:szCs w:val="20"/>
              </w:rPr>
              <w:t>xDSL (vaskpaaril põhinev võrk)</w:t>
            </w:r>
          </w:p>
        </w:tc>
        <w:tc>
          <w:tcPr>
            <w:tcW w:w="1134" w:type="dxa"/>
            <w:noWrap/>
            <w:hideMark/>
          </w:tcPr>
          <w:p w14:paraId="70213FB6" w14:textId="4F9C9FC7"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23%</w:t>
            </w:r>
          </w:p>
        </w:tc>
        <w:tc>
          <w:tcPr>
            <w:tcW w:w="1418" w:type="dxa"/>
            <w:noWrap/>
            <w:hideMark/>
          </w:tcPr>
          <w:p w14:paraId="46962D24" w14:textId="11BB90F1"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24%</w:t>
            </w:r>
          </w:p>
        </w:tc>
        <w:tc>
          <w:tcPr>
            <w:tcW w:w="1275" w:type="dxa"/>
            <w:noWrap/>
            <w:hideMark/>
          </w:tcPr>
          <w:p w14:paraId="0A4E9A05" w14:textId="6E95F6B9"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22%</w:t>
            </w:r>
          </w:p>
        </w:tc>
        <w:tc>
          <w:tcPr>
            <w:tcW w:w="1124" w:type="dxa"/>
            <w:noWrap/>
            <w:hideMark/>
          </w:tcPr>
          <w:p w14:paraId="0477606D" w14:textId="1738BA39" w:rsidR="00713E88" w:rsidRPr="00C50854" w:rsidRDefault="00713E88" w:rsidP="00713E88">
            <w:pPr>
              <w:jc w:val="center"/>
              <w:rPr>
                <w:rFonts w:ascii="Times New Roman" w:hAnsi="Times New Roman"/>
                <w:sz w:val="20"/>
                <w:szCs w:val="20"/>
              </w:rPr>
            </w:pPr>
            <w:r w:rsidRPr="00C50854">
              <w:rPr>
                <w:rFonts w:ascii="Times New Roman" w:hAnsi="Times New Roman"/>
                <w:sz w:val="20"/>
                <w:szCs w:val="20"/>
              </w:rPr>
              <w:t>20%</w:t>
            </w:r>
          </w:p>
        </w:tc>
        <w:tc>
          <w:tcPr>
            <w:tcW w:w="1276" w:type="dxa"/>
            <w:noWrap/>
            <w:hideMark/>
          </w:tcPr>
          <w:p w14:paraId="72BAE852" w14:textId="7F1A275E" w:rsidR="00713E88" w:rsidRPr="00C50854" w:rsidRDefault="00713E88" w:rsidP="00713E88">
            <w:pPr>
              <w:jc w:val="center"/>
              <w:rPr>
                <w:rFonts w:ascii="Times New Roman" w:hAnsi="Times New Roman"/>
                <w:sz w:val="20"/>
                <w:szCs w:val="20"/>
              </w:rPr>
            </w:pPr>
            <w:r w:rsidRPr="00C50854">
              <w:rPr>
                <w:rFonts w:ascii="Times New Roman" w:hAnsi="Times New Roman"/>
                <w:sz w:val="20"/>
                <w:szCs w:val="20"/>
              </w:rPr>
              <w:t>19%</w:t>
            </w:r>
          </w:p>
        </w:tc>
      </w:tr>
      <w:tr w:rsidR="00713E88" w:rsidRPr="00C50854" w14:paraId="5AE14591" w14:textId="77777777" w:rsidTr="00EC181A">
        <w:trPr>
          <w:trHeight w:val="269"/>
        </w:trPr>
        <w:tc>
          <w:tcPr>
            <w:tcW w:w="2972" w:type="dxa"/>
            <w:noWrap/>
            <w:hideMark/>
          </w:tcPr>
          <w:p w14:paraId="5E1570E2" w14:textId="1C43CC0E" w:rsidR="00713E88" w:rsidRPr="00C50854" w:rsidRDefault="00564D8C" w:rsidP="00713E88">
            <w:pPr>
              <w:rPr>
                <w:rFonts w:ascii="Times New Roman" w:hAnsi="Times New Roman"/>
                <w:b/>
                <w:sz w:val="20"/>
                <w:szCs w:val="20"/>
              </w:rPr>
            </w:pPr>
            <w:r w:rsidRPr="00C50854">
              <w:rPr>
                <w:rFonts w:ascii="Times New Roman" w:hAnsi="Times New Roman"/>
                <w:b/>
                <w:sz w:val="20"/>
                <w:szCs w:val="20"/>
              </w:rPr>
              <w:t>Kaabellevivõrk</w:t>
            </w:r>
          </w:p>
        </w:tc>
        <w:tc>
          <w:tcPr>
            <w:tcW w:w="1134" w:type="dxa"/>
            <w:noWrap/>
            <w:hideMark/>
          </w:tcPr>
          <w:p w14:paraId="304AD285" w14:textId="010FC711"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14%</w:t>
            </w:r>
          </w:p>
        </w:tc>
        <w:tc>
          <w:tcPr>
            <w:tcW w:w="1418" w:type="dxa"/>
            <w:noWrap/>
            <w:hideMark/>
          </w:tcPr>
          <w:p w14:paraId="417B129B" w14:textId="29C4DE69"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15%</w:t>
            </w:r>
          </w:p>
        </w:tc>
        <w:tc>
          <w:tcPr>
            <w:tcW w:w="1275" w:type="dxa"/>
            <w:noWrap/>
            <w:hideMark/>
          </w:tcPr>
          <w:p w14:paraId="2985996E" w14:textId="389462D8"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16%</w:t>
            </w:r>
          </w:p>
        </w:tc>
        <w:tc>
          <w:tcPr>
            <w:tcW w:w="1124" w:type="dxa"/>
            <w:noWrap/>
            <w:hideMark/>
          </w:tcPr>
          <w:p w14:paraId="055BD1A1" w14:textId="25D963F7"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15%</w:t>
            </w:r>
          </w:p>
        </w:tc>
        <w:tc>
          <w:tcPr>
            <w:tcW w:w="1276" w:type="dxa"/>
            <w:noWrap/>
            <w:hideMark/>
          </w:tcPr>
          <w:p w14:paraId="2E85B799" w14:textId="73DCAD57"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15%</w:t>
            </w:r>
          </w:p>
        </w:tc>
      </w:tr>
      <w:tr w:rsidR="00713E88" w:rsidRPr="00C50854" w14:paraId="53D6AE0F" w14:textId="77777777" w:rsidTr="00EC181A">
        <w:trPr>
          <w:trHeight w:val="260"/>
        </w:trPr>
        <w:tc>
          <w:tcPr>
            <w:tcW w:w="2972" w:type="dxa"/>
            <w:noWrap/>
            <w:hideMark/>
          </w:tcPr>
          <w:p w14:paraId="0F36B57A" w14:textId="697075E9" w:rsidR="00713E88" w:rsidRPr="00C50854" w:rsidRDefault="009274F8" w:rsidP="00713E88">
            <w:pPr>
              <w:rPr>
                <w:rFonts w:ascii="Times New Roman" w:hAnsi="Times New Roman"/>
                <w:b/>
                <w:sz w:val="20"/>
                <w:szCs w:val="20"/>
              </w:rPr>
            </w:pPr>
            <w:r w:rsidRPr="00C50854">
              <w:rPr>
                <w:rFonts w:ascii="Times New Roman" w:hAnsi="Times New Roman"/>
                <w:b/>
                <w:sz w:val="20"/>
                <w:szCs w:val="20"/>
              </w:rPr>
              <w:t>Valguskaabel</w:t>
            </w:r>
          </w:p>
        </w:tc>
        <w:tc>
          <w:tcPr>
            <w:tcW w:w="1134" w:type="dxa"/>
            <w:noWrap/>
            <w:hideMark/>
          </w:tcPr>
          <w:p w14:paraId="72011039" w14:textId="46BA9F1E"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22%</w:t>
            </w:r>
          </w:p>
        </w:tc>
        <w:tc>
          <w:tcPr>
            <w:tcW w:w="1418" w:type="dxa"/>
            <w:noWrap/>
            <w:hideMark/>
          </w:tcPr>
          <w:p w14:paraId="2DD8525E" w14:textId="74CBEF31"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23%</w:t>
            </w:r>
          </w:p>
        </w:tc>
        <w:tc>
          <w:tcPr>
            <w:tcW w:w="1275" w:type="dxa"/>
            <w:noWrap/>
            <w:hideMark/>
          </w:tcPr>
          <w:p w14:paraId="5EDCBD22" w14:textId="46AE3E03"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24%</w:t>
            </w:r>
          </w:p>
        </w:tc>
        <w:tc>
          <w:tcPr>
            <w:tcW w:w="1124" w:type="dxa"/>
            <w:noWrap/>
            <w:hideMark/>
          </w:tcPr>
          <w:p w14:paraId="5550AB26" w14:textId="6CDFE909"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26%</w:t>
            </w:r>
          </w:p>
        </w:tc>
        <w:tc>
          <w:tcPr>
            <w:tcW w:w="1276" w:type="dxa"/>
            <w:noWrap/>
            <w:hideMark/>
          </w:tcPr>
          <w:p w14:paraId="12C2BCEE" w14:textId="2E1CCAA5"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26%</w:t>
            </w:r>
          </w:p>
        </w:tc>
      </w:tr>
      <w:tr w:rsidR="00713E88" w:rsidRPr="00C50854" w14:paraId="27D3833F" w14:textId="77777777" w:rsidTr="00EC181A">
        <w:trPr>
          <w:trHeight w:val="264"/>
        </w:trPr>
        <w:tc>
          <w:tcPr>
            <w:tcW w:w="2972" w:type="dxa"/>
            <w:noWrap/>
            <w:hideMark/>
          </w:tcPr>
          <w:p w14:paraId="6DE046BE" w14:textId="220FFFCF" w:rsidR="00713E88" w:rsidRPr="00C50854" w:rsidRDefault="00713E88" w:rsidP="00713E88">
            <w:pPr>
              <w:rPr>
                <w:rFonts w:ascii="Times New Roman" w:hAnsi="Times New Roman"/>
                <w:b/>
                <w:sz w:val="20"/>
                <w:szCs w:val="20"/>
              </w:rPr>
            </w:pPr>
            <w:r w:rsidRPr="00C50854">
              <w:rPr>
                <w:rFonts w:ascii="Times New Roman" w:hAnsi="Times New Roman"/>
                <w:b/>
                <w:sz w:val="20"/>
                <w:szCs w:val="20"/>
              </w:rPr>
              <w:t xml:space="preserve">FWA </w:t>
            </w:r>
          </w:p>
        </w:tc>
        <w:tc>
          <w:tcPr>
            <w:tcW w:w="1134" w:type="dxa"/>
            <w:noWrap/>
            <w:hideMark/>
          </w:tcPr>
          <w:p w14:paraId="34574871" w14:textId="35A7FF1E"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2%</w:t>
            </w:r>
          </w:p>
        </w:tc>
        <w:tc>
          <w:tcPr>
            <w:tcW w:w="1418" w:type="dxa"/>
            <w:noWrap/>
            <w:hideMark/>
          </w:tcPr>
          <w:p w14:paraId="1382E0EF" w14:textId="6960597B"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1%</w:t>
            </w:r>
          </w:p>
        </w:tc>
        <w:tc>
          <w:tcPr>
            <w:tcW w:w="1275" w:type="dxa"/>
            <w:noWrap/>
            <w:hideMark/>
          </w:tcPr>
          <w:p w14:paraId="1EFBE80C" w14:textId="636E6279"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1%</w:t>
            </w:r>
          </w:p>
        </w:tc>
        <w:tc>
          <w:tcPr>
            <w:tcW w:w="1124" w:type="dxa"/>
            <w:noWrap/>
            <w:hideMark/>
          </w:tcPr>
          <w:p w14:paraId="4101E92E" w14:textId="40CCB594"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1%</w:t>
            </w:r>
          </w:p>
        </w:tc>
        <w:tc>
          <w:tcPr>
            <w:tcW w:w="1276" w:type="dxa"/>
            <w:noWrap/>
            <w:hideMark/>
          </w:tcPr>
          <w:p w14:paraId="015B54DE" w14:textId="35FDE298"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1%</w:t>
            </w:r>
          </w:p>
        </w:tc>
      </w:tr>
      <w:tr w:rsidR="00713E88" w:rsidRPr="00C50854" w14:paraId="6D847481" w14:textId="77777777" w:rsidTr="00EC181A">
        <w:trPr>
          <w:trHeight w:val="267"/>
        </w:trPr>
        <w:tc>
          <w:tcPr>
            <w:tcW w:w="2972" w:type="dxa"/>
            <w:noWrap/>
            <w:hideMark/>
          </w:tcPr>
          <w:p w14:paraId="785EBD02" w14:textId="470543B1" w:rsidR="00713E88" w:rsidRPr="00C50854" w:rsidRDefault="00713E88" w:rsidP="00713E88">
            <w:pPr>
              <w:rPr>
                <w:rFonts w:ascii="Times New Roman" w:hAnsi="Times New Roman"/>
                <w:b/>
                <w:sz w:val="20"/>
                <w:szCs w:val="20"/>
              </w:rPr>
            </w:pPr>
            <w:r w:rsidRPr="00C50854">
              <w:rPr>
                <w:rFonts w:ascii="Times New Roman" w:hAnsi="Times New Roman"/>
                <w:b/>
                <w:sz w:val="20"/>
                <w:szCs w:val="20"/>
              </w:rPr>
              <w:t>Teised lahendused</w:t>
            </w:r>
          </w:p>
        </w:tc>
        <w:tc>
          <w:tcPr>
            <w:tcW w:w="1134" w:type="dxa"/>
            <w:noWrap/>
            <w:hideMark/>
          </w:tcPr>
          <w:p w14:paraId="5FB2A7AC" w14:textId="33D1D7B7"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1%</w:t>
            </w:r>
          </w:p>
        </w:tc>
        <w:tc>
          <w:tcPr>
            <w:tcW w:w="1418" w:type="dxa"/>
            <w:noWrap/>
            <w:hideMark/>
          </w:tcPr>
          <w:p w14:paraId="63D75F07" w14:textId="4AE7DCE5"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0%</w:t>
            </w:r>
          </w:p>
        </w:tc>
        <w:tc>
          <w:tcPr>
            <w:tcW w:w="1275" w:type="dxa"/>
            <w:noWrap/>
            <w:hideMark/>
          </w:tcPr>
          <w:p w14:paraId="58657ECF" w14:textId="483322CF"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1%</w:t>
            </w:r>
          </w:p>
        </w:tc>
        <w:tc>
          <w:tcPr>
            <w:tcW w:w="1124" w:type="dxa"/>
            <w:noWrap/>
            <w:hideMark/>
          </w:tcPr>
          <w:p w14:paraId="48BEC149" w14:textId="4D660EA3"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1%</w:t>
            </w:r>
          </w:p>
        </w:tc>
        <w:tc>
          <w:tcPr>
            <w:tcW w:w="1276" w:type="dxa"/>
            <w:noWrap/>
            <w:hideMark/>
          </w:tcPr>
          <w:p w14:paraId="5909F18C" w14:textId="11835DC7"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1%</w:t>
            </w:r>
          </w:p>
        </w:tc>
      </w:tr>
      <w:tr w:rsidR="00713E88" w:rsidRPr="00C50854" w14:paraId="03204D69" w14:textId="77777777" w:rsidTr="00EC181A">
        <w:trPr>
          <w:trHeight w:val="264"/>
        </w:trPr>
        <w:tc>
          <w:tcPr>
            <w:tcW w:w="2972" w:type="dxa"/>
            <w:noWrap/>
            <w:hideMark/>
          </w:tcPr>
          <w:p w14:paraId="0D76613E" w14:textId="7235FD63" w:rsidR="00713E88" w:rsidRPr="00C50854" w:rsidRDefault="00713E88" w:rsidP="00713E88">
            <w:pPr>
              <w:rPr>
                <w:rFonts w:ascii="Times New Roman" w:hAnsi="Times New Roman"/>
                <w:b/>
                <w:sz w:val="20"/>
                <w:szCs w:val="20"/>
              </w:rPr>
            </w:pPr>
            <w:r w:rsidRPr="00C50854">
              <w:rPr>
                <w:rFonts w:ascii="Times New Roman" w:hAnsi="Times New Roman"/>
                <w:b/>
                <w:sz w:val="20"/>
                <w:szCs w:val="20"/>
              </w:rPr>
              <w:t>Mobiilne lairiba</w:t>
            </w:r>
          </w:p>
        </w:tc>
        <w:tc>
          <w:tcPr>
            <w:tcW w:w="1134" w:type="dxa"/>
            <w:noWrap/>
            <w:hideMark/>
          </w:tcPr>
          <w:p w14:paraId="0C757EDD" w14:textId="66953F58"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38%</w:t>
            </w:r>
          </w:p>
        </w:tc>
        <w:tc>
          <w:tcPr>
            <w:tcW w:w="1418" w:type="dxa"/>
            <w:noWrap/>
            <w:hideMark/>
          </w:tcPr>
          <w:p w14:paraId="1290AA59" w14:textId="1C6F2690"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37%</w:t>
            </w:r>
          </w:p>
        </w:tc>
        <w:tc>
          <w:tcPr>
            <w:tcW w:w="1275" w:type="dxa"/>
            <w:noWrap/>
            <w:hideMark/>
          </w:tcPr>
          <w:p w14:paraId="52E3C570" w14:textId="4E0503CE"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37%</w:t>
            </w:r>
          </w:p>
        </w:tc>
        <w:tc>
          <w:tcPr>
            <w:tcW w:w="1124" w:type="dxa"/>
            <w:noWrap/>
            <w:hideMark/>
          </w:tcPr>
          <w:p w14:paraId="071A40DE" w14:textId="2CE8CA35"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37%</w:t>
            </w:r>
          </w:p>
        </w:tc>
        <w:tc>
          <w:tcPr>
            <w:tcW w:w="1276" w:type="dxa"/>
            <w:noWrap/>
            <w:hideMark/>
          </w:tcPr>
          <w:p w14:paraId="15373CB3" w14:textId="1D2C5D3C" w:rsidR="00713E88" w:rsidRPr="00C50854" w:rsidRDefault="00713E88" w:rsidP="00713E88">
            <w:pPr>
              <w:jc w:val="center"/>
              <w:rPr>
                <w:rFonts w:ascii="Times New Roman" w:hAnsi="Times New Roman"/>
                <w:sz w:val="20"/>
                <w:szCs w:val="20"/>
                <w:lang w:eastAsia="et-EE"/>
              </w:rPr>
            </w:pPr>
            <w:r w:rsidRPr="00C50854">
              <w:rPr>
                <w:rFonts w:ascii="Times New Roman" w:hAnsi="Times New Roman"/>
                <w:sz w:val="20"/>
                <w:szCs w:val="20"/>
              </w:rPr>
              <w:t>38%</w:t>
            </w:r>
          </w:p>
        </w:tc>
      </w:tr>
      <w:tr w:rsidR="008674CA" w:rsidRPr="00C50854" w14:paraId="0DE16FD3" w14:textId="77777777" w:rsidTr="00EC181A">
        <w:trPr>
          <w:trHeight w:val="50"/>
        </w:trPr>
        <w:tc>
          <w:tcPr>
            <w:tcW w:w="2972" w:type="dxa"/>
            <w:noWrap/>
            <w:hideMark/>
          </w:tcPr>
          <w:p w14:paraId="09467955" w14:textId="77777777" w:rsidR="008674CA" w:rsidRPr="00C50854" w:rsidRDefault="008674CA" w:rsidP="008674CA">
            <w:pPr>
              <w:rPr>
                <w:rFonts w:ascii="Times New Roman" w:hAnsi="Times New Roman"/>
                <w:b/>
                <w:sz w:val="20"/>
                <w:szCs w:val="20"/>
                <w:lang w:eastAsia="et-EE"/>
              </w:rPr>
            </w:pPr>
            <w:r w:rsidRPr="00C50854">
              <w:rPr>
                <w:rFonts w:ascii="Times New Roman" w:hAnsi="Times New Roman"/>
                <w:b/>
                <w:sz w:val="20"/>
                <w:szCs w:val="20"/>
                <w:lang w:eastAsia="et-EE"/>
              </w:rPr>
              <w:t>Kokku</w:t>
            </w:r>
          </w:p>
        </w:tc>
        <w:tc>
          <w:tcPr>
            <w:tcW w:w="1134" w:type="dxa"/>
            <w:noWrap/>
            <w:hideMark/>
          </w:tcPr>
          <w:p w14:paraId="52516953" w14:textId="218DA55C" w:rsidR="008674CA" w:rsidRPr="00C50854" w:rsidRDefault="008674CA" w:rsidP="008674CA">
            <w:pPr>
              <w:jc w:val="center"/>
              <w:rPr>
                <w:rFonts w:ascii="Times New Roman" w:hAnsi="Times New Roman"/>
                <w:sz w:val="20"/>
                <w:szCs w:val="20"/>
                <w:lang w:eastAsia="et-EE"/>
              </w:rPr>
            </w:pPr>
            <w:r w:rsidRPr="00C50854">
              <w:rPr>
                <w:rFonts w:ascii="Times New Roman" w:hAnsi="Times New Roman"/>
                <w:sz w:val="20"/>
                <w:szCs w:val="20"/>
              </w:rPr>
              <w:t>100%</w:t>
            </w:r>
          </w:p>
        </w:tc>
        <w:tc>
          <w:tcPr>
            <w:tcW w:w="1418" w:type="dxa"/>
            <w:noWrap/>
            <w:hideMark/>
          </w:tcPr>
          <w:p w14:paraId="18427849" w14:textId="69E18F58" w:rsidR="008674CA" w:rsidRPr="00C50854" w:rsidRDefault="008674CA" w:rsidP="008674CA">
            <w:pPr>
              <w:jc w:val="center"/>
              <w:rPr>
                <w:rFonts w:ascii="Times New Roman" w:hAnsi="Times New Roman"/>
                <w:sz w:val="20"/>
                <w:szCs w:val="20"/>
                <w:lang w:eastAsia="et-EE"/>
              </w:rPr>
            </w:pPr>
            <w:r w:rsidRPr="00C50854">
              <w:rPr>
                <w:rFonts w:ascii="Times New Roman" w:hAnsi="Times New Roman"/>
                <w:sz w:val="20"/>
                <w:szCs w:val="20"/>
              </w:rPr>
              <w:t>100%</w:t>
            </w:r>
          </w:p>
        </w:tc>
        <w:tc>
          <w:tcPr>
            <w:tcW w:w="1275" w:type="dxa"/>
            <w:noWrap/>
            <w:hideMark/>
          </w:tcPr>
          <w:p w14:paraId="490D47E9" w14:textId="2C63CEB3" w:rsidR="008674CA" w:rsidRPr="00C50854" w:rsidRDefault="008674CA" w:rsidP="008674CA">
            <w:pPr>
              <w:jc w:val="center"/>
              <w:rPr>
                <w:rFonts w:ascii="Times New Roman" w:hAnsi="Times New Roman"/>
                <w:sz w:val="20"/>
                <w:szCs w:val="20"/>
                <w:lang w:eastAsia="et-EE"/>
              </w:rPr>
            </w:pPr>
            <w:r w:rsidRPr="00C50854">
              <w:rPr>
                <w:rFonts w:ascii="Times New Roman" w:hAnsi="Times New Roman"/>
                <w:sz w:val="20"/>
                <w:szCs w:val="20"/>
              </w:rPr>
              <w:t>100%</w:t>
            </w:r>
          </w:p>
        </w:tc>
        <w:tc>
          <w:tcPr>
            <w:tcW w:w="1124" w:type="dxa"/>
            <w:noWrap/>
            <w:hideMark/>
          </w:tcPr>
          <w:p w14:paraId="1D8C82C0" w14:textId="1325C347" w:rsidR="008674CA" w:rsidRPr="00C50854" w:rsidRDefault="008674CA" w:rsidP="008674CA">
            <w:pPr>
              <w:jc w:val="center"/>
              <w:rPr>
                <w:rFonts w:ascii="Times New Roman" w:hAnsi="Times New Roman"/>
                <w:sz w:val="20"/>
                <w:szCs w:val="20"/>
                <w:lang w:eastAsia="et-EE"/>
              </w:rPr>
            </w:pPr>
            <w:r w:rsidRPr="00C50854">
              <w:rPr>
                <w:rFonts w:ascii="Times New Roman" w:hAnsi="Times New Roman"/>
                <w:sz w:val="20"/>
                <w:szCs w:val="20"/>
              </w:rPr>
              <w:t>100%</w:t>
            </w:r>
          </w:p>
        </w:tc>
        <w:tc>
          <w:tcPr>
            <w:tcW w:w="1276" w:type="dxa"/>
            <w:noWrap/>
            <w:hideMark/>
          </w:tcPr>
          <w:p w14:paraId="3280AFB5" w14:textId="51E4CA0C" w:rsidR="008674CA" w:rsidRPr="00C50854" w:rsidRDefault="008674CA" w:rsidP="008674CA">
            <w:pPr>
              <w:jc w:val="center"/>
              <w:rPr>
                <w:rFonts w:ascii="Times New Roman" w:hAnsi="Times New Roman"/>
                <w:sz w:val="20"/>
                <w:szCs w:val="20"/>
                <w:lang w:eastAsia="et-EE"/>
              </w:rPr>
            </w:pPr>
            <w:r w:rsidRPr="00C50854">
              <w:rPr>
                <w:rFonts w:ascii="Times New Roman" w:hAnsi="Times New Roman"/>
                <w:sz w:val="20"/>
                <w:szCs w:val="20"/>
              </w:rPr>
              <w:t>100%</w:t>
            </w:r>
          </w:p>
        </w:tc>
      </w:tr>
    </w:tbl>
    <w:p w14:paraId="0C8E76AE" w14:textId="1D019B71" w:rsidR="003A4A77" w:rsidRPr="00C50854" w:rsidRDefault="003A4A77" w:rsidP="003A4A77">
      <w:pPr>
        <w:pStyle w:val="Pealdis"/>
        <w:keepNext/>
        <w:rPr>
          <w:b w:val="0"/>
          <w:bCs w:val="0"/>
          <w:lang w:eastAsia="et-EE"/>
        </w:rPr>
      </w:pPr>
      <w:r w:rsidRPr="00C50854">
        <w:t xml:space="preserve">Tabel </w:t>
      </w:r>
      <w:fldSimple w:instr=" SEQ Tabel \* ARABIC ">
        <w:r w:rsidR="00D24389" w:rsidRPr="00C50854">
          <w:rPr>
            <w:noProof/>
          </w:rPr>
          <w:t>5</w:t>
        </w:r>
      </w:fldSimple>
      <w:r w:rsidR="00FF7853" w:rsidRPr="00C50854">
        <w:rPr>
          <w:noProof/>
        </w:rPr>
        <w:t>.</w:t>
      </w:r>
      <w:r w:rsidRPr="00C50854">
        <w:rPr>
          <w:b w:val="0"/>
        </w:rPr>
        <w:t xml:space="preserve"> </w:t>
      </w:r>
      <w:r w:rsidRPr="00C50854">
        <w:rPr>
          <w:b w:val="0"/>
          <w:bCs w:val="0"/>
          <w:lang w:eastAsia="et-EE"/>
        </w:rPr>
        <w:t xml:space="preserve"> Interneti </w:t>
      </w:r>
      <w:r w:rsidR="009A06E4" w:rsidRPr="00C50854">
        <w:rPr>
          <w:b w:val="0"/>
          <w:bCs w:val="0"/>
          <w:lang w:eastAsia="et-EE"/>
        </w:rPr>
        <w:t>jae</w:t>
      </w:r>
      <w:r w:rsidRPr="00C50854">
        <w:rPr>
          <w:b w:val="0"/>
          <w:bCs w:val="0"/>
          <w:lang w:eastAsia="et-EE"/>
        </w:rPr>
        <w:t xml:space="preserve">teenuse </w:t>
      </w:r>
      <w:r w:rsidR="00F57059" w:rsidRPr="00C50854">
        <w:rPr>
          <w:b w:val="0"/>
          <w:bCs w:val="0"/>
          <w:lang w:eastAsia="et-EE"/>
        </w:rPr>
        <w:t>lõppkasutaja</w:t>
      </w:r>
      <w:r w:rsidRPr="00C50854">
        <w:rPr>
          <w:b w:val="0"/>
          <w:bCs w:val="0"/>
          <w:lang w:eastAsia="et-EE"/>
        </w:rPr>
        <w:t>te jagunemine tehnilise osutamisviisi osakaalude järgi 201</w:t>
      </w:r>
      <w:r w:rsidR="005C0537" w:rsidRPr="00C50854">
        <w:rPr>
          <w:b w:val="0"/>
          <w:bCs w:val="0"/>
          <w:lang w:eastAsia="et-EE"/>
        </w:rPr>
        <w:t>5</w:t>
      </w:r>
      <w:r w:rsidRPr="00C50854">
        <w:rPr>
          <w:b w:val="0"/>
          <w:bCs w:val="0"/>
          <w:lang w:eastAsia="et-EE"/>
        </w:rPr>
        <w:t>-</w:t>
      </w:r>
      <w:r w:rsidR="005C0537" w:rsidRPr="00C50854">
        <w:rPr>
          <w:b w:val="0"/>
          <w:bCs w:val="0"/>
          <w:lang w:eastAsia="et-EE"/>
        </w:rPr>
        <w:t xml:space="preserve"> I </w:t>
      </w:r>
      <w:proofErr w:type="spellStart"/>
      <w:r w:rsidR="005C0537" w:rsidRPr="00C50854">
        <w:rPr>
          <w:b w:val="0"/>
          <w:bCs w:val="0"/>
          <w:lang w:eastAsia="et-EE"/>
        </w:rPr>
        <w:t>pa</w:t>
      </w:r>
      <w:proofErr w:type="spellEnd"/>
      <w:r w:rsidR="005C0537" w:rsidRPr="00C50854">
        <w:rPr>
          <w:b w:val="0"/>
          <w:bCs w:val="0"/>
          <w:lang w:eastAsia="et-EE"/>
        </w:rPr>
        <w:t xml:space="preserve"> </w:t>
      </w:r>
      <w:r w:rsidRPr="00C50854">
        <w:rPr>
          <w:b w:val="0"/>
          <w:bCs w:val="0"/>
          <w:lang w:eastAsia="et-EE"/>
        </w:rPr>
        <w:t>201</w:t>
      </w:r>
      <w:r w:rsidR="005C0537" w:rsidRPr="00C50854">
        <w:rPr>
          <w:b w:val="0"/>
          <w:bCs w:val="0"/>
          <w:lang w:eastAsia="et-EE"/>
        </w:rPr>
        <w:t>9</w:t>
      </w:r>
      <w:r w:rsidRPr="00C50854">
        <w:rPr>
          <w:b w:val="0"/>
          <w:bCs w:val="0"/>
          <w:lang w:eastAsia="et-EE"/>
        </w:rPr>
        <w:t xml:space="preserve"> </w:t>
      </w:r>
    </w:p>
    <w:p w14:paraId="5AAC60F8" w14:textId="6DE96D77" w:rsidR="00AE2F98" w:rsidRPr="00C50854" w:rsidRDefault="00AE2F98" w:rsidP="00311E1F">
      <w:pPr>
        <w:numPr>
          <w:ilvl w:val="0"/>
          <w:numId w:val="13"/>
        </w:numPr>
        <w:rPr>
          <w:lang w:eastAsia="et-EE"/>
        </w:rPr>
      </w:pPr>
      <w:r w:rsidRPr="00C50854">
        <w:rPr>
          <w:lang w:eastAsia="et-EE"/>
        </w:rPr>
        <w:t>Võrdluseks on tabelis</w:t>
      </w:r>
      <w:r w:rsidR="009A06E4" w:rsidRPr="00C50854">
        <w:rPr>
          <w:lang w:eastAsia="et-EE"/>
        </w:rPr>
        <w:t xml:space="preserve"> 6</w:t>
      </w:r>
      <w:r w:rsidRPr="00C50854">
        <w:rPr>
          <w:lang w:eastAsia="et-EE"/>
        </w:rPr>
        <w:t xml:space="preserve"> välja toodud mobiilse lairiba </w:t>
      </w:r>
      <w:r w:rsidR="009A06E4" w:rsidRPr="00C50854">
        <w:rPr>
          <w:lang w:eastAsia="et-EE"/>
        </w:rPr>
        <w:t xml:space="preserve">jaeteenuse </w:t>
      </w:r>
      <w:r w:rsidRPr="00C50854">
        <w:rPr>
          <w:lang w:eastAsia="et-EE"/>
        </w:rPr>
        <w:t>kasutajate arv, mis oli 201</w:t>
      </w:r>
      <w:r w:rsidR="005C0537" w:rsidRPr="00C50854">
        <w:rPr>
          <w:lang w:eastAsia="et-EE"/>
        </w:rPr>
        <w:t>9</w:t>
      </w:r>
      <w:r w:rsidRPr="00C50854">
        <w:rPr>
          <w:lang w:eastAsia="et-EE"/>
        </w:rPr>
        <w:t xml:space="preserve"> aasta esimese</w:t>
      </w:r>
      <w:r w:rsidR="005C0537" w:rsidRPr="00C50854">
        <w:rPr>
          <w:lang w:eastAsia="et-EE"/>
        </w:rPr>
        <w:t>l</w:t>
      </w:r>
      <w:r w:rsidRPr="00C50854">
        <w:rPr>
          <w:lang w:eastAsia="et-EE"/>
        </w:rPr>
        <w:t xml:space="preserve"> </w:t>
      </w:r>
      <w:r w:rsidR="005C0537" w:rsidRPr="00C50854">
        <w:rPr>
          <w:lang w:eastAsia="et-EE"/>
        </w:rPr>
        <w:t>poolaastal</w:t>
      </w:r>
      <w:r w:rsidRPr="00C50854">
        <w:rPr>
          <w:lang w:eastAsia="et-EE"/>
        </w:rPr>
        <w:t xml:space="preserve"> üle 2</w:t>
      </w:r>
      <w:r w:rsidR="005C0537" w:rsidRPr="00C50854">
        <w:rPr>
          <w:lang w:eastAsia="et-EE"/>
        </w:rPr>
        <w:t>4</w:t>
      </w:r>
      <w:r w:rsidRPr="00C50854">
        <w:rPr>
          <w:lang w:eastAsia="et-EE"/>
        </w:rPr>
        <w:t>6</w:t>
      </w:r>
      <w:r w:rsidR="008E3917" w:rsidRPr="00C50854">
        <w:rPr>
          <w:lang w:eastAsia="et-EE"/>
        </w:rPr>
        <w:t> 000</w:t>
      </w:r>
      <w:r w:rsidR="00F41DD8" w:rsidRPr="00C50854">
        <w:rPr>
          <w:lang w:eastAsia="et-EE"/>
        </w:rPr>
        <w:t xml:space="preserve"> ning see on suurenenud võrreldes 201</w:t>
      </w:r>
      <w:r w:rsidR="005C0537" w:rsidRPr="00C50854">
        <w:rPr>
          <w:lang w:eastAsia="et-EE"/>
        </w:rPr>
        <w:t>5</w:t>
      </w:r>
      <w:r w:rsidR="00F41DD8" w:rsidRPr="00C50854">
        <w:rPr>
          <w:lang w:eastAsia="et-EE"/>
        </w:rPr>
        <w:t xml:space="preserve">. aastaga </w:t>
      </w:r>
      <w:r w:rsidR="005C0537" w:rsidRPr="00C50854">
        <w:rPr>
          <w:lang w:eastAsia="et-EE"/>
        </w:rPr>
        <w:t>6</w:t>
      </w:r>
      <w:r w:rsidR="00F41DD8" w:rsidRPr="00C50854">
        <w:rPr>
          <w:lang w:eastAsia="et-EE"/>
        </w:rPr>
        <w:t>%.</w:t>
      </w:r>
    </w:p>
    <w:tbl>
      <w:tblPr>
        <w:tblW w:w="9124" w:type="dxa"/>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914"/>
        <w:gridCol w:w="1142"/>
        <w:gridCol w:w="1378"/>
        <w:gridCol w:w="1272"/>
        <w:gridCol w:w="1112"/>
        <w:gridCol w:w="1306"/>
      </w:tblGrid>
      <w:tr w:rsidR="00ED33F0" w:rsidRPr="00C50854" w14:paraId="54DFA23B" w14:textId="77777777" w:rsidTr="004837E6">
        <w:trPr>
          <w:trHeight w:val="258"/>
        </w:trPr>
        <w:tc>
          <w:tcPr>
            <w:tcW w:w="2914" w:type="dxa"/>
            <w:shd w:val="clear" w:color="000000" w:fill="CCFFCC"/>
            <w:noWrap/>
            <w:vAlign w:val="center"/>
            <w:hideMark/>
          </w:tcPr>
          <w:p w14:paraId="7E80886C" w14:textId="77777777" w:rsidR="00ED33F0" w:rsidRPr="00C50854" w:rsidRDefault="00ED33F0" w:rsidP="00ED33F0">
            <w:pPr>
              <w:suppressAutoHyphens w:val="0"/>
              <w:rPr>
                <w:b/>
                <w:bCs/>
                <w:color w:val="000000"/>
                <w:sz w:val="20"/>
                <w:szCs w:val="20"/>
                <w:lang w:eastAsia="et-EE"/>
              </w:rPr>
            </w:pPr>
            <w:r w:rsidRPr="00C50854">
              <w:rPr>
                <w:b/>
                <w:bCs/>
                <w:color w:val="000000"/>
                <w:sz w:val="20"/>
                <w:szCs w:val="20"/>
                <w:lang w:eastAsia="et-EE"/>
              </w:rPr>
              <w:t> </w:t>
            </w:r>
          </w:p>
        </w:tc>
        <w:tc>
          <w:tcPr>
            <w:tcW w:w="1142" w:type="dxa"/>
            <w:shd w:val="clear" w:color="000000" w:fill="CCFFCC"/>
            <w:noWrap/>
            <w:hideMark/>
          </w:tcPr>
          <w:p w14:paraId="23FE9019" w14:textId="4028437C" w:rsidR="00ED33F0" w:rsidRPr="00C50854" w:rsidRDefault="00ED33F0" w:rsidP="00ED33F0">
            <w:pPr>
              <w:suppressAutoHyphens w:val="0"/>
              <w:jc w:val="center"/>
              <w:rPr>
                <w:b/>
                <w:bCs/>
                <w:color w:val="000000"/>
                <w:sz w:val="20"/>
                <w:szCs w:val="20"/>
                <w:lang w:eastAsia="et-EE"/>
              </w:rPr>
            </w:pPr>
            <w:r w:rsidRPr="00C50854">
              <w:rPr>
                <w:b/>
                <w:sz w:val="20"/>
                <w:szCs w:val="20"/>
              </w:rPr>
              <w:t>2015</w:t>
            </w:r>
          </w:p>
        </w:tc>
        <w:tc>
          <w:tcPr>
            <w:tcW w:w="1378" w:type="dxa"/>
            <w:shd w:val="clear" w:color="000000" w:fill="CCFFCC"/>
            <w:noWrap/>
            <w:hideMark/>
          </w:tcPr>
          <w:p w14:paraId="77EAC21B" w14:textId="34049E07" w:rsidR="00ED33F0" w:rsidRPr="00C50854" w:rsidRDefault="00ED33F0" w:rsidP="00ED33F0">
            <w:pPr>
              <w:suppressAutoHyphens w:val="0"/>
              <w:jc w:val="center"/>
              <w:rPr>
                <w:b/>
                <w:bCs/>
                <w:color w:val="000000"/>
                <w:sz w:val="20"/>
                <w:szCs w:val="20"/>
                <w:lang w:eastAsia="et-EE"/>
              </w:rPr>
            </w:pPr>
            <w:r w:rsidRPr="00C50854">
              <w:rPr>
                <w:b/>
                <w:sz w:val="20"/>
                <w:szCs w:val="20"/>
              </w:rPr>
              <w:t>2016</w:t>
            </w:r>
          </w:p>
        </w:tc>
        <w:tc>
          <w:tcPr>
            <w:tcW w:w="1272" w:type="dxa"/>
            <w:shd w:val="clear" w:color="000000" w:fill="CCFFCC"/>
            <w:noWrap/>
            <w:hideMark/>
          </w:tcPr>
          <w:p w14:paraId="04257A67" w14:textId="2194FD25" w:rsidR="00ED33F0" w:rsidRPr="00C50854" w:rsidRDefault="00ED33F0" w:rsidP="00ED33F0">
            <w:pPr>
              <w:suppressAutoHyphens w:val="0"/>
              <w:jc w:val="center"/>
              <w:rPr>
                <w:b/>
                <w:bCs/>
                <w:color w:val="000000"/>
                <w:sz w:val="20"/>
                <w:szCs w:val="20"/>
                <w:lang w:eastAsia="et-EE"/>
              </w:rPr>
            </w:pPr>
            <w:r w:rsidRPr="00C50854">
              <w:rPr>
                <w:b/>
                <w:sz w:val="20"/>
                <w:szCs w:val="20"/>
              </w:rPr>
              <w:t>2017</w:t>
            </w:r>
          </w:p>
        </w:tc>
        <w:tc>
          <w:tcPr>
            <w:tcW w:w="1112" w:type="dxa"/>
            <w:shd w:val="clear" w:color="000000" w:fill="CCFFCC"/>
            <w:noWrap/>
            <w:hideMark/>
          </w:tcPr>
          <w:p w14:paraId="2CD566CF" w14:textId="4AD899B7" w:rsidR="00ED33F0" w:rsidRPr="00C50854" w:rsidRDefault="00ED33F0" w:rsidP="00ED33F0">
            <w:pPr>
              <w:suppressAutoHyphens w:val="0"/>
              <w:jc w:val="center"/>
              <w:rPr>
                <w:b/>
                <w:bCs/>
                <w:color w:val="000000"/>
                <w:sz w:val="20"/>
                <w:szCs w:val="20"/>
                <w:lang w:eastAsia="et-EE"/>
              </w:rPr>
            </w:pPr>
            <w:r w:rsidRPr="00C50854">
              <w:rPr>
                <w:b/>
                <w:sz w:val="20"/>
                <w:szCs w:val="20"/>
              </w:rPr>
              <w:t>2018</w:t>
            </w:r>
          </w:p>
        </w:tc>
        <w:tc>
          <w:tcPr>
            <w:tcW w:w="1306" w:type="dxa"/>
            <w:shd w:val="clear" w:color="000000" w:fill="CCFFCC"/>
            <w:noWrap/>
            <w:hideMark/>
          </w:tcPr>
          <w:p w14:paraId="11D5DF2E" w14:textId="5B071579" w:rsidR="00ED33F0" w:rsidRPr="00C50854" w:rsidRDefault="00ED33F0" w:rsidP="00ED33F0">
            <w:pPr>
              <w:suppressAutoHyphens w:val="0"/>
              <w:jc w:val="center"/>
              <w:rPr>
                <w:b/>
                <w:bCs/>
                <w:color w:val="000000"/>
                <w:sz w:val="20"/>
                <w:szCs w:val="20"/>
                <w:lang w:eastAsia="et-EE"/>
              </w:rPr>
            </w:pPr>
            <w:r w:rsidRPr="00C50854">
              <w:rPr>
                <w:b/>
                <w:sz w:val="20"/>
                <w:szCs w:val="20"/>
              </w:rPr>
              <w:t xml:space="preserve"> </w:t>
            </w:r>
            <w:r w:rsidR="009916DC" w:rsidRPr="00C50854">
              <w:rPr>
                <w:b/>
                <w:sz w:val="20"/>
                <w:szCs w:val="20"/>
              </w:rPr>
              <w:t xml:space="preserve">I </w:t>
            </w:r>
            <w:proofErr w:type="spellStart"/>
            <w:r w:rsidR="009916DC" w:rsidRPr="00C50854">
              <w:rPr>
                <w:b/>
                <w:sz w:val="20"/>
                <w:szCs w:val="20"/>
              </w:rPr>
              <w:t>pa</w:t>
            </w:r>
            <w:proofErr w:type="spellEnd"/>
            <w:r w:rsidR="009916DC" w:rsidRPr="00C50854">
              <w:rPr>
                <w:b/>
                <w:sz w:val="20"/>
                <w:szCs w:val="20"/>
              </w:rPr>
              <w:t xml:space="preserve"> 2019</w:t>
            </w:r>
          </w:p>
        </w:tc>
      </w:tr>
      <w:tr w:rsidR="00564D8C" w:rsidRPr="00C50854" w14:paraId="28ED371E" w14:textId="77777777" w:rsidTr="00713E88">
        <w:trPr>
          <w:trHeight w:val="258"/>
        </w:trPr>
        <w:tc>
          <w:tcPr>
            <w:tcW w:w="2914" w:type="dxa"/>
            <w:noWrap/>
            <w:hideMark/>
          </w:tcPr>
          <w:p w14:paraId="225F85F4" w14:textId="39626E8C" w:rsidR="00564D8C" w:rsidRPr="00C50854" w:rsidRDefault="00564D8C" w:rsidP="00564D8C">
            <w:pPr>
              <w:suppressAutoHyphens w:val="0"/>
              <w:rPr>
                <w:b/>
                <w:bCs/>
                <w:sz w:val="20"/>
                <w:szCs w:val="20"/>
                <w:lang w:eastAsia="et-EE"/>
              </w:rPr>
            </w:pPr>
            <w:r w:rsidRPr="00C50854">
              <w:rPr>
                <w:b/>
                <w:sz w:val="20"/>
                <w:szCs w:val="20"/>
              </w:rPr>
              <w:t>xDSL (vaskpaaril põhinev võrk)</w:t>
            </w:r>
          </w:p>
        </w:tc>
        <w:tc>
          <w:tcPr>
            <w:tcW w:w="1142" w:type="dxa"/>
            <w:shd w:val="clear" w:color="auto" w:fill="auto"/>
            <w:noWrap/>
            <w:hideMark/>
          </w:tcPr>
          <w:p w14:paraId="45A2B749" w14:textId="162029FE" w:rsidR="00564D8C" w:rsidRPr="00C50854" w:rsidRDefault="00564D8C" w:rsidP="00564D8C">
            <w:pPr>
              <w:jc w:val="center"/>
              <w:rPr>
                <w:sz w:val="20"/>
                <w:szCs w:val="20"/>
              </w:rPr>
            </w:pPr>
            <w:r w:rsidRPr="00C50854">
              <w:rPr>
                <w:sz w:val="20"/>
                <w:szCs w:val="20"/>
              </w:rPr>
              <w:t>142</w:t>
            </w:r>
          </w:p>
        </w:tc>
        <w:tc>
          <w:tcPr>
            <w:tcW w:w="1378" w:type="dxa"/>
            <w:shd w:val="clear" w:color="auto" w:fill="auto"/>
            <w:noWrap/>
            <w:hideMark/>
          </w:tcPr>
          <w:p w14:paraId="0E5E369A" w14:textId="3ABE17AA" w:rsidR="00564D8C" w:rsidRPr="00C50854" w:rsidRDefault="00564D8C" w:rsidP="00564D8C">
            <w:pPr>
              <w:jc w:val="center"/>
              <w:rPr>
                <w:sz w:val="20"/>
                <w:szCs w:val="20"/>
              </w:rPr>
            </w:pPr>
            <w:r w:rsidRPr="00C50854">
              <w:rPr>
                <w:sz w:val="20"/>
                <w:szCs w:val="20"/>
              </w:rPr>
              <w:t>149</w:t>
            </w:r>
          </w:p>
        </w:tc>
        <w:tc>
          <w:tcPr>
            <w:tcW w:w="1272" w:type="dxa"/>
            <w:shd w:val="clear" w:color="auto" w:fill="auto"/>
            <w:noWrap/>
            <w:hideMark/>
          </w:tcPr>
          <w:p w14:paraId="4F616592" w14:textId="2B0106D8" w:rsidR="00564D8C" w:rsidRPr="00C50854" w:rsidRDefault="00564D8C" w:rsidP="00564D8C">
            <w:pPr>
              <w:jc w:val="center"/>
              <w:rPr>
                <w:sz w:val="20"/>
                <w:szCs w:val="20"/>
              </w:rPr>
            </w:pPr>
            <w:r w:rsidRPr="00C50854">
              <w:rPr>
                <w:sz w:val="20"/>
                <w:szCs w:val="20"/>
              </w:rPr>
              <w:t>136</w:t>
            </w:r>
          </w:p>
        </w:tc>
        <w:tc>
          <w:tcPr>
            <w:tcW w:w="1112" w:type="dxa"/>
            <w:shd w:val="clear" w:color="auto" w:fill="auto"/>
            <w:noWrap/>
            <w:hideMark/>
          </w:tcPr>
          <w:p w14:paraId="668271A5" w14:textId="107C4213" w:rsidR="00564D8C" w:rsidRPr="00C50854" w:rsidRDefault="00564D8C" w:rsidP="00564D8C">
            <w:pPr>
              <w:jc w:val="center"/>
              <w:rPr>
                <w:sz w:val="20"/>
                <w:szCs w:val="20"/>
              </w:rPr>
            </w:pPr>
            <w:r w:rsidRPr="00C50854">
              <w:rPr>
                <w:sz w:val="20"/>
                <w:szCs w:val="20"/>
              </w:rPr>
              <w:t>128</w:t>
            </w:r>
          </w:p>
        </w:tc>
        <w:tc>
          <w:tcPr>
            <w:tcW w:w="1306" w:type="dxa"/>
            <w:shd w:val="clear" w:color="auto" w:fill="auto"/>
            <w:noWrap/>
            <w:hideMark/>
          </w:tcPr>
          <w:p w14:paraId="354EBE74" w14:textId="55CD525B" w:rsidR="00564D8C" w:rsidRPr="00C50854" w:rsidRDefault="00564D8C" w:rsidP="00564D8C">
            <w:pPr>
              <w:jc w:val="center"/>
              <w:rPr>
                <w:sz w:val="20"/>
                <w:szCs w:val="20"/>
              </w:rPr>
            </w:pPr>
            <w:r w:rsidRPr="00C50854">
              <w:rPr>
                <w:sz w:val="20"/>
                <w:szCs w:val="20"/>
              </w:rPr>
              <w:t>121</w:t>
            </w:r>
          </w:p>
        </w:tc>
      </w:tr>
      <w:tr w:rsidR="00564D8C" w:rsidRPr="00C50854" w14:paraId="19621A26" w14:textId="77777777" w:rsidTr="00713E88">
        <w:trPr>
          <w:trHeight w:val="258"/>
        </w:trPr>
        <w:tc>
          <w:tcPr>
            <w:tcW w:w="2914" w:type="dxa"/>
            <w:noWrap/>
            <w:hideMark/>
          </w:tcPr>
          <w:p w14:paraId="2F683E9C" w14:textId="48A43879" w:rsidR="00564D8C" w:rsidRPr="00C50854" w:rsidRDefault="00564D8C" w:rsidP="00564D8C">
            <w:pPr>
              <w:suppressAutoHyphens w:val="0"/>
              <w:rPr>
                <w:b/>
                <w:bCs/>
                <w:sz w:val="20"/>
                <w:szCs w:val="20"/>
                <w:lang w:eastAsia="et-EE"/>
              </w:rPr>
            </w:pPr>
            <w:r w:rsidRPr="00C50854">
              <w:rPr>
                <w:b/>
                <w:sz w:val="20"/>
                <w:szCs w:val="20"/>
              </w:rPr>
              <w:t>Kaabellevivõrk</w:t>
            </w:r>
          </w:p>
        </w:tc>
        <w:tc>
          <w:tcPr>
            <w:tcW w:w="1142" w:type="dxa"/>
            <w:shd w:val="clear" w:color="auto" w:fill="auto"/>
            <w:noWrap/>
            <w:hideMark/>
          </w:tcPr>
          <w:p w14:paraId="4D36AFCD" w14:textId="032100CD" w:rsidR="00564D8C" w:rsidRPr="00C50854" w:rsidRDefault="00564D8C" w:rsidP="00564D8C">
            <w:pPr>
              <w:jc w:val="center"/>
              <w:rPr>
                <w:sz w:val="20"/>
                <w:szCs w:val="20"/>
              </w:rPr>
            </w:pPr>
            <w:r w:rsidRPr="00C50854">
              <w:rPr>
                <w:sz w:val="20"/>
                <w:szCs w:val="20"/>
              </w:rPr>
              <w:t>89</w:t>
            </w:r>
          </w:p>
        </w:tc>
        <w:tc>
          <w:tcPr>
            <w:tcW w:w="1378" w:type="dxa"/>
            <w:shd w:val="clear" w:color="auto" w:fill="auto"/>
            <w:noWrap/>
            <w:hideMark/>
          </w:tcPr>
          <w:p w14:paraId="4603301A" w14:textId="3D661F17" w:rsidR="00564D8C" w:rsidRPr="00C50854" w:rsidRDefault="00564D8C" w:rsidP="00564D8C">
            <w:pPr>
              <w:jc w:val="center"/>
              <w:rPr>
                <w:sz w:val="20"/>
                <w:szCs w:val="20"/>
              </w:rPr>
            </w:pPr>
            <w:r w:rsidRPr="00C50854">
              <w:rPr>
                <w:sz w:val="20"/>
                <w:szCs w:val="20"/>
              </w:rPr>
              <w:t>94</w:t>
            </w:r>
          </w:p>
        </w:tc>
        <w:tc>
          <w:tcPr>
            <w:tcW w:w="1272" w:type="dxa"/>
            <w:shd w:val="clear" w:color="auto" w:fill="auto"/>
            <w:noWrap/>
            <w:hideMark/>
          </w:tcPr>
          <w:p w14:paraId="03592D1E" w14:textId="167EA128" w:rsidR="00564D8C" w:rsidRPr="00C50854" w:rsidRDefault="00564D8C" w:rsidP="00564D8C">
            <w:pPr>
              <w:jc w:val="center"/>
              <w:rPr>
                <w:sz w:val="20"/>
                <w:szCs w:val="20"/>
              </w:rPr>
            </w:pPr>
            <w:r w:rsidRPr="00C50854">
              <w:rPr>
                <w:sz w:val="20"/>
                <w:szCs w:val="20"/>
              </w:rPr>
              <w:t>97</w:t>
            </w:r>
          </w:p>
        </w:tc>
        <w:tc>
          <w:tcPr>
            <w:tcW w:w="1112" w:type="dxa"/>
            <w:shd w:val="clear" w:color="auto" w:fill="auto"/>
            <w:noWrap/>
            <w:hideMark/>
          </w:tcPr>
          <w:p w14:paraId="0F2478F2" w14:textId="7FF42A36" w:rsidR="00564D8C" w:rsidRPr="00C50854" w:rsidRDefault="00564D8C" w:rsidP="00564D8C">
            <w:pPr>
              <w:jc w:val="center"/>
              <w:rPr>
                <w:sz w:val="20"/>
                <w:szCs w:val="20"/>
              </w:rPr>
            </w:pPr>
            <w:r w:rsidRPr="00C50854">
              <w:rPr>
                <w:sz w:val="20"/>
                <w:szCs w:val="20"/>
              </w:rPr>
              <w:t>98</w:t>
            </w:r>
          </w:p>
        </w:tc>
        <w:tc>
          <w:tcPr>
            <w:tcW w:w="1306" w:type="dxa"/>
            <w:shd w:val="clear" w:color="auto" w:fill="auto"/>
            <w:noWrap/>
            <w:hideMark/>
          </w:tcPr>
          <w:p w14:paraId="0540935D" w14:textId="1FBDA414" w:rsidR="00564D8C" w:rsidRPr="00C50854" w:rsidRDefault="00564D8C" w:rsidP="00564D8C">
            <w:pPr>
              <w:jc w:val="center"/>
              <w:rPr>
                <w:sz w:val="20"/>
                <w:szCs w:val="20"/>
              </w:rPr>
            </w:pPr>
            <w:r w:rsidRPr="00C50854">
              <w:rPr>
                <w:sz w:val="20"/>
                <w:szCs w:val="20"/>
              </w:rPr>
              <w:t>96</w:t>
            </w:r>
          </w:p>
        </w:tc>
      </w:tr>
      <w:tr w:rsidR="00564D8C" w:rsidRPr="00C50854" w14:paraId="35A6A558" w14:textId="77777777" w:rsidTr="00713E88">
        <w:trPr>
          <w:trHeight w:val="258"/>
        </w:trPr>
        <w:tc>
          <w:tcPr>
            <w:tcW w:w="2914" w:type="dxa"/>
            <w:noWrap/>
            <w:hideMark/>
          </w:tcPr>
          <w:p w14:paraId="6391E298" w14:textId="1DF37F67" w:rsidR="00564D8C" w:rsidRPr="00C50854" w:rsidRDefault="00564D8C" w:rsidP="00564D8C">
            <w:pPr>
              <w:suppressAutoHyphens w:val="0"/>
              <w:rPr>
                <w:b/>
                <w:bCs/>
                <w:sz w:val="20"/>
                <w:szCs w:val="20"/>
                <w:lang w:eastAsia="et-EE"/>
              </w:rPr>
            </w:pPr>
            <w:r w:rsidRPr="00C50854">
              <w:rPr>
                <w:b/>
                <w:sz w:val="20"/>
                <w:szCs w:val="20"/>
              </w:rPr>
              <w:t>Valguskaabel</w:t>
            </w:r>
          </w:p>
        </w:tc>
        <w:tc>
          <w:tcPr>
            <w:tcW w:w="1142" w:type="dxa"/>
            <w:shd w:val="clear" w:color="auto" w:fill="auto"/>
            <w:noWrap/>
            <w:hideMark/>
          </w:tcPr>
          <w:p w14:paraId="6EAEC34C" w14:textId="7FB3F480" w:rsidR="00564D8C" w:rsidRPr="00C50854" w:rsidRDefault="00564D8C" w:rsidP="00564D8C">
            <w:pPr>
              <w:jc w:val="center"/>
              <w:rPr>
                <w:sz w:val="20"/>
                <w:szCs w:val="20"/>
              </w:rPr>
            </w:pPr>
            <w:r w:rsidRPr="00C50854">
              <w:rPr>
                <w:sz w:val="20"/>
                <w:szCs w:val="20"/>
              </w:rPr>
              <w:t>13</w:t>
            </w:r>
            <w:r w:rsidR="00F53229" w:rsidRPr="00C50854">
              <w:rPr>
                <w:sz w:val="20"/>
                <w:szCs w:val="20"/>
              </w:rPr>
              <w:t>1</w:t>
            </w:r>
          </w:p>
        </w:tc>
        <w:tc>
          <w:tcPr>
            <w:tcW w:w="1378" w:type="dxa"/>
            <w:shd w:val="clear" w:color="auto" w:fill="auto"/>
            <w:noWrap/>
            <w:hideMark/>
          </w:tcPr>
          <w:p w14:paraId="418731E5" w14:textId="78705244" w:rsidR="00564D8C" w:rsidRPr="00C50854" w:rsidRDefault="00564D8C" w:rsidP="00564D8C">
            <w:pPr>
              <w:jc w:val="center"/>
              <w:rPr>
                <w:sz w:val="20"/>
                <w:szCs w:val="20"/>
              </w:rPr>
            </w:pPr>
            <w:r w:rsidRPr="00C50854">
              <w:rPr>
                <w:sz w:val="20"/>
                <w:szCs w:val="20"/>
              </w:rPr>
              <w:t>145</w:t>
            </w:r>
          </w:p>
        </w:tc>
        <w:tc>
          <w:tcPr>
            <w:tcW w:w="1272" w:type="dxa"/>
            <w:shd w:val="clear" w:color="auto" w:fill="auto"/>
            <w:noWrap/>
            <w:hideMark/>
          </w:tcPr>
          <w:p w14:paraId="7A91FE9F" w14:textId="63E23A9C" w:rsidR="00564D8C" w:rsidRPr="00C50854" w:rsidRDefault="00564D8C" w:rsidP="00564D8C">
            <w:pPr>
              <w:jc w:val="center"/>
              <w:rPr>
                <w:sz w:val="20"/>
                <w:szCs w:val="20"/>
              </w:rPr>
            </w:pPr>
            <w:r w:rsidRPr="00C50854">
              <w:rPr>
                <w:sz w:val="20"/>
                <w:szCs w:val="20"/>
              </w:rPr>
              <w:t>150</w:t>
            </w:r>
          </w:p>
        </w:tc>
        <w:tc>
          <w:tcPr>
            <w:tcW w:w="1112" w:type="dxa"/>
            <w:shd w:val="clear" w:color="auto" w:fill="auto"/>
            <w:noWrap/>
            <w:hideMark/>
          </w:tcPr>
          <w:p w14:paraId="4DE21132" w14:textId="05A97190" w:rsidR="00564D8C" w:rsidRPr="00C50854" w:rsidRDefault="00564D8C" w:rsidP="00564D8C">
            <w:pPr>
              <w:jc w:val="center"/>
              <w:rPr>
                <w:sz w:val="20"/>
                <w:szCs w:val="20"/>
              </w:rPr>
            </w:pPr>
            <w:r w:rsidRPr="00C50854">
              <w:rPr>
                <w:sz w:val="20"/>
                <w:szCs w:val="20"/>
              </w:rPr>
              <w:t>162</w:t>
            </w:r>
          </w:p>
        </w:tc>
        <w:tc>
          <w:tcPr>
            <w:tcW w:w="1306" w:type="dxa"/>
            <w:shd w:val="clear" w:color="auto" w:fill="auto"/>
            <w:noWrap/>
            <w:hideMark/>
          </w:tcPr>
          <w:p w14:paraId="74BA99AE" w14:textId="67090962" w:rsidR="00564D8C" w:rsidRPr="00C50854" w:rsidRDefault="00564D8C" w:rsidP="00564D8C">
            <w:pPr>
              <w:jc w:val="center"/>
              <w:rPr>
                <w:sz w:val="20"/>
                <w:szCs w:val="20"/>
              </w:rPr>
            </w:pPr>
            <w:r w:rsidRPr="00C50854">
              <w:rPr>
                <w:sz w:val="20"/>
                <w:szCs w:val="20"/>
              </w:rPr>
              <w:t>170</w:t>
            </w:r>
          </w:p>
        </w:tc>
      </w:tr>
      <w:tr w:rsidR="00564D8C" w:rsidRPr="00C50854" w14:paraId="4E3B8290" w14:textId="77777777" w:rsidTr="00713E88">
        <w:trPr>
          <w:trHeight w:val="258"/>
        </w:trPr>
        <w:tc>
          <w:tcPr>
            <w:tcW w:w="2914" w:type="dxa"/>
            <w:noWrap/>
            <w:hideMark/>
          </w:tcPr>
          <w:p w14:paraId="5521E1A2" w14:textId="2E78D06E" w:rsidR="00564D8C" w:rsidRPr="00C50854" w:rsidRDefault="00564D8C" w:rsidP="00564D8C">
            <w:pPr>
              <w:suppressAutoHyphens w:val="0"/>
              <w:rPr>
                <w:b/>
                <w:bCs/>
                <w:sz w:val="20"/>
                <w:szCs w:val="20"/>
                <w:lang w:eastAsia="et-EE"/>
              </w:rPr>
            </w:pPr>
            <w:r w:rsidRPr="00C50854">
              <w:rPr>
                <w:b/>
                <w:sz w:val="20"/>
                <w:szCs w:val="20"/>
              </w:rPr>
              <w:t xml:space="preserve">FWA </w:t>
            </w:r>
          </w:p>
        </w:tc>
        <w:tc>
          <w:tcPr>
            <w:tcW w:w="1142" w:type="dxa"/>
            <w:shd w:val="clear" w:color="auto" w:fill="auto"/>
            <w:noWrap/>
            <w:hideMark/>
          </w:tcPr>
          <w:p w14:paraId="0FD9D454" w14:textId="35B7D88C" w:rsidR="00564D8C" w:rsidRPr="00C50854" w:rsidRDefault="00F53229" w:rsidP="00564D8C">
            <w:pPr>
              <w:jc w:val="center"/>
              <w:rPr>
                <w:sz w:val="20"/>
                <w:szCs w:val="20"/>
              </w:rPr>
            </w:pPr>
            <w:r w:rsidRPr="00C50854">
              <w:rPr>
                <w:sz w:val="20"/>
                <w:szCs w:val="20"/>
              </w:rPr>
              <w:t>17</w:t>
            </w:r>
          </w:p>
        </w:tc>
        <w:tc>
          <w:tcPr>
            <w:tcW w:w="1378" w:type="dxa"/>
            <w:shd w:val="clear" w:color="auto" w:fill="auto"/>
            <w:noWrap/>
            <w:hideMark/>
          </w:tcPr>
          <w:p w14:paraId="32B35124" w14:textId="31C6E0EA" w:rsidR="00564D8C" w:rsidRPr="00C50854" w:rsidRDefault="00564D8C" w:rsidP="00564D8C">
            <w:pPr>
              <w:jc w:val="center"/>
              <w:rPr>
                <w:sz w:val="20"/>
                <w:szCs w:val="20"/>
              </w:rPr>
            </w:pPr>
            <w:r w:rsidRPr="00C50854">
              <w:rPr>
                <w:sz w:val="20"/>
                <w:szCs w:val="20"/>
              </w:rPr>
              <w:t>8</w:t>
            </w:r>
          </w:p>
        </w:tc>
        <w:tc>
          <w:tcPr>
            <w:tcW w:w="1272" w:type="dxa"/>
            <w:shd w:val="clear" w:color="auto" w:fill="auto"/>
            <w:noWrap/>
            <w:hideMark/>
          </w:tcPr>
          <w:p w14:paraId="243C9584" w14:textId="1FE2E380" w:rsidR="00564D8C" w:rsidRPr="00C50854" w:rsidRDefault="00564D8C" w:rsidP="00564D8C">
            <w:pPr>
              <w:jc w:val="center"/>
              <w:rPr>
                <w:sz w:val="20"/>
                <w:szCs w:val="20"/>
              </w:rPr>
            </w:pPr>
            <w:r w:rsidRPr="00C50854">
              <w:rPr>
                <w:sz w:val="20"/>
                <w:szCs w:val="20"/>
              </w:rPr>
              <w:t>6</w:t>
            </w:r>
          </w:p>
        </w:tc>
        <w:tc>
          <w:tcPr>
            <w:tcW w:w="1112" w:type="dxa"/>
            <w:shd w:val="clear" w:color="auto" w:fill="auto"/>
            <w:noWrap/>
            <w:hideMark/>
          </w:tcPr>
          <w:p w14:paraId="4340AEB6" w14:textId="1997989B" w:rsidR="00564D8C" w:rsidRPr="00C50854" w:rsidRDefault="00564D8C" w:rsidP="00564D8C">
            <w:pPr>
              <w:jc w:val="center"/>
              <w:rPr>
                <w:sz w:val="20"/>
                <w:szCs w:val="20"/>
              </w:rPr>
            </w:pPr>
            <w:r w:rsidRPr="00C50854">
              <w:rPr>
                <w:sz w:val="20"/>
                <w:szCs w:val="20"/>
              </w:rPr>
              <w:t>6</w:t>
            </w:r>
          </w:p>
        </w:tc>
        <w:tc>
          <w:tcPr>
            <w:tcW w:w="1306" w:type="dxa"/>
            <w:shd w:val="clear" w:color="auto" w:fill="auto"/>
            <w:noWrap/>
            <w:hideMark/>
          </w:tcPr>
          <w:p w14:paraId="237B5A14" w14:textId="3A2564DA" w:rsidR="00564D8C" w:rsidRPr="00C50854" w:rsidRDefault="00564D8C" w:rsidP="00564D8C">
            <w:pPr>
              <w:jc w:val="center"/>
              <w:rPr>
                <w:sz w:val="20"/>
                <w:szCs w:val="20"/>
              </w:rPr>
            </w:pPr>
            <w:r w:rsidRPr="00C50854">
              <w:rPr>
                <w:sz w:val="20"/>
                <w:szCs w:val="20"/>
              </w:rPr>
              <w:t>6</w:t>
            </w:r>
          </w:p>
        </w:tc>
      </w:tr>
      <w:tr w:rsidR="00564D8C" w:rsidRPr="00C50854" w14:paraId="1EE34A89" w14:textId="77777777" w:rsidTr="00713E88">
        <w:trPr>
          <w:trHeight w:val="258"/>
        </w:trPr>
        <w:tc>
          <w:tcPr>
            <w:tcW w:w="2914" w:type="dxa"/>
            <w:noWrap/>
            <w:hideMark/>
          </w:tcPr>
          <w:p w14:paraId="5C0CAB39" w14:textId="2B4D58A2" w:rsidR="00564D8C" w:rsidRPr="00C50854" w:rsidRDefault="00564D8C" w:rsidP="00564D8C">
            <w:pPr>
              <w:suppressAutoHyphens w:val="0"/>
              <w:rPr>
                <w:b/>
                <w:bCs/>
                <w:sz w:val="20"/>
                <w:szCs w:val="20"/>
                <w:lang w:eastAsia="et-EE"/>
              </w:rPr>
            </w:pPr>
            <w:r w:rsidRPr="00C50854">
              <w:rPr>
                <w:b/>
                <w:sz w:val="20"/>
                <w:szCs w:val="20"/>
              </w:rPr>
              <w:t>Teised lahendused</w:t>
            </w:r>
          </w:p>
        </w:tc>
        <w:tc>
          <w:tcPr>
            <w:tcW w:w="1142" w:type="dxa"/>
            <w:shd w:val="clear" w:color="auto" w:fill="auto"/>
            <w:noWrap/>
            <w:hideMark/>
          </w:tcPr>
          <w:p w14:paraId="6D118C89" w14:textId="68FB4B0C" w:rsidR="00564D8C" w:rsidRPr="00C50854" w:rsidRDefault="00F53229" w:rsidP="00564D8C">
            <w:pPr>
              <w:jc w:val="center"/>
              <w:rPr>
                <w:sz w:val="20"/>
                <w:szCs w:val="20"/>
              </w:rPr>
            </w:pPr>
            <w:r w:rsidRPr="00C50854">
              <w:rPr>
                <w:sz w:val="20"/>
                <w:szCs w:val="20"/>
              </w:rPr>
              <w:t>5</w:t>
            </w:r>
          </w:p>
        </w:tc>
        <w:tc>
          <w:tcPr>
            <w:tcW w:w="1378" w:type="dxa"/>
            <w:shd w:val="clear" w:color="auto" w:fill="auto"/>
            <w:noWrap/>
            <w:hideMark/>
          </w:tcPr>
          <w:p w14:paraId="55495403" w14:textId="3C3ED439" w:rsidR="00564D8C" w:rsidRPr="00C50854" w:rsidRDefault="00564D8C" w:rsidP="00564D8C">
            <w:pPr>
              <w:jc w:val="center"/>
              <w:rPr>
                <w:sz w:val="20"/>
                <w:szCs w:val="20"/>
              </w:rPr>
            </w:pPr>
            <w:r w:rsidRPr="00C50854">
              <w:rPr>
                <w:sz w:val="20"/>
                <w:szCs w:val="20"/>
              </w:rPr>
              <w:t>7</w:t>
            </w:r>
          </w:p>
        </w:tc>
        <w:tc>
          <w:tcPr>
            <w:tcW w:w="1272" w:type="dxa"/>
            <w:shd w:val="clear" w:color="auto" w:fill="auto"/>
            <w:noWrap/>
            <w:hideMark/>
          </w:tcPr>
          <w:p w14:paraId="7928D4D2" w14:textId="7B01EFBE" w:rsidR="00564D8C" w:rsidRPr="00C50854" w:rsidRDefault="00564D8C" w:rsidP="00564D8C">
            <w:pPr>
              <w:jc w:val="center"/>
              <w:rPr>
                <w:sz w:val="20"/>
                <w:szCs w:val="20"/>
              </w:rPr>
            </w:pPr>
            <w:r w:rsidRPr="00C50854">
              <w:rPr>
                <w:sz w:val="20"/>
                <w:szCs w:val="20"/>
              </w:rPr>
              <w:t>4</w:t>
            </w:r>
          </w:p>
        </w:tc>
        <w:tc>
          <w:tcPr>
            <w:tcW w:w="1112" w:type="dxa"/>
            <w:shd w:val="clear" w:color="auto" w:fill="auto"/>
            <w:noWrap/>
            <w:hideMark/>
          </w:tcPr>
          <w:p w14:paraId="2E798569" w14:textId="74283DFC" w:rsidR="00564D8C" w:rsidRPr="00C50854" w:rsidRDefault="00564D8C" w:rsidP="00564D8C">
            <w:pPr>
              <w:jc w:val="center"/>
              <w:rPr>
                <w:sz w:val="20"/>
                <w:szCs w:val="20"/>
              </w:rPr>
            </w:pPr>
            <w:r w:rsidRPr="00C50854">
              <w:rPr>
                <w:sz w:val="20"/>
                <w:szCs w:val="20"/>
              </w:rPr>
              <w:t>4</w:t>
            </w:r>
          </w:p>
        </w:tc>
        <w:tc>
          <w:tcPr>
            <w:tcW w:w="1306" w:type="dxa"/>
            <w:shd w:val="clear" w:color="auto" w:fill="auto"/>
            <w:noWrap/>
            <w:hideMark/>
          </w:tcPr>
          <w:p w14:paraId="06FFD036" w14:textId="6EE00E15" w:rsidR="00564D8C" w:rsidRPr="00C50854" w:rsidRDefault="00564D8C" w:rsidP="00564D8C">
            <w:pPr>
              <w:jc w:val="center"/>
              <w:rPr>
                <w:sz w:val="20"/>
                <w:szCs w:val="20"/>
              </w:rPr>
            </w:pPr>
            <w:r w:rsidRPr="00C50854">
              <w:rPr>
                <w:sz w:val="20"/>
                <w:szCs w:val="20"/>
              </w:rPr>
              <w:t>4</w:t>
            </w:r>
          </w:p>
        </w:tc>
      </w:tr>
      <w:tr w:rsidR="00564D8C" w:rsidRPr="00C50854" w14:paraId="7FB79A4C" w14:textId="77777777" w:rsidTr="00713E88">
        <w:trPr>
          <w:trHeight w:val="245"/>
        </w:trPr>
        <w:tc>
          <w:tcPr>
            <w:tcW w:w="2914" w:type="dxa"/>
            <w:noWrap/>
            <w:hideMark/>
          </w:tcPr>
          <w:p w14:paraId="10AF35FA" w14:textId="391F321E" w:rsidR="00564D8C" w:rsidRPr="00C50854" w:rsidRDefault="00564D8C" w:rsidP="00564D8C">
            <w:pPr>
              <w:suppressAutoHyphens w:val="0"/>
              <w:rPr>
                <w:b/>
                <w:bCs/>
                <w:sz w:val="20"/>
                <w:szCs w:val="20"/>
                <w:lang w:eastAsia="et-EE"/>
              </w:rPr>
            </w:pPr>
            <w:r w:rsidRPr="00C50854">
              <w:rPr>
                <w:b/>
                <w:sz w:val="20"/>
                <w:szCs w:val="20"/>
              </w:rPr>
              <w:t>Mobiilne lairiba</w:t>
            </w:r>
          </w:p>
        </w:tc>
        <w:tc>
          <w:tcPr>
            <w:tcW w:w="1142" w:type="dxa"/>
            <w:shd w:val="clear" w:color="auto" w:fill="auto"/>
            <w:noWrap/>
            <w:hideMark/>
          </w:tcPr>
          <w:p w14:paraId="2CB660E2" w14:textId="0B7B038C" w:rsidR="00564D8C" w:rsidRPr="00C50854" w:rsidRDefault="00F53229" w:rsidP="00564D8C">
            <w:pPr>
              <w:jc w:val="center"/>
              <w:rPr>
                <w:sz w:val="20"/>
                <w:szCs w:val="20"/>
              </w:rPr>
            </w:pPr>
            <w:r w:rsidRPr="00C50854">
              <w:rPr>
                <w:sz w:val="20"/>
                <w:szCs w:val="20"/>
              </w:rPr>
              <w:t>225</w:t>
            </w:r>
          </w:p>
        </w:tc>
        <w:tc>
          <w:tcPr>
            <w:tcW w:w="1378" w:type="dxa"/>
            <w:shd w:val="clear" w:color="auto" w:fill="auto"/>
            <w:noWrap/>
            <w:hideMark/>
          </w:tcPr>
          <w:p w14:paraId="6BAF8641" w14:textId="4A051174" w:rsidR="00564D8C" w:rsidRPr="00C50854" w:rsidRDefault="00564D8C" w:rsidP="00564D8C">
            <w:pPr>
              <w:jc w:val="center"/>
              <w:rPr>
                <w:sz w:val="20"/>
                <w:szCs w:val="20"/>
              </w:rPr>
            </w:pPr>
            <w:r w:rsidRPr="00C50854">
              <w:rPr>
                <w:sz w:val="20"/>
                <w:szCs w:val="20"/>
              </w:rPr>
              <w:t>230</w:t>
            </w:r>
          </w:p>
        </w:tc>
        <w:tc>
          <w:tcPr>
            <w:tcW w:w="1272" w:type="dxa"/>
            <w:shd w:val="clear" w:color="auto" w:fill="auto"/>
            <w:noWrap/>
            <w:hideMark/>
          </w:tcPr>
          <w:p w14:paraId="47BE68BE" w14:textId="7D268EF7" w:rsidR="00564D8C" w:rsidRPr="00C50854" w:rsidRDefault="00564D8C" w:rsidP="00564D8C">
            <w:pPr>
              <w:jc w:val="center"/>
              <w:rPr>
                <w:sz w:val="20"/>
                <w:szCs w:val="20"/>
              </w:rPr>
            </w:pPr>
            <w:r w:rsidRPr="00C50854">
              <w:rPr>
                <w:sz w:val="20"/>
                <w:szCs w:val="20"/>
              </w:rPr>
              <w:t>232</w:t>
            </w:r>
          </w:p>
        </w:tc>
        <w:tc>
          <w:tcPr>
            <w:tcW w:w="1112" w:type="dxa"/>
            <w:shd w:val="clear" w:color="auto" w:fill="auto"/>
            <w:noWrap/>
            <w:hideMark/>
          </w:tcPr>
          <w:p w14:paraId="6EC5280C" w14:textId="11AA7D06" w:rsidR="00564D8C" w:rsidRPr="00C50854" w:rsidRDefault="00564D8C" w:rsidP="00564D8C">
            <w:pPr>
              <w:jc w:val="center"/>
              <w:rPr>
                <w:sz w:val="20"/>
                <w:szCs w:val="20"/>
              </w:rPr>
            </w:pPr>
            <w:r w:rsidRPr="00C50854">
              <w:rPr>
                <w:sz w:val="20"/>
                <w:szCs w:val="20"/>
              </w:rPr>
              <w:t>237</w:t>
            </w:r>
          </w:p>
        </w:tc>
        <w:tc>
          <w:tcPr>
            <w:tcW w:w="1306" w:type="dxa"/>
            <w:shd w:val="clear" w:color="auto" w:fill="auto"/>
            <w:noWrap/>
            <w:hideMark/>
          </w:tcPr>
          <w:p w14:paraId="1C9E4B33" w14:textId="76393E72" w:rsidR="00564D8C" w:rsidRPr="00C50854" w:rsidRDefault="00564D8C" w:rsidP="00564D8C">
            <w:pPr>
              <w:jc w:val="center"/>
              <w:rPr>
                <w:sz w:val="20"/>
                <w:szCs w:val="20"/>
              </w:rPr>
            </w:pPr>
            <w:r w:rsidRPr="00C50854">
              <w:rPr>
                <w:sz w:val="20"/>
                <w:szCs w:val="20"/>
              </w:rPr>
              <w:t>246</w:t>
            </w:r>
          </w:p>
        </w:tc>
      </w:tr>
      <w:tr w:rsidR="00ED33F0" w:rsidRPr="00C50854" w14:paraId="1C971DEB" w14:textId="77777777" w:rsidTr="007007AC">
        <w:trPr>
          <w:trHeight w:val="245"/>
        </w:trPr>
        <w:tc>
          <w:tcPr>
            <w:tcW w:w="2914" w:type="dxa"/>
            <w:shd w:val="clear" w:color="auto" w:fill="auto"/>
            <w:noWrap/>
            <w:vAlign w:val="bottom"/>
            <w:hideMark/>
          </w:tcPr>
          <w:p w14:paraId="41A74D58" w14:textId="77777777" w:rsidR="00ED33F0" w:rsidRPr="00C50854" w:rsidRDefault="00ED33F0" w:rsidP="00ED33F0">
            <w:pPr>
              <w:suppressAutoHyphens w:val="0"/>
              <w:rPr>
                <w:b/>
                <w:bCs/>
                <w:sz w:val="20"/>
                <w:szCs w:val="20"/>
                <w:lang w:eastAsia="et-EE"/>
              </w:rPr>
            </w:pPr>
            <w:r w:rsidRPr="00C50854">
              <w:rPr>
                <w:b/>
                <w:bCs/>
                <w:sz w:val="20"/>
                <w:szCs w:val="20"/>
                <w:lang w:eastAsia="et-EE"/>
              </w:rPr>
              <w:t>Kokku</w:t>
            </w:r>
          </w:p>
        </w:tc>
        <w:tc>
          <w:tcPr>
            <w:tcW w:w="1142" w:type="dxa"/>
            <w:shd w:val="clear" w:color="auto" w:fill="auto"/>
            <w:noWrap/>
            <w:hideMark/>
          </w:tcPr>
          <w:p w14:paraId="4A4F0CFF" w14:textId="0943D2D3" w:rsidR="00ED33F0" w:rsidRPr="00C50854" w:rsidRDefault="00F53229" w:rsidP="00ED33F0">
            <w:pPr>
              <w:jc w:val="center"/>
              <w:rPr>
                <w:sz w:val="20"/>
                <w:szCs w:val="20"/>
              </w:rPr>
            </w:pPr>
            <w:r w:rsidRPr="00C50854">
              <w:rPr>
                <w:sz w:val="20"/>
                <w:szCs w:val="20"/>
              </w:rPr>
              <w:t>609</w:t>
            </w:r>
          </w:p>
        </w:tc>
        <w:tc>
          <w:tcPr>
            <w:tcW w:w="1378" w:type="dxa"/>
            <w:shd w:val="clear" w:color="auto" w:fill="auto"/>
            <w:noWrap/>
            <w:hideMark/>
          </w:tcPr>
          <w:p w14:paraId="55B27F48" w14:textId="52E497AA" w:rsidR="00ED33F0" w:rsidRPr="00C50854" w:rsidRDefault="00ED33F0" w:rsidP="00ED33F0">
            <w:pPr>
              <w:jc w:val="center"/>
              <w:rPr>
                <w:sz w:val="20"/>
                <w:szCs w:val="20"/>
              </w:rPr>
            </w:pPr>
            <w:r w:rsidRPr="00C50854">
              <w:rPr>
                <w:sz w:val="20"/>
                <w:szCs w:val="20"/>
              </w:rPr>
              <w:t>6</w:t>
            </w:r>
            <w:r w:rsidR="007F1C58" w:rsidRPr="00C50854">
              <w:rPr>
                <w:sz w:val="20"/>
                <w:szCs w:val="20"/>
              </w:rPr>
              <w:t>27</w:t>
            </w:r>
          </w:p>
        </w:tc>
        <w:tc>
          <w:tcPr>
            <w:tcW w:w="1272" w:type="dxa"/>
            <w:shd w:val="clear" w:color="auto" w:fill="auto"/>
            <w:noWrap/>
            <w:hideMark/>
          </w:tcPr>
          <w:p w14:paraId="3BC9D588" w14:textId="40CF96FE" w:rsidR="00ED33F0" w:rsidRPr="00C50854" w:rsidRDefault="00ED33F0" w:rsidP="00ED33F0">
            <w:pPr>
              <w:jc w:val="center"/>
              <w:rPr>
                <w:sz w:val="20"/>
                <w:szCs w:val="20"/>
              </w:rPr>
            </w:pPr>
            <w:r w:rsidRPr="00C50854">
              <w:rPr>
                <w:sz w:val="20"/>
                <w:szCs w:val="20"/>
              </w:rPr>
              <w:t>6</w:t>
            </w:r>
            <w:r w:rsidR="007F1C58" w:rsidRPr="00C50854">
              <w:rPr>
                <w:sz w:val="20"/>
                <w:szCs w:val="20"/>
              </w:rPr>
              <w:t>25</w:t>
            </w:r>
          </w:p>
        </w:tc>
        <w:tc>
          <w:tcPr>
            <w:tcW w:w="1112" w:type="dxa"/>
            <w:shd w:val="clear" w:color="auto" w:fill="auto"/>
            <w:noWrap/>
            <w:hideMark/>
          </w:tcPr>
          <w:p w14:paraId="49119D38" w14:textId="1211FC44" w:rsidR="00ED33F0" w:rsidRPr="00C50854" w:rsidRDefault="00ED33F0" w:rsidP="00ED33F0">
            <w:pPr>
              <w:jc w:val="center"/>
              <w:rPr>
                <w:sz w:val="20"/>
                <w:szCs w:val="20"/>
              </w:rPr>
            </w:pPr>
            <w:r w:rsidRPr="00C50854">
              <w:rPr>
                <w:sz w:val="20"/>
                <w:szCs w:val="20"/>
              </w:rPr>
              <w:t>6</w:t>
            </w:r>
            <w:r w:rsidR="007F1C58" w:rsidRPr="00C50854">
              <w:rPr>
                <w:sz w:val="20"/>
                <w:szCs w:val="20"/>
              </w:rPr>
              <w:t>35</w:t>
            </w:r>
          </w:p>
        </w:tc>
        <w:tc>
          <w:tcPr>
            <w:tcW w:w="1306" w:type="dxa"/>
            <w:shd w:val="clear" w:color="auto" w:fill="auto"/>
            <w:noWrap/>
            <w:hideMark/>
          </w:tcPr>
          <w:p w14:paraId="43C94CE1" w14:textId="001C62BA" w:rsidR="00ED33F0" w:rsidRPr="00C50854" w:rsidRDefault="00ED33F0" w:rsidP="00ED33F0">
            <w:pPr>
              <w:jc w:val="center"/>
              <w:rPr>
                <w:sz w:val="20"/>
                <w:szCs w:val="20"/>
              </w:rPr>
            </w:pPr>
            <w:r w:rsidRPr="00C50854">
              <w:rPr>
                <w:sz w:val="20"/>
                <w:szCs w:val="20"/>
              </w:rPr>
              <w:t>6</w:t>
            </w:r>
            <w:r w:rsidR="007F1C58" w:rsidRPr="00C50854">
              <w:rPr>
                <w:sz w:val="20"/>
                <w:szCs w:val="20"/>
              </w:rPr>
              <w:t>4</w:t>
            </w:r>
            <w:r w:rsidRPr="00C50854">
              <w:rPr>
                <w:sz w:val="20"/>
                <w:szCs w:val="20"/>
              </w:rPr>
              <w:t>3</w:t>
            </w:r>
          </w:p>
        </w:tc>
      </w:tr>
    </w:tbl>
    <w:p w14:paraId="6C639377" w14:textId="7543BDFB" w:rsidR="00AE2F98" w:rsidRPr="00C50854" w:rsidRDefault="00AE2F98" w:rsidP="00AE2F98">
      <w:pPr>
        <w:suppressAutoHyphens w:val="0"/>
        <w:spacing w:before="120" w:after="120"/>
        <w:rPr>
          <w:bCs/>
          <w:sz w:val="20"/>
          <w:szCs w:val="20"/>
          <w:lang w:eastAsia="et-EE"/>
        </w:rPr>
      </w:pPr>
      <w:bookmarkStart w:id="210" w:name="_Ref460231465"/>
      <w:r w:rsidRPr="00C50854">
        <w:rPr>
          <w:b/>
          <w:bCs/>
          <w:sz w:val="20"/>
          <w:szCs w:val="20"/>
          <w:lang w:eastAsia="et-EE"/>
        </w:rPr>
        <w:t xml:space="preserve">Tabel </w:t>
      </w:r>
      <w:r w:rsidR="00341D2F" w:rsidRPr="00C50854">
        <w:rPr>
          <w:b/>
          <w:bCs/>
          <w:sz w:val="20"/>
          <w:szCs w:val="20"/>
          <w:lang w:eastAsia="et-EE"/>
        </w:rPr>
        <w:fldChar w:fldCharType="begin"/>
      </w:r>
      <w:r w:rsidR="00341D2F" w:rsidRPr="00C50854">
        <w:rPr>
          <w:b/>
          <w:bCs/>
          <w:sz w:val="20"/>
          <w:szCs w:val="20"/>
          <w:lang w:eastAsia="et-EE"/>
        </w:rPr>
        <w:instrText xml:space="preserve"> SEQ Tabel \* ARABIC </w:instrText>
      </w:r>
      <w:r w:rsidR="00341D2F" w:rsidRPr="00C50854">
        <w:rPr>
          <w:b/>
          <w:bCs/>
          <w:sz w:val="20"/>
          <w:szCs w:val="20"/>
          <w:lang w:eastAsia="et-EE"/>
        </w:rPr>
        <w:fldChar w:fldCharType="separate"/>
      </w:r>
      <w:r w:rsidR="00D24389" w:rsidRPr="00C50854">
        <w:rPr>
          <w:b/>
          <w:bCs/>
          <w:noProof/>
          <w:sz w:val="20"/>
          <w:szCs w:val="20"/>
          <w:lang w:eastAsia="et-EE"/>
        </w:rPr>
        <w:t>6</w:t>
      </w:r>
      <w:r w:rsidR="00341D2F" w:rsidRPr="00C50854">
        <w:rPr>
          <w:b/>
          <w:bCs/>
          <w:sz w:val="20"/>
          <w:szCs w:val="20"/>
          <w:lang w:eastAsia="et-EE"/>
        </w:rPr>
        <w:fldChar w:fldCharType="end"/>
      </w:r>
      <w:bookmarkEnd w:id="210"/>
      <w:r w:rsidR="00FF7853" w:rsidRPr="00C50854">
        <w:rPr>
          <w:b/>
          <w:bCs/>
          <w:noProof/>
          <w:sz w:val="20"/>
          <w:szCs w:val="20"/>
          <w:lang w:eastAsia="et-EE"/>
        </w:rPr>
        <w:t>.</w:t>
      </w:r>
      <w:r w:rsidRPr="00C50854">
        <w:rPr>
          <w:b/>
          <w:bCs/>
          <w:sz w:val="20"/>
          <w:szCs w:val="20"/>
          <w:lang w:eastAsia="et-EE"/>
        </w:rPr>
        <w:t xml:space="preserve"> </w:t>
      </w:r>
      <w:r w:rsidRPr="00C50854">
        <w:rPr>
          <w:bCs/>
          <w:sz w:val="20"/>
          <w:szCs w:val="20"/>
          <w:lang w:eastAsia="et-EE"/>
        </w:rPr>
        <w:t xml:space="preserve">Interneti </w:t>
      </w:r>
      <w:r w:rsidR="009A06E4" w:rsidRPr="00C50854">
        <w:rPr>
          <w:bCs/>
          <w:sz w:val="20"/>
          <w:szCs w:val="20"/>
          <w:lang w:eastAsia="et-EE"/>
        </w:rPr>
        <w:t>jae</w:t>
      </w:r>
      <w:r w:rsidRPr="00C50854">
        <w:rPr>
          <w:bCs/>
          <w:sz w:val="20"/>
          <w:szCs w:val="20"/>
          <w:lang w:eastAsia="et-EE"/>
        </w:rPr>
        <w:t xml:space="preserve">teenuse </w:t>
      </w:r>
      <w:r w:rsidR="00F57059" w:rsidRPr="00C50854">
        <w:rPr>
          <w:bCs/>
          <w:sz w:val="20"/>
          <w:szCs w:val="20"/>
          <w:lang w:eastAsia="et-EE"/>
        </w:rPr>
        <w:t>lõppkasutaja</w:t>
      </w:r>
      <w:r w:rsidRPr="00C50854">
        <w:rPr>
          <w:bCs/>
          <w:sz w:val="20"/>
          <w:szCs w:val="20"/>
          <w:lang w:eastAsia="et-EE"/>
        </w:rPr>
        <w:t xml:space="preserve">te jagunemine tehnilise osutamisviisi järgi tuhandetes </w:t>
      </w:r>
      <w:r w:rsidR="005C0537" w:rsidRPr="00C50854">
        <w:rPr>
          <w:bCs/>
          <w:sz w:val="20"/>
          <w:szCs w:val="20"/>
          <w:lang w:eastAsia="et-EE"/>
        </w:rPr>
        <w:t xml:space="preserve">2015- I </w:t>
      </w:r>
      <w:proofErr w:type="spellStart"/>
      <w:r w:rsidR="005C0537" w:rsidRPr="00C50854">
        <w:rPr>
          <w:bCs/>
          <w:sz w:val="20"/>
          <w:szCs w:val="20"/>
          <w:lang w:eastAsia="et-EE"/>
        </w:rPr>
        <w:t>pa</w:t>
      </w:r>
      <w:proofErr w:type="spellEnd"/>
      <w:r w:rsidR="005C0537" w:rsidRPr="00C50854">
        <w:rPr>
          <w:bCs/>
          <w:sz w:val="20"/>
          <w:szCs w:val="20"/>
          <w:lang w:eastAsia="et-EE"/>
        </w:rPr>
        <w:t xml:space="preserve"> 2019</w:t>
      </w:r>
    </w:p>
    <w:p w14:paraId="2EB80611" w14:textId="252DF165" w:rsidR="00FF2391" w:rsidRPr="00C50854" w:rsidRDefault="00AE2F98"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Samuti nähtub tabelist, et </w:t>
      </w:r>
      <w:r w:rsidR="0037352E" w:rsidRPr="00C50854">
        <w:rPr>
          <w:lang w:eastAsia="et-EE"/>
        </w:rPr>
        <w:t>kolme ja poole</w:t>
      </w:r>
      <w:r w:rsidRPr="00C50854">
        <w:rPr>
          <w:lang w:eastAsia="et-EE"/>
        </w:rPr>
        <w:t xml:space="preserve"> aasta jooksul </w:t>
      </w:r>
      <w:r w:rsidR="007C7D29" w:rsidRPr="00C50854">
        <w:rPr>
          <w:lang w:eastAsia="et-EE"/>
        </w:rPr>
        <w:t xml:space="preserve">on </w:t>
      </w:r>
      <w:r w:rsidRPr="00C50854">
        <w:rPr>
          <w:lang w:eastAsia="et-EE"/>
        </w:rPr>
        <w:t xml:space="preserve">raadiolahendust kasutavate </w:t>
      </w:r>
      <w:r w:rsidR="00F57059" w:rsidRPr="00C50854">
        <w:rPr>
          <w:lang w:eastAsia="et-EE"/>
        </w:rPr>
        <w:t>lõppkasutaja</w:t>
      </w:r>
      <w:r w:rsidRPr="00C50854">
        <w:rPr>
          <w:lang w:eastAsia="et-EE"/>
        </w:rPr>
        <w:t>te arv vähenenud</w:t>
      </w:r>
      <w:r w:rsidR="00EB7162" w:rsidRPr="00C50854">
        <w:rPr>
          <w:lang w:eastAsia="et-EE"/>
        </w:rPr>
        <w:t xml:space="preserve"> </w:t>
      </w:r>
      <w:r w:rsidR="008E3917" w:rsidRPr="00C50854">
        <w:rPr>
          <w:lang w:eastAsia="et-EE"/>
        </w:rPr>
        <w:t>3</w:t>
      </w:r>
      <w:r w:rsidR="004370AC" w:rsidRPr="00C50854">
        <w:rPr>
          <w:lang w:eastAsia="et-EE"/>
        </w:rPr>
        <w:t> </w:t>
      </w:r>
      <w:r w:rsidR="008E3917" w:rsidRPr="00C50854">
        <w:rPr>
          <w:lang w:eastAsia="et-EE"/>
        </w:rPr>
        <w:t>000</w:t>
      </w:r>
      <w:r w:rsidR="004370AC" w:rsidRPr="00C50854">
        <w:rPr>
          <w:lang w:eastAsia="et-EE"/>
        </w:rPr>
        <w:t xml:space="preserve"> </w:t>
      </w:r>
      <w:r w:rsidR="00E37203" w:rsidRPr="00C50854">
        <w:rPr>
          <w:lang w:eastAsia="et-EE"/>
        </w:rPr>
        <w:t>võrra</w:t>
      </w:r>
      <w:r w:rsidRPr="00C50854">
        <w:rPr>
          <w:lang w:eastAsia="et-EE"/>
        </w:rPr>
        <w:t xml:space="preserve"> ja teiste tehnoloogiliste lahenduste </w:t>
      </w:r>
      <w:r w:rsidR="00F57059" w:rsidRPr="00C50854">
        <w:rPr>
          <w:lang w:eastAsia="et-EE"/>
        </w:rPr>
        <w:t>lõppkasutaja</w:t>
      </w:r>
      <w:r w:rsidRPr="00C50854">
        <w:rPr>
          <w:lang w:eastAsia="et-EE"/>
        </w:rPr>
        <w:t xml:space="preserve">te arv </w:t>
      </w:r>
      <w:r w:rsidR="00E37203" w:rsidRPr="00C50854">
        <w:rPr>
          <w:lang w:eastAsia="et-EE"/>
        </w:rPr>
        <w:t>on</w:t>
      </w:r>
      <w:r w:rsidRPr="00C50854">
        <w:rPr>
          <w:lang w:eastAsia="et-EE"/>
        </w:rPr>
        <w:t xml:space="preserve"> </w:t>
      </w:r>
      <w:r w:rsidR="00E37203" w:rsidRPr="00C50854">
        <w:rPr>
          <w:lang w:eastAsia="et-EE"/>
        </w:rPr>
        <w:t>langenud</w:t>
      </w:r>
      <w:r w:rsidRPr="00C50854">
        <w:rPr>
          <w:lang w:eastAsia="et-EE"/>
        </w:rPr>
        <w:t xml:space="preserve"> - kui </w:t>
      </w:r>
      <w:r w:rsidR="00F41DD8" w:rsidRPr="00C50854">
        <w:rPr>
          <w:lang w:eastAsia="et-EE"/>
        </w:rPr>
        <w:t>201</w:t>
      </w:r>
      <w:r w:rsidR="005C0537" w:rsidRPr="00C50854">
        <w:rPr>
          <w:lang w:eastAsia="et-EE"/>
        </w:rPr>
        <w:t>5</w:t>
      </w:r>
      <w:r w:rsidRPr="00C50854">
        <w:rPr>
          <w:lang w:eastAsia="et-EE"/>
        </w:rPr>
        <w:t xml:space="preserve">. aastal oli raadiolahendust kasutavate </w:t>
      </w:r>
      <w:r w:rsidR="00F57059" w:rsidRPr="00C50854">
        <w:rPr>
          <w:lang w:eastAsia="et-EE"/>
        </w:rPr>
        <w:t>lõppkasutaja</w:t>
      </w:r>
      <w:r w:rsidRPr="00C50854">
        <w:rPr>
          <w:lang w:eastAsia="et-EE"/>
        </w:rPr>
        <w:t xml:space="preserve">te maksimaalne arv </w:t>
      </w:r>
      <w:r w:rsidR="0037352E" w:rsidRPr="00C50854">
        <w:rPr>
          <w:lang w:eastAsia="et-EE"/>
        </w:rPr>
        <w:t>9</w:t>
      </w:r>
      <w:r w:rsidR="00D323AA" w:rsidRPr="00C50854">
        <w:rPr>
          <w:lang w:eastAsia="et-EE"/>
        </w:rPr>
        <w:t xml:space="preserve"> </w:t>
      </w:r>
      <w:r w:rsidRPr="00C50854">
        <w:rPr>
          <w:lang w:eastAsia="et-EE"/>
        </w:rPr>
        <w:t>000, siis 201</w:t>
      </w:r>
      <w:r w:rsidR="005C0537" w:rsidRPr="00C50854">
        <w:rPr>
          <w:lang w:eastAsia="et-EE"/>
        </w:rPr>
        <w:t>9</w:t>
      </w:r>
      <w:r w:rsidRPr="00C50854">
        <w:rPr>
          <w:lang w:eastAsia="et-EE"/>
        </w:rPr>
        <w:t xml:space="preserve">. aasta I </w:t>
      </w:r>
      <w:r w:rsidR="005C0537" w:rsidRPr="00C50854">
        <w:rPr>
          <w:lang w:eastAsia="et-EE"/>
        </w:rPr>
        <w:t>poolaasta</w:t>
      </w:r>
      <w:r w:rsidRPr="00C50854">
        <w:rPr>
          <w:lang w:eastAsia="et-EE"/>
        </w:rPr>
        <w:t xml:space="preserve"> lõpuks oli see langenud </w:t>
      </w:r>
      <w:r w:rsidR="0037352E" w:rsidRPr="00C50854">
        <w:rPr>
          <w:lang w:eastAsia="et-EE"/>
        </w:rPr>
        <w:t>6</w:t>
      </w:r>
      <w:r w:rsidRPr="00C50854">
        <w:rPr>
          <w:lang w:eastAsia="et-EE"/>
        </w:rPr>
        <w:t xml:space="preserve"> 000-le. </w:t>
      </w:r>
    </w:p>
    <w:p w14:paraId="3C77FD5A" w14:textId="60233391" w:rsidR="00FF2391" w:rsidRPr="00C50854" w:rsidRDefault="00AE2F98"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Aastate </w:t>
      </w:r>
      <w:r w:rsidR="00F41DD8" w:rsidRPr="00C50854">
        <w:rPr>
          <w:lang w:eastAsia="et-EE"/>
        </w:rPr>
        <w:t>201</w:t>
      </w:r>
      <w:r w:rsidR="005C0537" w:rsidRPr="00C50854">
        <w:rPr>
          <w:lang w:eastAsia="et-EE"/>
        </w:rPr>
        <w:t>5</w:t>
      </w:r>
      <w:r w:rsidR="00F41DD8" w:rsidRPr="00C50854">
        <w:rPr>
          <w:lang w:eastAsia="et-EE"/>
        </w:rPr>
        <w:t xml:space="preserve"> </w:t>
      </w:r>
      <w:r w:rsidRPr="00C50854">
        <w:rPr>
          <w:lang w:eastAsia="et-EE"/>
        </w:rPr>
        <w:t>– 201</w:t>
      </w:r>
      <w:r w:rsidR="005C0537" w:rsidRPr="00C50854">
        <w:rPr>
          <w:lang w:eastAsia="et-EE"/>
        </w:rPr>
        <w:t>8</w:t>
      </w:r>
      <w:r w:rsidRPr="00C50854">
        <w:rPr>
          <w:lang w:eastAsia="et-EE"/>
        </w:rPr>
        <w:t xml:space="preserve"> lõikes on xDSL tehnoloogiat kasutavate </w:t>
      </w:r>
      <w:r w:rsidR="00F57059" w:rsidRPr="00C50854">
        <w:rPr>
          <w:lang w:eastAsia="et-EE"/>
        </w:rPr>
        <w:t>lõppkasutaja</w:t>
      </w:r>
      <w:r w:rsidRPr="00C50854">
        <w:rPr>
          <w:lang w:eastAsia="et-EE"/>
        </w:rPr>
        <w:t xml:space="preserve">te arv muutunud </w:t>
      </w:r>
      <w:r w:rsidR="00E37203" w:rsidRPr="00C50854">
        <w:rPr>
          <w:lang w:eastAsia="et-EE"/>
        </w:rPr>
        <w:t>21</w:t>
      </w:r>
      <w:r w:rsidR="008E3917" w:rsidRPr="00C50854">
        <w:rPr>
          <w:lang w:eastAsia="et-EE"/>
        </w:rPr>
        <w:t> 000-</w:t>
      </w:r>
      <w:r w:rsidRPr="00C50854">
        <w:rPr>
          <w:lang w:eastAsia="et-EE"/>
        </w:rPr>
        <w:t>nde võrra</w:t>
      </w:r>
      <w:r w:rsidR="00E37203" w:rsidRPr="00C50854">
        <w:rPr>
          <w:lang w:eastAsia="et-EE"/>
        </w:rPr>
        <w:t xml:space="preserve"> ehk </w:t>
      </w:r>
      <w:r w:rsidR="00F53B19" w:rsidRPr="00C50854">
        <w:rPr>
          <w:lang w:eastAsia="et-EE"/>
        </w:rPr>
        <w:t xml:space="preserve">langenud </w:t>
      </w:r>
      <w:r w:rsidR="00E37203" w:rsidRPr="00C50854">
        <w:rPr>
          <w:lang w:eastAsia="et-EE"/>
        </w:rPr>
        <w:t>142</w:t>
      </w:r>
      <w:r w:rsidR="008E3917" w:rsidRPr="00C50854">
        <w:rPr>
          <w:lang w:eastAsia="et-EE"/>
        </w:rPr>
        <w:t> 000-</w:t>
      </w:r>
      <w:r w:rsidR="00E37203" w:rsidRPr="00C50854">
        <w:rPr>
          <w:lang w:eastAsia="et-EE"/>
        </w:rPr>
        <w:t>lt 121</w:t>
      </w:r>
      <w:r w:rsidR="008E3917" w:rsidRPr="00C50854">
        <w:rPr>
          <w:lang w:eastAsia="et-EE"/>
        </w:rPr>
        <w:t> 000-</w:t>
      </w:r>
      <w:r w:rsidR="00E37203" w:rsidRPr="00C50854">
        <w:rPr>
          <w:lang w:eastAsia="et-EE"/>
        </w:rPr>
        <w:t>le</w:t>
      </w:r>
      <w:r w:rsidRPr="00C50854">
        <w:rPr>
          <w:lang w:eastAsia="et-EE"/>
        </w:rPr>
        <w:t>.</w:t>
      </w:r>
      <w:r w:rsidR="00E37203" w:rsidRPr="00C50854">
        <w:rPr>
          <w:lang w:eastAsia="et-EE"/>
        </w:rPr>
        <w:t xml:space="preserve"> </w:t>
      </w:r>
    </w:p>
    <w:p w14:paraId="431D26EE" w14:textId="715541A9" w:rsidR="00AE2F98" w:rsidRPr="00C50854" w:rsidRDefault="00E37203" w:rsidP="00311E1F">
      <w:pPr>
        <w:numPr>
          <w:ilvl w:val="0"/>
          <w:numId w:val="13"/>
        </w:numPr>
        <w:suppressAutoHyphens w:val="0"/>
        <w:autoSpaceDE w:val="0"/>
        <w:autoSpaceDN w:val="0"/>
        <w:adjustRightInd w:val="0"/>
        <w:spacing w:before="120" w:after="120"/>
        <w:jc w:val="both"/>
        <w:rPr>
          <w:lang w:eastAsia="et-EE"/>
        </w:rPr>
      </w:pPr>
      <w:r w:rsidRPr="00C50854">
        <w:rPr>
          <w:lang w:eastAsia="et-EE"/>
        </w:rPr>
        <w:t>Kaabelmodem</w:t>
      </w:r>
      <w:r w:rsidR="002A305C" w:rsidRPr="00C50854">
        <w:rPr>
          <w:lang w:eastAsia="et-EE"/>
        </w:rPr>
        <w:t>-</w:t>
      </w:r>
      <w:r w:rsidRPr="00C50854">
        <w:rPr>
          <w:lang w:eastAsia="et-EE"/>
        </w:rPr>
        <w:t xml:space="preserve">tehnoloogiat kasutavate </w:t>
      </w:r>
      <w:r w:rsidR="00F57059" w:rsidRPr="00C50854">
        <w:rPr>
          <w:lang w:eastAsia="et-EE"/>
        </w:rPr>
        <w:t>lõppkasutaja</w:t>
      </w:r>
      <w:r w:rsidRPr="00C50854">
        <w:rPr>
          <w:lang w:eastAsia="et-EE"/>
        </w:rPr>
        <w:t xml:space="preserve">te arv oli aastal 2015 89 </w:t>
      </w:r>
      <w:r w:rsidR="002A305C" w:rsidRPr="00C50854">
        <w:rPr>
          <w:lang w:eastAsia="et-EE"/>
        </w:rPr>
        <w:t xml:space="preserve">000 </w:t>
      </w:r>
      <w:r w:rsidRPr="00C50854">
        <w:rPr>
          <w:lang w:eastAsia="et-EE"/>
        </w:rPr>
        <w:t>ning see on suurenenud aasta 2019</w:t>
      </w:r>
      <w:r w:rsidR="00E2552A" w:rsidRPr="00C50854">
        <w:rPr>
          <w:lang w:eastAsia="et-EE"/>
        </w:rPr>
        <w:t>.</w:t>
      </w:r>
      <w:r w:rsidRPr="00C50854">
        <w:rPr>
          <w:lang w:eastAsia="et-EE"/>
        </w:rPr>
        <w:t xml:space="preserve"> esimeseks pooleks 7 </w:t>
      </w:r>
      <w:r w:rsidR="002A305C" w:rsidRPr="00C50854">
        <w:rPr>
          <w:lang w:eastAsia="et-EE"/>
        </w:rPr>
        <w:t xml:space="preserve">000 </w:t>
      </w:r>
      <w:r w:rsidRPr="00C50854">
        <w:rPr>
          <w:lang w:eastAsia="et-EE"/>
        </w:rPr>
        <w:t xml:space="preserve">võrra </w:t>
      </w:r>
      <w:r w:rsidR="00FF2391" w:rsidRPr="00C50854">
        <w:rPr>
          <w:lang w:eastAsia="et-EE"/>
        </w:rPr>
        <w:t>(</w:t>
      </w:r>
      <w:r w:rsidRPr="00C50854">
        <w:rPr>
          <w:lang w:eastAsia="et-EE"/>
        </w:rPr>
        <w:t xml:space="preserve">96 </w:t>
      </w:r>
      <w:r w:rsidR="002A305C" w:rsidRPr="00C50854">
        <w:rPr>
          <w:lang w:eastAsia="et-EE"/>
        </w:rPr>
        <w:t>000-ni</w:t>
      </w:r>
      <w:r w:rsidR="00FF2391" w:rsidRPr="00C50854">
        <w:rPr>
          <w:lang w:eastAsia="et-EE"/>
        </w:rPr>
        <w:t>)</w:t>
      </w:r>
      <w:r w:rsidRPr="00C50854">
        <w:rPr>
          <w:lang w:eastAsia="et-EE"/>
        </w:rPr>
        <w:t xml:space="preserve">. </w:t>
      </w:r>
    </w:p>
    <w:p w14:paraId="79259577" w14:textId="27DC5CE4" w:rsidR="0079054B" w:rsidRPr="00C50854" w:rsidRDefault="00AE2F98" w:rsidP="00311E1F">
      <w:pPr>
        <w:numPr>
          <w:ilvl w:val="0"/>
          <w:numId w:val="13"/>
        </w:numPr>
        <w:suppressAutoHyphens w:val="0"/>
        <w:autoSpaceDE w:val="0"/>
        <w:autoSpaceDN w:val="0"/>
        <w:adjustRightInd w:val="0"/>
        <w:spacing w:before="120" w:after="120"/>
        <w:jc w:val="both"/>
        <w:rPr>
          <w:sz w:val="20"/>
          <w:szCs w:val="20"/>
          <w:lang w:eastAsia="et-EE"/>
        </w:rPr>
      </w:pPr>
      <w:r w:rsidRPr="00C50854">
        <w:rPr>
          <w:lang w:eastAsia="et-EE"/>
        </w:rPr>
        <w:t xml:space="preserve">Suurim muutus klientide poolt tarbitava </w:t>
      </w:r>
      <w:r w:rsidR="009A06E4" w:rsidRPr="00C50854">
        <w:rPr>
          <w:lang w:eastAsia="et-EE"/>
        </w:rPr>
        <w:t xml:space="preserve">lairiba </w:t>
      </w:r>
      <w:r w:rsidRPr="00C50854">
        <w:rPr>
          <w:lang w:eastAsia="et-EE"/>
        </w:rPr>
        <w:t xml:space="preserve">jaeteenuse mahus on toimunud valguskaabli tehnoloogial põhinevate lahenduste osas: </w:t>
      </w:r>
      <w:r w:rsidR="00E37203" w:rsidRPr="00C50854">
        <w:rPr>
          <w:lang w:eastAsia="et-EE"/>
        </w:rPr>
        <w:t>kolme</w:t>
      </w:r>
      <w:r w:rsidRPr="00C50854">
        <w:rPr>
          <w:lang w:eastAsia="et-EE"/>
        </w:rPr>
        <w:t xml:space="preserve"> </w:t>
      </w:r>
      <w:r w:rsidR="00413B15" w:rsidRPr="00C50854">
        <w:rPr>
          <w:lang w:eastAsia="et-EE"/>
        </w:rPr>
        <w:t>ja poole</w:t>
      </w:r>
      <w:r w:rsidRPr="00C50854">
        <w:rPr>
          <w:lang w:eastAsia="et-EE"/>
        </w:rPr>
        <w:t xml:space="preserve"> </w:t>
      </w:r>
      <w:r w:rsidR="00413B15" w:rsidRPr="00C50854">
        <w:rPr>
          <w:lang w:eastAsia="et-EE"/>
        </w:rPr>
        <w:t xml:space="preserve">aasta </w:t>
      </w:r>
      <w:r w:rsidRPr="00C50854">
        <w:rPr>
          <w:lang w:eastAsia="et-EE"/>
        </w:rPr>
        <w:t xml:space="preserve">jooksul on nimetatud tehnoloogia baasil tarbitava jaeteenuse klientide arv kasvanud ca </w:t>
      </w:r>
      <w:r w:rsidR="00413B15" w:rsidRPr="00C50854">
        <w:rPr>
          <w:lang w:eastAsia="et-EE"/>
        </w:rPr>
        <w:t xml:space="preserve">33 </w:t>
      </w:r>
      <w:r w:rsidRPr="00C50854">
        <w:rPr>
          <w:lang w:eastAsia="et-EE"/>
        </w:rPr>
        <w:t xml:space="preserve">000 võrra. Seda seetõttu, et valguskaablil põhinevad tehnoloogilised lahendused võimaldavad </w:t>
      </w:r>
      <w:r w:rsidR="00F57059" w:rsidRPr="00C50854">
        <w:rPr>
          <w:lang w:eastAsia="et-EE"/>
        </w:rPr>
        <w:t>lõppkasutaja</w:t>
      </w:r>
      <w:r w:rsidRPr="00C50854">
        <w:rPr>
          <w:lang w:eastAsia="et-EE"/>
        </w:rPr>
        <w:t xml:space="preserve">tele pakkuda suurema kiirusega lairibateenust koos võimalusega </w:t>
      </w:r>
      <w:r w:rsidR="009A06E4" w:rsidRPr="00C50854">
        <w:rPr>
          <w:lang w:eastAsia="et-EE"/>
        </w:rPr>
        <w:t>tarbida täiendavaid lisateenus</w:t>
      </w:r>
      <w:r w:rsidRPr="00C50854">
        <w:rPr>
          <w:lang w:eastAsia="et-EE"/>
        </w:rPr>
        <w:t>e</w:t>
      </w:r>
      <w:r w:rsidR="009A06E4" w:rsidRPr="00C50854">
        <w:rPr>
          <w:lang w:eastAsia="et-EE"/>
        </w:rPr>
        <w:t>id</w:t>
      </w:r>
      <w:r w:rsidRPr="00C50854">
        <w:rPr>
          <w:lang w:eastAsia="et-EE"/>
        </w:rPr>
        <w:t>.</w:t>
      </w:r>
      <w:r w:rsidR="009A06E4" w:rsidRPr="00C50854">
        <w:fldChar w:fldCharType="begin"/>
      </w:r>
      <w:r w:rsidR="009A06E4" w:rsidRPr="00C50854">
        <w:instrText xml:space="preserve"> REF _Ref463512660 \h </w:instrText>
      </w:r>
      <w:r w:rsidR="00072A34" w:rsidRPr="00C50854">
        <w:instrText xml:space="preserve"> \* MERGEFORMAT </w:instrText>
      </w:r>
      <w:r w:rsidR="009A06E4" w:rsidRPr="00C50854">
        <w:fldChar w:fldCharType="separate"/>
      </w:r>
    </w:p>
    <w:p w14:paraId="0A8BB182" w14:textId="2FC34383" w:rsidR="00294DAE" w:rsidRPr="00C50854" w:rsidRDefault="009A06E4" w:rsidP="00311E1F">
      <w:pPr>
        <w:numPr>
          <w:ilvl w:val="0"/>
          <w:numId w:val="13"/>
        </w:numPr>
        <w:suppressAutoHyphens w:val="0"/>
        <w:autoSpaceDE w:val="0"/>
        <w:autoSpaceDN w:val="0"/>
        <w:adjustRightInd w:val="0"/>
        <w:spacing w:before="120" w:after="120"/>
        <w:jc w:val="both"/>
      </w:pPr>
      <w:r w:rsidRPr="00C50854">
        <w:fldChar w:fldCharType="end"/>
      </w:r>
      <w:r w:rsidR="001E5A36" w:rsidRPr="00C50854">
        <w:t>Tabelis 7</w:t>
      </w:r>
      <w:r w:rsidRPr="00C50854">
        <w:t xml:space="preserve"> on toodud fikseeritud sidevõrgus </w:t>
      </w:r>
      <w:r w:rsidR="00DB551F" w:rsidRPr="00C50854">
        <w:t xml:space="preserve">jaetasandil </w:t>
      </w:r>
      <w:r w:rsidRPr="00C50854">
        <w:t xml:space="preserve">lairiba </w:t>
      </w:r>
      <w:r w:rsidR="00DB551F" w:rsidRPr="00C50854">
        <w:t xml:space="preserve">ühendust </w:t>
      </w:r>
      <w:r w:rsidRPr="00C50854">
        <w:t xml:space="preserve">pakkuvate ettevõtjate jagunemine </w:t>
      </w:r>
      <w:r w:rsidR="00DB551F" w:rsidRPr="00C50854">
        <w:t>tehnoloogiate alusel</w:t>
      </w:r>
      <w:r w:rsidRPr="00C50854">
        <w:t xml:space="preserve"> aastatel 201</w:t>
      </w:r>
      <w:r w:rsidR="00F04F93" w:rsidRPr="00C50854">
        <w:t>6</w:t>
      </w:r>
      <w:r w:rsidRPr="00C50854">
        <w:t>-201</w:t>
      </w:r>
      <w:r w:rsidR="00F04F93" w:rsidRPr="00C50854">
        <w:t>8</w:t>
      </w:r>
      <w:r w:rsidRPr="00C50854">
        <w:t xml:space="preserve">. Tabelist selgub, et </w:t>
      </w:r>
      <w:r w:rsidR="00DB551F" w:rsidRPr="00C50854">
        <w:t>201</w:t>
      </w:r>
      <w:r w:rsidR="00F04F93" w:rsidRPr="00C50854">
        <w:t>8</w:t>
      </w:r>
      <w:r w:rsidR="00E2552A" w:rsidRPr="00C50854">
        <w:t>.</w:t>
      </w:r>
      <w:r w:rsidR="00DB551F" w:rsidRPr="00C50854">
        <w:t xml:space="preserve"> aastal pakuvad </w:t>
      </w:r>
      <w:r w:rsidRPr="00C50854">
        <w:t>valguskaabli</w:t>
      </w:r>
      <w:r w:rsidR="00DB551F" w:rsidRPr="00C50854">
        <w:t xml:space="preserve"> baasil lairiba ühendust lisaks Teliale </w:t>
      </w:r>
      <w:r w:rsidR="00AF3E4B" w:rsidRPr="00C50854">
        <w:t xml:space="preserve">...* </w:t>
      </w:r>
      <w:r w:rsidR="00DB551F" w:rsidRPr="00C50854">
        <w:t>%</w:t>
      </w:r>
      <w:r w:rsidRPr="00C50854">
        <w:t xml:space="preserve"> </w:t>
      </w:r>
      <w:r w:rsidR="00DB551F" w:rsidRPr="00C50854">
        <w:t>ka STV</w:t>
      </w:r>
      <w:r w:rsidR="00A34D8C" w:rsidRPr="00C50854">
        <w:t xml:space="preserve"> </w:t>
      </w:r>
      <w:r w:rsidR="00AF3E4B" w:rsidRPr="00C50854">
        <w:t>...*</w:t>
      </w:r>
      <w:r w:rsidR="00DB551F" w:rsidRPr="00C50854">
        <w:t xml:space="preserve">% ja teised väiksemad sideettevõtjad </w:t>
      </w:r>
      <w:r w:rsidR="00AF3E4B" w:rsidRPr="00C50854">
        <w:t>...*</w:t>
      </w:r>
      <w:r w:rsidR="00DB551F" w:rsidRPr="00C50854">
        <w:t>%</w:t>
      </w:r>
      <w:r w:rsidRPr="00C50854">
        <w:t xml:space="preserve">. </w:t>
      </w:r>
    </w:p>
    <w:tbl>
      <w:tblPr>
        <w:tblW w:w="931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2100"/>
        <w:gridCol w:w="720"/>
        <w:gridCol w:w="645"/>
        <w:gridCol w:w="841"/>
        <w:gridCol w:w="838"/>
        <w:gridCol w:w="839"/>
        <w:gridCol w:w="841"/>
        <w:gridCol w:w="839"/>
        <w:gridCol w:w="813"/>
        <w:gridCol w:w="840"/>
      </w:tblGrid>
      <w:tr w:rsidR="004837E6" w:rsidRPr="00C50854" w14:paraId="592034AB" w14:textId="77777777" w:rsidTr="00844BC5">
        <w:trPr>
          <w:trHeight w:val="316"/>
        </w:trPr>
        <w:tc>
          <w:tcPr>
            <w:tcW w:w="2100" w:type="dxa"/>
            <w:vMerge w:val="restart"/>
            <w:shd w:val="clear" w:color="000000" w:fill="CCFFCC"/>
            <w:noWrap/>
            <w:vAlign w:val="bottom"/>
            <w:hideMark/>
          </w:tcPr>
          <w:p w14:paraId="07CDC17E" w14:textId="6A7F355F" w:rsidR="004837E6" w:rsidRPr="00C50854" w:rsidRDefault="00294DAE">
            <w:pPr>
              <w:suppressAutoHyphens w:val="0"/>
              <w:jc w:val="center"/>
              <w:rPr>
                <w:color w:val="000000"/>
                <w:sz w:val="20"/>
                <w:szCs w:val="20"/>
                <w:lang w:eastAsia="et-EE"/>
              </w:rPr>
            </w:pPr>
            <w:r w:rsidRPr="00C50854">
              <w:br w:type="page"/>
            </w:r>
            <w:bookmarkStart w:id="211" w:name="_Ref463512660"/>
            <w:r w:rsidR="004837E6" w:rsidRPr="00C50854">
              <w:rPr>
                <w:color w:val="000000"/>
                <w:sz w:val="20"/>
                <w:szCs w:val="20"/>
              </w:rPr>
              <w:t> </w:t>
            </w:r>
          </w:p>
        </w:tc>
        <w:tc>
          <w:tcPr>
            <w:tcW w:w="2206" w:type="dxa"/>
            <w:gridSpan w:val="3"/>
            <w:shd w:val="clear" w:color="000000" w:fill="CCFFCC"/>
            <w:noWrap/>
            <w:vAlign w:val="bottom"/>
            <w:hideMark/>
          </w:tcPr>
          <w:p w14:paraId="2F99D1B0" w14:textId="703B8362" w:rsidR="004837E6" w:rsidRPr="00C50854" w:rsidRDefault="004837E6">
            <w:pPr>
              <w:jc w:val="center"/>
              <w:rPr>
                <w:b/>
                <w:color w:val="000000"/>
                <w:sz w:val="20"/>
                <w:szCs w:val="20"/>
              </w:rPr>
            </w:pPr>
            <w:r w:rsidRPr="00C50854">
              <w:rPr>
                <w:b/>
                <w:color w:val="000000"/>
                <w:sz w:val="20"/>
                <w:szCs w:val="20"/>
              </w:rPr>
              <w:t>2 01</w:t>
            </w:r>
            <w:r w:rsidR="00E84358" w:rsidRPr="00C50854">
              <w:rPr>
                <w:b/>
                <w:color w:val="000000"/>
                <w:sz w:val="20"/>
                <w:szCs w:val="20"/>
              </w:rPr>
              <w:t>6</w:t>
            </w:r>
          </w:p>
        </w:tc>
        <w:tc>
          <w:tcPr>
            <w:tcW w:w="2518" w:type="dxa"/>
            <w:gridSpan w:val="3"/>
            <w:shd w:val="clear" w:color="000000" w:fill="CCFFCC"/>
            <w:noWrap/>
            <w:vAlign w:val="bottom"/>
            <w:hideMark/>
          </w:tcPr>
          <w:p w14:paraId="3B0E0F1A" w14:textId="576F2F01" w:rsidR="004837E6" w:rsidRPr="00C50854" w:rsidRDefault="004837E6">
            <w:pPr>
              <w:jc w:val="center"/>
              <w:rPr>
                <w:b/>
                <w:color w:val="000000"/>
                <w:sz w:val="20"/>
                <w:szCs w:val="20"/>
              </w:rPr>
            </w:pPr>
            <w:r w:rsidRPr="00C50854">
              <w:rPr>
                <w:b/>
                <w:color w:val="000000"/>
                <w:sz w:val="20"/>
                <w:szCs w:val="20"/>
              </w:rPr>
              <w:t>2 01</w:t>
            </w:r>
            <w:r w:rsidR="00E84358" w:rsidRPr="00C50854">
              <w:rPr>
                <w:b/>
                <w:color w:val="000000"/>
                <w:sz w:val="20"/>
                <w:szCs w:val="20"/>
              </w:rPr>
              <w:t>7</w:t>
            </w:r>
          </w:p>
        </w:tc>
        <w:tc>
          <w:tcPr>
            <w:tcW w:w="2492" w:type="dxa"/>
            <w:gridSpan w:val="3"/>
            <w:shd w:val="clear" w:color="000000" w:fill="CCFFCC"/>
            <w:noWrap/>
            <w:vAlign w:val="bottom"/>
            <w:hideMark/>
          </w:tcPr>
          <w:p w14:paraId="25661AD5" w14:textId="2B5C1196" w:rsidR="004837E6" w:rsidRPr="00C50854" w:rsidRDefault="004837E6">
            <w:pPr>
              <w:jc w:val="center"/>
              <w:rPr>
                <w:b/>
                <w:color w:val="000000"/>
                <w:sz w:val="20"/>
                <w:szCs w:val="20"/>
              </w:rPr>
            </w:pPr>
            <w:r w:rsidRPr="00C50854">
              <w:rPr>
                <w:b/>
                <w:color w:val="000000"/>
                <w:sz w:val="20"/>
                <w:szCs w:val="20"/>
              </w:rPr>
              <w:t>2 01</w:t>
            </w:r>
            <w:r w:rsidR="00E84358" w:rsidRPr="00C50854">
              <w:rPr>
                <w:b/>
                <w:color w:val="000000"/>
                <w:sz w:val="20"/>
                <w:szCs w:val="20"/>
              </w:rPr>
              <w:t>8</w:t>
            </w:r>
          </w:p>
        </w:tc>
      </w:tr>
      <w:tr w:rsidR="004837E6" w:rsidRPr="00C50854" w14:paraId="7B151AB7" w14:textId="77777777" w:rsidTr="00844BC5">
        <w:trPr>
          <w:trHeight w:val="316"/>
        </w:trPr>
        <w:tc>
          <w:tcPr>
            <w:tcW w:w="2100" w:type="dxa"/>
            <w:vMerge/>
            <w:vAlign w:val="center"/>
            <w:hideMark/>
          </w:tcPr>
          <w:p w14:paraId="4391756A" w14:textId="77777777" w:rsidR="004837E6" w:rsidRPr="00C50854" w:rsidRDefault="004837E6">
            <w:pPr>
              <w:rPr>
                <w:color w:val="000000"/>
                <w:sz w:val="20"/>
                <w:szCs w:val="20"/>
              </w:rPr>
            </w:pPr>
          </w:p>
        </w:tc>
        <w:tc>
          <w:tcPr>
            <w:tcW w:w="720" w:type="dxa"/>
            <w:shd w:val="clear" w:color="auto" w:fill="CCFFCC"/>
            <w:noWrap/>
            <w:vAlign w:val="bottom"/>
            <w:hideMark/>
          </w:tcPr>
          <w:p w14:paraId="2B37511B" w14:textId="77777777" w:rsidR="004837E6" w:rsidRPr="00C50854" w:rsidRDefault="004837E6" w:rsidP="00090938">
            <w:pPr>
              <w:jc w:val="center"/>
              <w:rPr>
                <w:color w:val="000000"/>
                <w:sz w:val="20"/>
                <w:szCs w:val="20"/>
              </w:rPr>
            </w:pPr>
            <w:r w:rsidRPr="00C50854">
              <w:rPr>
                <w:color w:val="000000"/>
                <w:sz w:val="20"/>
                <w:szCs w:val="20"/>
              </w:rPr>
              <w:t>vask</w:t>
            </w:r>
          </w:p>
        </w:tc>
        <w:tc>
          <w:tcPr>
            <w:tcW w:w="645" w:type="dxa"/>
            <w:shd w:val="clear" w:color="auto" w:fill="CCFFCC"/>
            <w:noWrap/>
            <w:vAlign w:val="bottom"/>
            <w:hideMark/>
          </w:tcPr>
          <w:p w14:paraId="042F4756" w14:textId="2105B33B" w:rsidR="004837E6" w:rsidRPr="00C50854" w:rsidRDefault="004837E6" w:rsidP="00090938">
            <w:pPr>
              <w:jc w:val="center"/>
              <w:rPr>
                <w:color w:val="000000"/>
                <w:sz w:val="20"/>
                <w:szCs w:val="20"/>
              </w:rPr>
            </w:pPr>
            <w:r w:rsidRPr="00C50854">
              <w:rPr>
                <w:color w:val="000000"/>
                <w:sz w:val="20"/>
                <w:szCs w:val="20"/>
              </w:rPr>
              <w:t>optika</w:t>
            </w:r>
          </w:p>
        </w:tc>
        <w:tc>
          <w:tcPr>
            <w:tcW w:w="841" w:type="dxa"/>
            <w:shd w:val="clear" w:color="auto" w:fill="CCFFCC"/>
            <w:noWrap/>
            <w:vAlign w:val="bottom"/>
            <w:hideMark/>
          </w:tcPr>
          <w:p w14:paraId="24D06F82" w14:textId="77777777" w:rsidR="004837E6" w:rsidRPr="00C50854" w:rsidRDefault="004837E6" w:rsidP="00090938">
            <w:pPr>
              <w:jc w:val="center"/>
              <w:rPr>
                <w:color w:val="000000"/>
                <w:sz w:val="20"/>
                <w:szCs w:val="20"/>
              </w:rPr>
            </w:pPr>
            <w:r w:rsidRPr="00C50854">
              <w:rPr>
                <w:color w:val="000000"/>
                <w:sz w:val="20"/>
                <w:szCs w:val="20"/>
              </w:rPr>
              <w:t>kaabel</w:t>
            </w:r>
          </w:p>
        </w:tc>
        <w:tc>
          <w:tcPr>
            <w:tcW w:w="838" w:type="dxa"/>
            <w:shd w:val="clear" w:color="auto" w:fill="CCFFCC"/>
            <w:noWrap/>
            <w:vAlign w:val="bottom"/>
            <w:hideMark/>
          </w:tcPr>
          <w:p w14:paraId="6B5289B8" w14:textId="77777777" w:rsidR="004837E6" w:rsidRPr="00C50854" w:rsidRDefault="004837E6" w:rsidP="00090938">
            <w:pPr>
              <w:jc w:val="center"/>
              <w:rPr>
                <w:color w:val="000000"/>
                <w:sz w:val="20"/>
                <w:szCs w:val="20"/>
              </w:rPr>
            </w:pPr>
            <w:r w:rsidRPr="00C50854">
              <w:rPr>
                <w:color w:val="000000"/>
                <w:sz w:val="20"/>
                <w:szCs w:val="20"/>
              </w:rPr>
              <w:t>vask</w:t>
            </w:r>
          </w:p>
        </w:tc>
        <w:tc>
          <w:tcPr>
            <w:tcW w:w="839" w:type="dxa"/>
            <w:shd w:val="clear" w:color="auto" w:fill="CCFFCC"/>
            <w:noWrap/>
            <w:vAlign w:val="bottom"/>
            <w:hideMark/>
          </w:tcPr>
          <w:p w14:paraId="587A3A39" w14:textId="72B9A4A3" w:rsidR="004837E6" w:rsidRPr="00C50854" w:rsidRDefault="004837E6" w:rsidP="00090938">
            <w:pPr>
              <w:jc w:val="center"/>
              <w:rPr>
                <w:color w:val="000000"/>
                <w:sz w:val="20"/>
                <w:szCs w:val="20"/>
              </w:rPr>
            </w:pPr>
            <w:r w:rsidRPr="00C50854">
              <w:rPr>
                <w:color w:val="000000"/>
                <w:sz w:val="20"/>
                <w:szCs w:val="20"/>
              </w:rPr>
              <w:t>optika</w:t>
            </w:r>
          </w:p>
        </w:tc>
        <w:tc>
          <w:tcPr>
            <w:tcW w:w="841" w:type="dxa"/>
            <w:shd w:val="clear" w:color="auto" w:fill="CCFFCC"/>
            <w:noWrap/>
            <w:vAlign w:val="bottom"/>
            <w:hideMark/>
          </w:tcPr>
          <w:p w14:paraId="64188993" w14:textId="77777777" w:rsidR="004837E6" w:rsidRPr="00C50854" w:rsidRDefault="004837E6" w:rsidP="00090938">
            <w:pPr>
              <w:jc w:val="center"/>
              <w:rPr>
                <w:color w:val="000000"/>
                <w:sz w:val="20"/>
                <w:szCs w:val="20"/>
              </w:rPr>
            </w:pPr>
            <w:r w:rsidRPr="00C50854">
              <w:rPr>
                <w:color w:val="000000"/>
                <w:sz w:val="20"/>
                <w:szCs w:val="20"/>
              </w:rPr>
              <w:t>kaabel</w:t>
            </w:r>
          </w:p>
        </w:tc>
        <w:tc>
          <w:tcPr>
            <w:tcW w:w="839" w:type="dxa"/>
            <w:shd w:val="clear" w:color="auto" w:fill="CCFFCC"/>
            <w:noWrap/>
            <w:vAlign w:val="bottom"/>
            <w:hideMark/>
          </w:tcPr>
          <w:p w14:paraId="1C62C9AF" w14:textId="77777777" w:rsidR="004837E6" w:rsidRPr="00C50854" w:rsidRDefault="004837E6" w:rsidP="00090938">
            <w:pPr>
              <w:jc w:val="center"/>
              <w:rPr>
                <w:color w:val="000000"/>
                <w:sz w:val="20"/>
                <w:szCs w:val="20"/>
              </w:rPr>
            </w:pPr>
            <w:r w:rsidRPr="00C50854">
              <w:rPr>
                <w:color w:val="000000"/>
                <w:sz w:val="20"/>
                <w:szCs w:val="20"/>
              </w:rPr>
              <w:t>vask</w:t>
            </w:r>
          </w:p>
        </w:tc>
        <w:tc>
          <w:tcPr>
            <w:tcW w:w="813" w:type="dxa"/>
            <w:shd w:val="clear" w:color="auto" w:fill="CCFFCC"/>
            <w:noWrap/>
            <w:vAlign w:val="bottom"/>
            <w:hideMark/>
          </w:tcPr>
          <w:p w14:paraId="14E00D07" w14:textId="56EE08FC" w:rsidR="004837E6" w:rsidRPr="00C50854" w:rsidRDefault="004837E6" w:rsidP="00090938">
            <w:pPr>
              <w:jc w:val="center"/>
              <w:rPr>
                <w:color w:val="000000"/>
                <w:sz w:val="20"/>
                <w:szCs w:val="20"/>
              </w:rPr>
            </w:pPr>
            <w:r w:rsidRPr="00C50854">
              <w:rPr>
                <w:color w:val="000000"/>
                <w:sz w:val="20"/>
                <w:szCs w:val="20"/>
              </w:rPr>
              <w:t>optika</w:t>
            </w:r>
          </w:p>
        </w:tc>
        <w:tc>
          <w:tcPr>
            <w:tcW w:w="840" w:type="dxa"/>
            <w:shd w:val="clear" w:color="auto" w:fill="CCFFCC"/>
            <w:noWrap/>
            <w:vAlign w:val="bottom"/>
            <w:hideMark/>
          </w:tcPr>
          <w:p w14:paraId="72607FD6" w14:textId="77777777" w:rsidR="004837E6" w:rsidRPr="00C50854" w:rsidRDefault="004837E6" w:rsidP="00090938">
            <w:pPr>
              <w:jc w:val="center"/>
              <w:rPr>
                <w:color w:val="000000"/>
                <w:sz w:val="20"/>
                <w:szCs w:val="20"/>
              </w:rPr>
            </w:pPr>
            <w:r w:rsidRPr="00C50854">
              <w:rPr>
                <w:color w:val="000000"/>
                <w:sz w:val="20"/>
                <w:szCs w:val="20"/>
              </w:rPr>
              <w:t>kaabel</w:t>
            </w:r>
          </w:p>
        </w:tc>
      </w:tr>
      <w:tr w:rsidR="00AF3E4B" w:rsidRPr="00C50854" w14:paraId="59BD91C3" w14:textId="77777777" w:rsidTr="00844BC5">
        <w:trPr>
          <w:trHeight w:val="316"/>
        </w:trPr>
        <w:tc>
          <w:tcPr>
            <w:tcW w:w="2100" w:type="dxa"/>
            <w:shd w:val="clear" w:color="auto" w:fill="auto"/>
            <w:noWrap/>
            <w:vAlign w:val="bottom"/>
            <w:hideMark/>
          </w:tcPr>
          <w:p w14:paraId="73AEE6EC" w14:textId="77777777" w:rsidR="00AF3E4B" w:rsidRPr="00C50854" w:rsidRDefault="00AF3E4B" w:rsidP="00AF3E4B">
            <w:pPr>
              <w:rPr>
                <w:b/>
                <w:color w:val="000000"/>
                <w:sz w:val="20"/>
                <w:szCs w:val="20"/>
              </w:rPr>
            </w:pPr>
            <w:r w:rsidRPr="00C50854">
              <w:rPr>
                <w:b/>
                <w:color w:val="000000"/>
                <w:sz w:val="20"/>
                <w:szCs w:val="20"/>
              </w:rPr>
              <w:t>Telia</w:t>
            </w:r>
          </w:p>
        </w:tc>
        <w:tc>
          <w:tcPr>
            <w:tcW w:w="720" w:type="dxa"/>
            <w:shd w:val="clear" w:color="auto" w:fill="auto"/>
            <w:noWrap/>
            <w:hideMark/>
          </w:tcPr>
          <w:p w14:paraId="4DBFC940" w14:textId="23C7B22E" w:rsidR="00AF3E4B" w:rsidRPr="00C50854" w:rsidRDefault="00AF3E4B" w:rsidP="00AF3E4B">
            <w:pPr>
              <w:jc w:val="center"/>
              <w:rPr>
                <w:sz w:val="20"/>
                <w:szCs w:val="20"/>
              </w:rPr>
            </w:pPr>
            <w:r w:rsidRPr="00C50854">
              <w:rPr>
                <w:sz w:val="20"/>
                <w:szCs w:val="20"/>
              </w:rPr>
              <w:t>...*%</w:t>
            </w:r>
          </w:p>
        </w:tc>
        <w:tc>
          <w:tcPr>
            <w:tcW w:w="645" w:type="dxa"/>
            <w:shd w:val="clear" w:color="auto" w:fill="auto"/>
            <w:noWrap/>
            <w:hideMark/>
          </w:tcPr>
          <w:p w14:paraId="5198884C" w14:textId="2403718D" w:rsidR="00AF3E4B" w:rsidRPr="00C50854" w:rsidRDefault="00AF3E4B" w:rsidP="00AF3E4B">
            <w:pPr>
              <w:jc w:val="center"/>
              <w:rPr>
                <w:sz w:val="20"/>
                <w:szCs w:val="20"/>
              </w:rPr>
            </w:pPr>
            <w:r w:rsidRPr="00C50854">
              <w:rPr>
                <w:sz w:val="20"/>
                <w:szCs w:val="20"/>
              </w:rPr>
              <w:t>...*%</w:t>
            </w:r>
          </w:p>
        </w:tc>
        <w:tc>
          <w:tcPr>
            <w:tcW w:w="841" w:type="dxa"/>
            <w:shd w:val="clear" w:color="auto" w:fill="auto"/>
            <w:noWrap/>
            <w:hideMark/>
          </w:tcPr>
          <w:p w14:paraId="63B1A299" w14:textId="28BE18C5" w:rsidR="00AF3E4B" w:rsidRPr="00C50854" w:rsidRDefault="00AF3E4B" w:rsidP="00AF3E4B">
            <w:pPr>
              <w:jc w:val="center"/>
              <w:rPr>
                <w:sz w:val="20"/>
                <w:szCs w:val="20"/>
              </w:rPr>
            </w:pPr>
            <w:r w:rsidRPr="00C50854">
              <w:rPr>
                <w:sz w:val="20"/>
                <w:szCs w:val="20"/>
              </w:rPr>
              <w:t>...*%</w:t>
            </w:r>
          </w:p>
        </w:tc>
        <w:tc>
          <w:tcPr>
            <w:tcW w:w="838" w:type="dxa"/>
            <w:shd w:val="clear" w:color="auto" w:fill="auto"/>
            <w:noWrap/>
            <w:hideMark/>
          </w:tcPr>
          <w:p w14:paraId="30B7C35D" w14:textId="6813ED37" w:rsidR="00AF3E4B" w:rsidRPr="00C50854" w:rsidRDefault="00AF3E4B" w:rsidP="00AF3E4B">
            <w:pPr>
              <w:jc w:val="center"/>
              <w:rPr>
                <w:sz w:val="20"/>
                <w:szCs w:val="20"/>
              </w:rPr>
            </w:pPr>
            <w:r w:rsidRPr="00C50854">
              <w:rPr>
                <w:sz w:val="20"/>
                <w:szCs w:val="20"/>
              </w:rPr>
              <w:t>...*%</w:t>
            </w:r>
          </w:p>
        </w:tc>
        <w:tc>
          <w:tcPr>
            <w:tcW w:w="839" w:type="dxa"/>
            <w:shd w:val="clear" w:color="auto" w:fill="auto"/>
            <w:noWrap/>
            <w:hideMark/>
          </w:tcPr>
          <w:p w14:paraId="14CEA353" w14:textId="531798A2" w:rsidR="00AF3E4B" w:rsidRPr="00C50854" w:rsidRDefault="00AF3E4B" w:rsidP="00AF3E4B">
            <w:pPr>
              <w:jc w:val="center"/>
              <w:rPr>
                <w:sz w:val="20"/>
                <w:szCs w:val="20"/>
              </w:rPr>
            </w:pPr>
            <w:r w:rsidRPr="00C50854">
              <w:rPr>
                <w:sz w:val="20"/>
                <w:szCs w:val="20"/>
              </w:rPr>
              <w:t>...*%</w:t>
            </w:r>
          </w:p>
        </w:tc>
        <w:tc>
          <w:tcPr>
            <w:tcW w:w="841" w:type="dxa"/>
            <w:shd w:val="clear" w:color="auto" w:fill="auto"/>
            <w:noWrap/>
            <w:hideMark/>
          </w:tcPr>
          <w:p w14:paraId="565C6724" w14:textId="3599338A" w:rsidR="00AF3E4B" w:rsidRPr="00C50854" w:rsidRDefault="00AF3E4B" w:rsidP="00AF3E4B">
            <w:pPr>
              <w:jc w:val="center"/>
              <w:rPr>
                <w:sz w:val="20"/>
                <w:szCs w:val="20"/>
              </w:rPr>
            </w:pPr>
            <w:r w:rsidRPr="00C50854">
              <w:rPr>
                <w:sz w:val="20"/>
                <w:szCs w:val="20"/>
              </w:rPr>
              <w:t>...*%</w:t>
            </w:r>
          </w:p>
        </w:tc>
        <w:tc>
          <w:tcPr>
            <w:tcW w:w="839" w:type="dxa"/>
            <w:shd w:val="clear" w:color="auto" w:fill="auto"/>
            <w:noWrap/>
            <w:hideMark/>
          </w:tcPr>
          <w:p w14:paraId="31EDAE90" w14:textId="5E91E362" w:rsidR="00AF3E4B" w:rsidRPr="00C50854" w:rsidRDefault="00AF3E4B" w:rsidP="00AF3E4B">
            <w:pPr>
              <w:jc w:val="center"/>
              <w:rPr>
                <w:sz w:val="20"/>
                <w:szCs w:val="20"/>
              </w:rPr>
            </w:pPr>
            <w:r w:rsidRPr="00C50854">
              <w:rPr>
                <w:sz w:val="20"/>
                <w:szCs w:val="20"/>
              </w:rPr>
              <w:t>...*%</w:t>
            </w:r>
          </w:p>
        </w:tc>
        <w:tc>
          <w:tcPr>
            <w:tcW w:w="813" w:type="dxa"/>
            <w:shd w:val="clear" w:color="auto" w:fill="auto"/>
            <w:noWrap/>
            <w:hideMark/>
          </w:tcPr>
          <w:p w14:paraId="064EA607" w14:textId="08CAA7CE" w:rsidR="00AF3E4B" w:rsidRPr="00C50854" w:rsidRDefault="00AF3E4B" w:rsidP="00AF3E4B">
            <w:pPr>
              <w:jc w:val="center"/>
              <w:rPr>
                <w:sz w:val="20"/>
                <w:szCs w:val="20"/>
              </w:rPr>
            </w:pPr>
            <w:r w:rsidRPr="00C50854">
              <w:rPr>
                <w:sz w:val="20"/>
                <w:szCs w:val="20"/>
              </w:rPr>
              <w:t>...*%</w:t>
            </w:r>
          </w:p>
        </w:tc>
        <w:tc>
          <w:tcPr>
            <w:tcW w:w="840" w:type="dxa"/>
            <w:shd w:val="clear" w:color="auto" w:fill="auto"/>
            <w:noWrap/>
            <w:hideMark/>
          </w:tcPr>
          <w:p w14:paraId="12441A9C" w14:textId="69D9183F" w:rsidR="00AF3E4B" w:rsidRPr="00C50854" w:rsidRDefault="00AF3E4B" w:rsidP="00AF3E4B">
            <w:pPr>
              <w:jc w:val="center"/>
              <w:rPr>
                <w:sz w:val="20"/>
                <w:szCs w:val="20"/>
              </w:rPr>
            </w:pPr>
            <w:r w:rsidRPr="00C50854">
              <w:rPr>
                <w:sz w:val="20"/>
                <w:szCs w:val="20"/>
              </w:rPr>
              <w:t>...*%</w:t>
            </w:r>
          </w:p>
        </w:tc>
      </w:tr>
      <w:tr w:rsidR="00AF3E4B" w:rsidRPr="00C50854" w14:paraId="6529C4BA" w14:textId="77777777" w:rsidTr="00844BC5">
        <w:trPr>
          <w:trHeight w:val="316"/>
        </w:trPr>
        <w:tc>
          <w:tcPr>
            <w:tcW w:w="2100" w:type="dxa"/>
            <w:shd w:val="clear" w:color="auto" w:fill="auto"/>
            <w:noWrap/>
            <w:vAlign w:val="bottom"/>
            <w:hideMark/>
          </w:tcPr>
          <w:p w14:paraId="588DBD6E" w14:textId="50AF54D0" w:rsidR="00AF3E4B" w:rsidRPr="00C50854" w:rsidRDefault="00AF3E4B" w:rsidP="00AF3E4B">
            <w:pPr>
              <w:rPr>
                <w:b/>
                <w:color w:val="000000"/>
                <w:sz w:val="20"/>
                <w:szCs w:val="20"/>
              </w:rPr>
            </w:pPr>
            <w:r w:rsidRPr="00C50854">
              <w:rPr>
                <w:b/>
                <w:color w:val="000000"/>
                <w:sz w:val="20"/>
                <w:szCs w:val="20"/>
              </w:rPr>
              <w:t>Starman/Teleteenused</w:t>
            </w:r>
          </w:p>
        </w:tc>
        <w:tc>
          <w:tcPr>
            <w:tcW w:w="720" w:type="dxa"/>
            <w:shd w:val="clear" w:color="auto" w:fill="auto"/>
            <w:noWrap/>
            <w:hideMark/>
          </w:tcPr>
          <w:p w14:paraId="4A1390AF" w14:textId="31B711EA" w:rsidR="00AF3E4B" w:rsidRPr="00C50854" w:rsidRDefault="00AF3E4B" w:rsidP="00AF3E4B">
            <w:pPr>
              <w:jc w:val="center"/>
              <w:rPr>
                <w:sz w:val="20"/>
                <w:szCs w:val="20"/>
              </w:rPr>
            </w:pPr>
            <w:r w:rsidRPr="00C50854">
              <w:rPr>
                <w:sz w:val="20"/>
                <w:szCs w:val="20"/>
              </w:rPr>
              <w:t>...*%</w:t>
            </w:r>
          </w:p>
        </w:tc>
        <w:tc>
          <w:tcPr>
            <w:tcW w:w="645" w:type="dxa"/>
            <w:shd w:val="clear" w:color="auto" w:fill="auto"/>
            <w:noWrap/>
            <w:hideMark/>
          </w:tcPr>
          <w:p w14:paraId="6BA26843" w14:textId="215FC446" w:rsidR="00AF3E4B" w:rsidRPr="00C50854" w:rsidRDefault="00AF3E4B" w:rsidP="00AF3E4B">
            <w:pPr>
              <w:jc w:val="center"/>
              <w:rPr>
                <w:sz w:val="20"/>
                <w:szCs w:val="20"/>
              </w:rPr>
            </w:pPr>
            <w:r w:rsidRPr="00C50854">
              <w:rPr>
                <w:sz w:val="20"/>
                <w:szCs w:val="20"/>
              </w:rPr>
              <w:t>...*%</w:t>
            </w:r>
          </w:p>
        </w:tc>
        <w:tc>
          <w:tcPr>
            <w:tcW w:w="841" w:type="dxa"/>
            <w:shd w:val="clear" w:color="auto" w:fill="auto"/>
            <w:noWrap/>
            <w:hideMark/>
          </w:tcPr>
          <w:p w14:paraId="5086CAD3" w14:textId="7BC579CD" w:rsidR="00AF3E4B" w:rsidRPr="00C50854" w:rsidRDefault="00AF3E4B" w:rsidP="00AF3E4B">
            <w:pPr>
              <w:jc w:val="center"/>
              <w:rPr>
                <w:sz w:val="20"/>
                <w:szCs w:val="20"/>
              </w:rPr>
            </w:pPr>
            <w:r w:rsidRPr="00C50854">
              <w:rPr>
                <w:sz w:val="20"/>
                <w:szCs w:val="20"/>
              </w:rPr>
              <w:t>...*%</w:t>
            </w:r>
          </w:p>
        </w:tc>
        <w:tc>
          <w:tcPr>
            <w:tcW w:w="838" w:type="dxa"/>
            <w:shd w:val="clear" w:color="auto" w:fill="auto"/>
            <w:noWrap/>
            <w:hideMark/>
          </w:tcPr>
          <w:p w14:paraId="5E1FDD7D" w14:textId="584A4701" w:rsidR="00AF3E4B" w:rsidRPr="00C50854" w:rsidRDefault="00AF3E4B" w:rsidP="00AF3E4B">
            <w:pPr>
              <w:jc w:val="center"/>
              <w:rPr>
                <w:sz w:val="20"/>
                <w:szCs w:val="20"/>
              </w:rPr>
            </w:pPr>
            <w:r w:rsidRPr="00C50854">
              <w:rPr>
                <w:sz w:val="20"/>
                <w:szCs w:val="20"/>
              </w:rPr>
              <w:t>...*%</w:t>
            </w:r>
          </w:p>
        </w:tc>
        <w:tc>
          <w:tcPr>
            <w:tcW w:w="839" w:type="dxa"/>
            <w:shd w:val="clear" w:color="auto" w:fill="auto"/>
            <w:noWrap/>
            <w:hideMark/>
          </w:tcPr>
          <w:p w14:paraId="0780E047" w14:textId="0A05BCC8" w:rsidR="00AF3E4B" w:rsidRPr="00C50854" w:rsidRDefault="00AF3E4B" w:rsidP="00AF3E4B">
            <w:pPr>
              <w:jc w:val="center"/>
              <w:rPr>
                <w:sz w:val="20"/>
                <w:szCs w:val="20"/>
              </w:rPr>
            </w:pPr>
            <w:r w:rsidRPr="00C50854">
              <w:rPr>
                <w:sz w:val="20"/>
                <w:szCs w:val="20"/>
              </w:rPr>
              <w:t>...*%</w:t>
            </w:r>
          </w:p>
        </w:tc>
        <w:tc>
          <w:tcPr>
            <w:tcW w:w="841" w:type="dxa"/>
            <w:shd w:val="clear" w:color="auto" w:fill="auto"/>
            <w:noWrap/>
            <w:hideMark/>
          </w:tcPr>
          <w:p w14:paraId="7628AB6D" w14:textId="2BF8A80A" w:rsidR="00AF3E4B" w:rsidRPr="00C50854" w:rsidRDefault="00AF3E4B" w:rsidP="00AF3E4B">
            <w:pPr>
              <w:jc w:val="center"/>
              <w:rPr>
                <w:sz w:val="20"/>
                <w:szCs w:val="20"/>
              </w:rPr>
            </w:pPr>
            <w:r w:rsidRPr="00C50854">
              <w:rPr>
                <w:sz w:val="20"/>
                <w:szCs w:val="20"/>
              </w:rPr>
              <w:t>...*%</w:t>
            </w:r>
          </w:p>
        </w:tc>
        <w:tc>
          <w:tcPr>
            <w:tcW w:w="839" w:type="dxa"/>
            <w:shd w:val="clear" w:color="auto" w:fill="auto"/>
            <w:noWrap/>
            <w:hideMark/>
          </w:tcPr>
          <w:p w14:paraId="1145782D" w14:textId="5D57580E" w:rsidR="00AF3E4B" w:rsidRPr="00C50854" w:rsidRDefault="00AF3E4B" w:rsidP="00AF3E4B">
            <w:pPr>
              <w:jc w:val="center"/>
              <w:rPr>
                <w:sz w:val="20"/>
                <w:szCs w:val="20"/>
              </w:rPr>
            </w:pPr>
            <w:r w:rsidRPr="00C50854">
              <w:rPr>
                <w:sz w:val="20"/>
                <w:szCs w:val="20"/>
              </w:rPr>
              <w:t>...*%</w:t>
            </w:r>
          </w:p>
        </w:tc>
        <w:tc>
          <w:tcPr>
            <w:tcW w:w="813" w:type="dxa"/>
            <w:shd w:val="clear" w:color="auto" w:fill="auto"/>
            <w:noWrap/>
            <w:hideMark/>
          </w:tcPr>
          <w:p w14:paraId="31200853" w14:textId="0F48D481" w:rsidR="00AF3E4B" w:rsidRPr="00C50854" w:rsidRDefault="00AF3E4B" w:rsidP="00AF3E4B">
            <w:pPr>
              <w:jc w:val="center"/>
              <w:rPr>
                <w:sz w:val="20"/>
                <w:szCs w:val="20"/>
              </w:rPr>
            </w:pPr>
            <w:r w:rsidRPr="00C50854">
              <w:rPr>
                <w:sz w:val="20"/>
                <w:szCs w:val="20"/>
              </w:rPr>
              <w:t>...*%</w:t>
            </w:r>
          </w:p>
        </w:tc>
        <w:tc>
          <w:tcPr>
            <w:tcW w:w="840" w:type="dxa"/>
            <w:shd w:val="clear" w:color="auto" w:fill="auto"/>
            <w:noWrap/>
            <w:hideMark/>
          </w:tcPr>
          <w:p w14:paraId="34EC37E9" w14:textId="0F34FF89" w:rsidR="00AF3E4B" w:rsidRPr="00C50854" w:rsidRDefault="00AF3E4B" w:rsidP="00AF3E4B">
            <w:pPr>
              <w:jc w:val="center"/>
              <w:rPr>
                <w:sz w:val="20"/>
                <w:szCs w:val="20"/>
              </w:rPr>
            </w:pPr>
            <w:r w:rsidRPr="00C50854">
              <w:rPr>
                <w:sz w:val="20"/>
                <w:szCs w:val="20"/>
              </w:rPr>
              <w:t>...*%</w:t>
            </w:r>
          </w:p>
        </w:tc>
      </w:tr>
      <w:tr w:rsidR="00AF3E4B" w:rsidRPr="00C50854" w14:paraId="3E839040" w14:textId="77777777" w:rsidTr="00844BC5">
        <w:trPr>
          <w:trHeight w:val="316"/>
        </w:trPr>
        <w:tc>
          <w:tcPr>
            <w:tcW w:w="2100" w:type="dxa"/>
            <w:shd w:val="clear" w:color="auto" w:fill="auto"/>
            <w:noWrap/>
            <w:vAlign w:val="bottom"/>
            <w:hideMark/>
          </w:tcPr>
          <w:p w14:paraId="0E6D00AB" w14:textId="77777777" w:rsidR="00AF3E4B" w:rsidRPr="00C50854" w:rsidRDefault="00AF3E4B" w:rsidP="00AF3E4B">
            <w:pPr>
              <w:rPr>
                <w:b/>
                <w:color w:val="000000"/>
                <w:sz w:val="20"/>
                <w:szCs w:val="20"/>
              </w:rPr>
            </w:pPr>
            <w:r w:rsidRPr="00C50854">
              <w:rPr>
                <w:b/>
                <w:color w:val="000000"/>
                <w:sz w:val="20"/>
                <w:szCs w:val="20"/>
              </w:rPr>
              <w:t>STV</w:t>
            </w:r>
          </w:p>
        </w:tc>
        <w:tc>
          <w:tcPr>
            <w:tcW w:w="720" w:type="dxa"/>
            <w:shd w:val="clear" w:color="auto" w:fill="auto"/>
            <w:noWrap/>
            <w:hideMark/>
          </w:tcPr>
          <w:p w14:paraId="1BDF9654" w14:textId="783BAA42" w:rsidR="00AF3E4B" w:rsidRPr="00C50854" w:rsidRDefault="00AF3E4B" w:rsidP="00AF3E4B">
            <w:pPr>
              <w:jc w:val="center"/>
              <w:rPr>
                <w:sz w:val="20"/>
                <w:szCs w:val="20"/>
              </w:rPr>
            </w:pPr>
            <w:r w:rsidRPr="00C50854">
              <w:rPr>
                <w:sz w:val="20"/>
                <w:szCs w:val="20"/>
              </w:rPr>
              <w:t>...*%</w:t>
            </w:r>
          </w:p>
        </w:tc>
        <w:tc>
          <w:tcPr>
            <w:tcW w:w="645" w:type="dxa"/>
            <w:shd w:val="clear" w:color="auto" w:fill="auto"/>
            <w:noWrap/>
            <w:hideMark/>
          </w:tcPr>
          <w:p w14:paraId="6B96E609" w14:textId="076A4C6A" w:rsidR="00AF3E4B" w:rsidRPr="00C50854" w:rsidRDefault="00AF3E4B" w:rsidP="00AF3E4B">
            <w:pPr>
              <w:jc w:val="center"/>
              <w:rPr>
                <w:sz w:val="20"/>
                <w:szCs w:val="20"/>
              </w:rPr>
            </w:pPr>
            <w:r w:rsidRPr="00C50854">
              <w:rPr>
                <w:sz w:val="20"/>
                <w:szCs w:val="20"/>
              </w:rPr>
              <w:t>...*%</w:t>
            </w:r>
          </w:p>
        </w:tc>
        <w:tc>
          <w:tcPr>
            <w:tcW w:w="841" w:type="dxa"/>
            <w:shd w:val="clear" w:color="auto" w:fill="auto"/>
            <w:noWrap/>
            <w:hideMark/>
          </w:tcPr>
          <w:p w14:paraId="1703D917" w14:textId="3685D9EC" w:rsidR="00AF3E4B" w:rsidRPr="00C50854" w:rsidRDefault="00AF3E4B" w:rsidP="00AF3E4B">
            <w:pPr>
              <w:jc w:val="center"/>
              <w:rPr>
                <w:sz w:val="20"/>
                <w:szCs w:val="20"/>
              </w:rPr>
            </w:pPr>
            <w:r w:rsidRPr="00C50854">
              <w:rPr>
                <w:sz w:val="20"/>
                <w:szCs w:val="20"/>
              </w:rPr>
              <w:t>...*%</w:t>
            </w:r>
          </w:p>
        </w:tc>
        <w:tc>
          <w:tcPr>
            <w:tcW w:w="838" w:type="dxa"/>
            <w:shd w:val="clear" w:color="auto" w:fill="auto"/>
            <w:noWrap/>
            <w:hideMark/>
          </w:tcPr>
          <w:p w14:paraId="09ABF78A" w14:textId="025BAF99" w:rsidR="00AF3E4B" w:rsidRPr="00C50854" w:rsidRDefault="00AF3E4B" w:rsidP="00AF3E4B">
            <w:pPr>
              <w:jc w:val="center"/>
              <w:rPr>
                <w:sz w:val="20"/>
                <w:szCs w:val="20"/>
              </w:rPr>
            </w:pPr>
            <w:r w:rsidRPr="00C50854">
              <w:rPr>
                <w:sz w:val="20"/>
                <w:szCs w:val="20"/>
              </w:rPr>
              <w:t>...*%</w:t>
            </w:r>
          </w:p>
        </w:tc>
        <w:tc>
          <w:tcPr>
            <w:tcW w:w="839" w:type="dxa"/>
            <w:shd w:val="clear" w:color="auto" w:fill="auto"/>
            <w:noWrap/>
            <w:hideMark/>
          </w:tcPr>
          <w:p w14:paraId="254414BE" w14:textId="2B3C3AFC" w:rsidR="00AF3E4B" w:rsidRPr="00C50854" w:rsidRDefault="00AF3E4B" w:rsidP="00AF3E4B">
            <w:pPr>
              <w:jc w:val="center"/>
              <w:rPr>
                <w:sz w:val="20"/>
                <w:szCs w:val="20"/>
              </w:rPr>
            </w:pPr>
            <w:r w:rsidRPr="00C50854">
              <w:rPr>
                <w:sz w:val="20"/>
                <w:szCs w:val="20"/>
              </w:rPr>
              <w:t>...*%</w:t>
            </w:r>
          </w:p>
        </w:tc>
        <w:tc>
          <w:tcPr>
            <w:tcW w:w="841" w:type="dxa"/>
            <w:shd w:val="clear" w:color="auto" w:fill="auto"/>
            <w:noWrap/>
            <w:hideMark/>
          </w:tcPr>
          <w:p w14:paraId="3FDC8BEC" w14:textId="7E378585" w:rsidR="00AF3E4B" w:rsidRPr="00C50854" w:rsidRDefault="00AF3E4B" w:rsidP="00AF3E4B">
            <w:pPr>
              <w:jc w:val="center"/>
              <w:rPr>
                <w:sz w:val="20"/>
                <w:szCs w:val="20"/>
              </w:rPr>
            </w:pPr>
            <w:r w:rsidRPr="00C50854">
              <w:rPr>
                <w:sz w:val="20"/>
                <w:szCs w:val="20"/>
              </w:rPr>
              <w:t>...*%</w:t>
            </w:r>
          </w:p>
        </w:tc>
        <w:tc>
          <w:tcPr>
            <w:tcW w:w="839" w:type="dxa"/>
            <w:shd w:val="clear" w:color="auto" w:fill="auto"/>
            <w:noWrap/>
            <w:hideMark/>
          </w:tcPr>
          <w:p w14:paraId="0AF0C0D8" w14:textId="19A28365" w:rsidR="00AF3E4B" w:rsidRPr="00C50854" w:rsidRDefault="00AF3E4B" w:rsidP="00AF3E4B">
            <w:pPr>
              <w:jc w:val="center"/>
              <w:rPr>
                <w:sz w:val="20"/>
                <w:szCs w:val="20"/>
              </w:rPr>
            </w:pPr>
            <w:r w:rsidRPr="00C50854">
              <w:rPr>
                <w:sz w:val="20"/>
                <w:szCs w:val="20"/>
              </w:rPr>
              <w:t>...*%</w:t>
            </w:r>
          </w:p>
        </w:tc>
        <w:tc>
          <w:tcPr>
            <w:tcW w:w="813" w:type="dxa"/>
            <w:shd w:val="clear" w:color="auto" w:fill="auto"/>
            <w:noWrap/>
            <w:hideMark/>
          </w:tcPr>
          <w:p w14:paraId="5122C55B" w14:textId="295CC33C" w:rsidR="00AF3E4B" w:rsidRPr="00C50854" w:rsidRDefault="00AF3E4B" w:rsidP="00AF3E4B">
            <w:pPr>
              <w:jc w:val="center"/>
              <w:rPr>
                <w:sz w:val="20"/>
                <w:szCs w:val="20"/>
              </w:rPr>
            </w:pPr>
            <w:r w:rsidRPr="00C50854">
              <w:rPr>
                <w:sz w:val="20"/>
                <w:szCs w:val="20"/>
              </w:rPr>
              <w:t>...*%</w:t>
            </w:r>
          </w:p>
        </w:tc>
        <w:tc>
          <w:tcPr>
            <w:tcW w:w="840" w:type="dxa"/>
            <w:shd w:val="clear" w:color="auto" w:fill="auto"/>
            <w:noWrap/>
            <w:hideMark/>
          </w:tcPr>
          <w:p w14:paraId="3DFA1850" w14:textId="34F27DC5" w:rsidR="00AF3E4B" w:rsidRPr="00C50854" w:rsidRDefault="00AF3E4B" w:rsidP="00AF3E4B">
            <w:pPr>
              <w:jc w:val="center"/>
              <w:rPr>
                <w:sz w:val="20"/>
                <w:szCs w:val="20"/>
              </w:rPr>
            </w:pPr>
            <w:r w:rsidRPr="00C50854">
              <w:rPr>
                <w:sz w:val="20"/>
                <w:szCs w:val="20"/>
              </w:rPr>
              <w:t>...*%</w:t>
            </w:r>
          </w:p>
        </w:tc>
      </w:tr>
      <w:tr w:rsidR="00AF3E4B" w:rsidRPr="00C50854" w14:paraId="055917D8" w14:textId="77777777" w:rsidTr="00754016">
        <w:trPr>
          <w:trHeight w:val="316"/>
        </w:trPr>
        <w:tc>
          <w:tcPr>
            <w:tcW w:w="2100" w:type="dxa"/>
            <w:shd w:val="clear" w:color="auto" w:fill="auto"/>
            <w:noWrap/>
            <w:vAlign w:val="bottom"/>
            <w:hideMark/>
          </w:tcPr>
          <w:p w14:paraId="5841C343" w14:textId="77777777" w:rsidR="00AF3E4B" w:rsidRPr="00C50854" w:rsidRDefault="00AF3E4B" w:rsidP="00AF3E4B">
            <w:pPr>
              <w:rPr>
                <w:b/>
                <w:color w:val="000000"/>
                <w:sz w:val="20"/>
                <w:szCs w:val="20"/>
              </w:rPr>
            </w:pPr>
            <w:r w:rsidRPr="00C50854">
              <w:rPr>
                <w:b/>
                <w:color w:val="000000"/>
                <w:sz w:val="20"/>
                <w:szCs w:val="20"/>
              </w:rPr>
              <w:t>Teised</w:t>
            </w:r>
          </w:p>
        </w:tc>
        <w:tc>
          <w:tcPr>
            <w:tcW w:w="720" w:type="dxa"/>
            <w:shd w:val="clear" w:color="auto" w:fill="auto"/>
            <w:noWrap/>
            <w:hideMark/>
          </w:tcPr>
          <w:p w14:paraId="395158EB" w14:textId="216EC645" w:rsidR="00AF3E4B" w:rsidRPr="00C50854" w:rsidRDefault="00AF3E4B" w:rsidP="00AF3E4B">
            <w:pPr>
              <w:jc w:val="center"/>
              <w:rPr>
                <w:sz w:val="20"/>
              </w:rPr>
            </w:pPr>
            <w:r w:rsidRPr="00C50854">
              <w:rPr>
                <w:sz w:val="20"/>
                <w:szCs w:val="20"/>
              </w:rPr>
              <w:t>...*%</w:t>
            </w:r>
          </w:p>
        </w:tc>
        <w:tc>
          <w:tcPr>
            <w:tcW w:w="645" w:type="dxa"/>
            <w:shd w:val="clear" w:color="auto" w:fill="auto"/>
            <w:noWrap/>
            <w:hideMark/>
          </w:tcPr>
          <w:p w14:paraId="00CD035F" w14:textId="33726027" w:rsidR="00AF3E4B" w:rsidRPr="00C50854" w:rsidRDefault="00AF3E4B" w:rsidP="00AF3E4B">
            <w:pPr>
              <w:jc w:val="center"/>
              <w:rPr>
                <w:sz w:val="20"/>
              </w:rPr>
            </w:pPr>
            <w:r w:rsidRPr="00C50854">
              <w:rPr>
                <w:sz w:val="20"/>
                <w:szCs w:val="20"/>
              </w:rPr>
              <w:t>...*%</w:t>
            </w:r>
          </w:p>
        </w:tc>
        <w:tc>
          <w:tcPr>
            <w:tcW w:w="841" w:type="dxa"/>
            <w:shd w:val="clear" w:color="auto" w:fill="auto"/>
            <w:noWrap/>
            <w:hideMark/>
          </w:tcPr>
          <w:p w14:paraId="5406F860" w14:textId="2BB58E39" w:rsidR="00AF3E4B" w:rsidRPr="00C50854" w:rsidRDefault="00AF3E4B" w:rsidP="00AF3E4B">
            <w:pPr>
              <w:jc w:val="center"/>
              <w:rPr>
                <w:sz w:val="20"/>
              </w:rPr>
            </w:pPr>
            <w:r w:rsidRPr="00C50854">
              <w:rPr>
                <w:sz w:val="20"/>
                <w:szCs w:val="20"/>
              </w:rPr>
              <w:t>...*%</w:t>
            </w:r>
          </w:p>
        </w:tc>
        <w:tc>
          <w:tcPr>
            <w:tcW w:w="838" w:type="dxa"/>
            <w:shd w:val="clear" w:color="auto" w:fill="auto"/>
            <w:noWrap/>
            <w:hideMark/>
          </w:tcPr>
          <w:p w14:paraId="2A7362CE" w14:textId="5902588F" w:rsidR="00AF3E4B" w:rsidRPr="00C50854" w:rsidRDefault="00AF3E4B" w:rsidP="00AF3E4B">
            <w:pPr>
              <w:jc w:val="center"/>
              <w:rPr>
                <w:sz w:val="20"/>
              </w:rPr>
            </w:pPr>
            <w:r w:rsidRPr="00C50854">
              <w:rPr>
                <w:sz w:val="20"/>
                <w:szCs w:val="20"/>
              </w:rPr>
              <w:t>...*%</w:t>
            </w:r>
          </w:p>
        </w:tc>
        <w:tc>
          <w:tcPr>
            <w:tcW w:w="839" w:type="dxa"/>
            <w:shd w:val="clear" w:color="auto" w:fill="auto"/>
            <w:noWrap/>
            <w:hideMark/>
          </w:tcPr>
          <w:p w14:paraId="27A2354E" w14:textId="2D4D2D22" w:rsidR="00AF3E4B" w:rsidRPr="00C50854" w:rsidRDefault="00AF3E4B" w:rsidP="00AF3E4B">
            <w:pPr>
              <w:jc w:val="center"/>
              <w:rPr>
                <w:sz w:val="20"/>
              </w:rPr>
            </w:pPr>
            <w:r w:rsidRPr="00C50854">
              <w:rPr>
                <w:sz w:val="20"/>
                <w:szCs w:val="20"/>
              </w:rPr>
              <w:t>...*%</w:t>
            </w:r>
          </w:p>
        </w:tc>
        <w:tc>
          <w:tcPr>
            <w:tcW w:w="841" w:type="dxa"/>
            <w:shd w:val="clear" w:color="auto" w:fill="auto"/>
            <w:noWrap/>
            <w:hideMark/>
          </w:tcPr>
          <w:p w14:paraId="14E3BB38" w14:textId="2AC667FB" w:rsidR="00AF3E4B" w:rsidRPr="00C50854" w:rsidRDefault="00AF3E4B" w:rsidP="00AF3E4B">
            <w:pPr>
              <w:jc w:val="center"/>
              <w:rPr>
                <w:sz w:val="20"/>
              </w:rPr>
            </w:pPr>
            <w:r w:rsidRPr="00C50854">
              <w:rPr>
                <w:sz w:val="20"/>
                <w:szCs w:val="20"/>
              </w:rPr>
              <w:t>...*%</w:t>
            </w:r>
          </w:p>
        </w:tc>
        <w:tc>
          <w:tcPr>
            <w:tcW w:w="839" w:type="dxa"/>
            <w:shd w:val="clear" w:color="auto" w:fill="auto"/>
            <w:noWrap/>
            <w:hideMark/>
          </w:tcPr>
          <w:p w14:paraId="7F920A90" w14:textId="710CBC38" w:rsidR="00AF3E4B" w:rsidRPr="00C50854" w:rsidRDefault="00AF3E4B" w:rsidP="00AF3E4B">
            <w:pPr>
              <w:jc w:val="center"/>
              <w:rPr>
                <w:sz w:val="20"/>
              </w:rPr>
            </w:pPr>
            <w:r w:rsidRPr="00C50854">
              <w:rPr>
                <w:sz w:val="20"/>
                <w:szCs w:val="20"/>
              </w:rPr>
              <w:t>...*%</w:t>
            </w:r>
          </w:p>
        </w:tc>
        <w:tc>
          <w:tcPr>
            <w:tcW w:w="813" w:type="dxa"/>
            <w:shd w:val="clear" w:color="auto" w:fill="auto"/>
            <w:noWrap/>
            <w:hideMark/>
          </w:tcPr>
          <w:p w14:paraId="20AC317F" w14:textId="1EFEE09A" w:rsidR="00AF3E4B" w:rsidRPr="00C50854" w:rsidRDefault="00AF3E4B" w:rsidP="00AF3E4B">
            <w:pPr>
              <w:jc w:val="center"/>
              <w:rPr>
                <w:sz w:val="20"/>
              </w:rPr>
            </w:pPr>
            <w:r w:rsidRPr="00C50854">
              <w:rPr>
                <w:sz w:val="20"/>
                <w:szCs w:val="20"/>
              </w:rPr>
              <w:t>...*%</w:t>
            </w:r>
          </w:p>
        </w:tc>
        <w:tc>
          <w:tcPr>
            <w:tcW w:w="840" w:type="dxa"/>
            <w:shd w:val="clear" w:color="auto" w:fill="auto"/>
            <w:noWrap/>
            <w:hideMark/>
          </w:tcPr>
          <w:p w14:paraId="08F3A04B" w14:textId="1D092952" w:rsidR="00AF3E4B" w:rsidRPr="00C50854" w:rsidRDefault="00AF3E4B" w:rsidP="00AF3E4B">
            <w:pPr>
              <w:jc w:val="center"/>
              <w:rPr>
                <w:sz w:val="20"/>
              </w:rPr>
            </w:pPr>
            <w:r w:rsidRPr="00C50854">
              <w:rPr>
                <w:sz w:val="20"/>
                <w:szCs w:val="20"/>
              </w:rPr>
              <w:t>...*%</w:t>
            </w:r>
          </w:p>
        </w:tc>
      </w:tr>
      <w:tr w:rsidR="004837E6" w:rsidRPr="00C50854" w14:paraId="24971561" w14:textId="77777777" w:rsidTr="00844BC5">
        <w:trPr>
          <w:trHeight w:val="316"/>
        </w:trPr>
        <w:tc>
          <w:tcPr>
            <w:tcW w:w="2100" w:type="dxa"/>
            <w:shd w:val="clear" w:color="auto" w:fill="auto"/>
            <w:noWrap/>
            <w:vAlign w:val="bottom"/>
            <w:hideMark/>
          </w:tcPr>
          <w:p w14:paraId="45F46E98" w14:textId="77777777" w:rsidR="004837E6" w:rsidRPr="00C50854" w:rsidRDefault="004837E6">
            <w:pPr>
              <w:rPr>
                <w:b/>
                <w:color w:val="000000"/>
                <w:sz w:val="20"/>
                <w:szCs w:val="20"/>
              </w:rPr>
            </w:pPr>
            <w:r w:rsidRPr="00C50854">
              <w:rPr>
                <w:b/>
                <w:color w:val="000000"/>
                <w:sz w:val="20"/>
                <w:szCs w:val="20"/>
              </w:rPr>
              <w:t>Kokku</w:t>
            </w:r>
          </w:p>
        </w:tc>
        <w:tc>
          <w:tcPr>
            <w:tcW w:w="720" w:type="dxa"/>
            <w:shd w:val="clear" w:color="auto" w:fill="auto"/>
            <w:noWrap/>
            <w:vAlign w:val="bottom"/>
            <w:hideMark/>
          </w:tcPr>
          <w:p w14:paraId="6DC92062" w14:textId="77777777" w:rsidR="004837E6" w:rsidRPr="00C50854" w:rsidRDefault="004837E6">
            <w:pPr>
              <w:jc w:val="center"/>
              <w:rPr>
                <w:b/>
                <w:color w:val="000000"/>
                <w:sz w:val="20"/>
                <w:szCs w:val="20"/>
              </w:rPr>
            </w:pPr>
            <w:r w:rsidRPr="00C50854">
              <w:rPr>
                <w:b/>
                <w:color w:val="000000"/>
                <w:sz w:val="20"/>
                <w:szCs w:val="20"/>
              </w:rPr>
              <w:t>100%</w:t>
            </w:r>
          </w:p>
        </w:tc>
        <w:tc>
          <w:tcPr>
            <w:tcW w:w="645" w:type="dxa"/>
            <w:shd w:val="clear" w:color="auto" w:fill="auto"/>
            <w:noWrap/>
            <w:vAlign w:val="bottom"/>
            <w:hideMark/>
          </w:tcPr>
          <w:p w14:paraId="57EC48FC" w14:textId="77777777" w:rsidR="004837E6" w:rsidRPr="00C50854" w:rsidRDefault="004837E6">
            <w:pPr>
              <w:jc w:val="center"/>
              <w:rPr>
                <w:b/>
                <w:color w:val="000000"/>
                <w:sz w:val="20"/>
                <w:szCs w:val="20"/>
              </w:rPr>
            </w:pPr>
            <w:r w:rsidRPr="00C50854">
              <w:rPr>
                <w:b/>
                <w:color w:val="000000"/>
                <w:sz w:val="20"/>
                <w:szCs w:val="20"/>
              </w:rPr>
              <w:t>100%</w:t>
            </w:r>
          </w:p>
        </w:tc>
        <w:tc>
          <w:tcPr>
            <w:tcW w:w="841" w:type="dxa"/>
            <w:shd w:val="clear" w:color="auto" w:fill="auto"/>
            <w:noWrap/>
            <w:vAlign w:val="bottom"/>
            <w:hideMark/>
          </w:tcPr>
          <w:p w14:paraId="1EB8CF47" w14:textId="77777777" w:rsidR="004837E6" w:rsidRPr="00C50854" w:rsidRDefault="004837E6">
            <w:pPr>
              <w:jc w:val="center"/>
              <w:rPr>
                <w:b/>
                <w:color w:val="000000"/>
                <w:sz w:val="20"/>
                <w:szCs w:val="20"/>
              </w:rPr>
            </w:pPr>
            <w:r w:rsidRPr="00C50854">
              <w:rPr>
                <w:b/>
                <w:color w:val="000000"/>
                <w:sz w:val="20"/>
                <w:szCs w:val="20"/>
              </w:rPr>
              <w:t>100%</w:t>
            </w:r>
          </w:p>
        </w:tc>
        <w:tc>
          <w:tcPr>
            <w:tcW w:w="838" w:type="dxa"/>
            <w:shd w:val="clear" w:color="auto" w:fill="auto"/>
            <w:noWrap/>
            <w:vAlign w:val="bottom"/>
            <w:hideMark/>
          </w:tcPr>
          <w:p w14:paraId="32F4A791" w14:textId="77777777" w:rsidR="004837E6" w:rsidRPr="00C50854" w:rsidRDefault="004837E6">
            <w:pPr>
              <w:jc w:val="center"/>
              <w:rPr>
                <w:b/>
                <w:color w:val="000000"/>
                <w:sz w:val="20"/>
                <w:szCs w:val="20"/>
              </w:rPr>
            </w:pPr>
            <w:r w:rsidRPr="00C50854">
              <w:rPr>
                <w:b/>
                <w:color w:val="000000"/>
                <w:sz w:val="20"/>
                <w:szCs w:val="20"/>
              </w:rPr>
              <w:t>100%</w:t>
            </w:r>
          </w:p>
        </w:tc>
        <w:tc>
          <w:tcPr>
            <w:tcW w:w="839" w:type="dxa"/>
            <w:shd w:val="clear" w:color="auto" w:fill="auto"/>
            <w:noWrap/>
            <w:vAlign w:val="bottom"/>
            <w:hideMark/>
          </w:tcPr>
          <w:p w14:paraId="6ECD382B" w14:textId="77777777" w:rsidR="004837E6" w:rsidRPr="00C50854" w:rsidRDefault="004837E6">
            <w:pPr>
              <w:jc w:val="center"/>
              <w:rPr>
                <w:b/>
                <w:color w:val="000000"/>
                <w:sz w:val="20"/>
                <w:szCs w:val="20"/>
              </w:rPr>
            </w:pPr>
            <w:r w:rsidRPr="00C50854">
              <w:rPr>
                <w:b/>
                <w:color w:val="000000"/>
                <w:sz w:val="20"/>
                <w:szCs w:val="20"/>
              </w:rPr>
              <w:t>100%</w:t>
            </w:r>
          </w:p>
        </w:tc>
        <w:tc>
          <w:tcPr>
            <w:tcW w:w="841" w:type="dxa"/>
            <w:shd w:val="clear" w:color="auto" w:fill="auto"/>
            <w:noWrap/>
            <w:vAlign w:val="bottom"/>
            <w:hideMark/>
          </w:tcPr>
          <w:p w14:paraId="51F0C94C" w14:textId="77777777" w:rsidR="004837E6" w:rsidRPr="00C50854" w:rsidRDefault="004837E6">
            <w:pPr>
              <w:jc w:val="center"/>
              <w:rPr>
                <w:b/>
                <w:color w:val="000000"/>
                <w:sz w:val="20"/>
                <w:szCs w:val="20"/>
              </w:rPr>
            </w:pPr>
            <w:r w:rsidRPr="00C50854">
              <w:rPr>
                <w:b/>
                <w:color w:val="000000"/>
                <w:sz w:val="20"/>
                <w:szCs w:val="20"/>
              </w:rPr>
              <w:t>100%</w:t>
            </w:r>
          </w:p>
        </w:tc>
        <w:tc>
          <w:tcPr>
            <w:tcW w:w="839" w:type="dxa"/>
            <w:shd w:val="clear" w:color="auto" w:fill="auto"/>
            <w:noWrap/>
            <w:vAlign w:val="bottom"/>
            <w:hideMark/>
          </w:tcPr>
          <w:p w14:paraId="1D67563B" w14:textId="77777777" w:rsidR="004837E6" w:rsidRPr="00C50854" w:rsidRDefault="004837E6">
            <w:pPr>
              <w:jc w:val="center"/>
              <w:rPr>
                <w:b/>
                <w:color w:val="000000"/>
                <w:sz w:val="20"/>
                <w:szCs w:val="20"/>
              </w:rPr>
            </w:pPr>
            <w:r w:rsidRPr="00C50854">
              <w:rPr>
                <w:b/>
                <w:color w:val="000000"/>
                <w:sz w:val="20"/>
                <w:szCs w:val="20"/>
              </w:rPr>
              <w:t>100%</w:t>
            </w:r>
          </w:p>
        </w:tc>
        <w:tc>
          <w:tcPr>
            <w:tcW w:w="813" w:type="dxa"/>
            <w:shd w:val="clear" w:color="auto" w:fill="auto"/>
            <w:noWrap/>
            <w:vAlign w:val="bottom"/>
            <w:hideMark/>
          </w:tcPr>
          <w:p w14:paraId="2063E54F" w14:textId="77777777" w:rsidR="004837E6" w:rsidRPr="00C50854" w:rsidRDefault="004837E6">
            <w:pPr>
              <w:jc w:val="center"/>
              <w:rPr>
                <w:b/>
                <w:color w:val="000000"/>
                <w:sz w:val="20"/>
                <w:szCs w:val="20"/>
              </w:rPr>
            </w:pPr>
            <w:r w:rsidRPr="00C50854">
              <w:rPr>
                <w:b/>
                <w:color w:val="000000"/>
                <w:sz w:val="20"/>
                <w:szCs w:val="20"/>
              </w:rPr>
              <w:t>100%</w:t>
            </w:r>
          </w:p>
        </w:tc>
        <w:tc>
          <w:tcPr>
            <w:tcW w:w="840" w:type="dxa"/>
            <w:shd w:val="clear" w:color="auto" w:fill="auto"/>
            <w:noWrap/>
            <w:vAlign w:val="bottom"/>
            <w:hideMark/>
          </w:tcPr>
          <w:p w14:paraId="3360D34E" w14:textId="77777777" w:rsidR="004837E6" w:rsidRPr="00C50854" w:rsidRDefault="004837E6">
            <w:pPr>
              <w:jc w:val="center"/>
              <w:rPr>
                <w:b/>
                <w:color w:val="000000"/>
                <w:sz w:val="20"/>
                <w:szCs w:val="20"/>
              </w:rPr>
            </w:pPr>
            <w:r w:rsidRPr="00C50854">
              <w:rPr>
                <w:b/>
                <w:color w:val="000000"/>
                <w:sz w:val="20"/>
                <w:szCs w:val="20"/>
              </w:rPr>
              <w:t>100%</w:t>
            </w:r>
          </w:p>
        </w:tc>
      </w:tr>
    </w:tbl>
    <w:p w14:paraId="0AEBB8D2" w14:textId="005DD3E4" w:rsidR="00E8120E" w:rsidRPr="00C50854" w:rsidRDefault="00184FFC" w:rsidP="00BE1050">
      <w:pPr>
        <w:pStyle w:val="Pealdis"/>
        <w:rPr>
          <w:b w:val="0"/>
        </w:rPr>
      </w:pPr>
      <w:r w:rsidRPr="00C50854">
        <w:t xml:space="preserve"> </w:t>
      </w:r>
      <w:r w:rsidR="00BE1050" w:rsidRPr="00C50854">
        <w:t xml:space="preserve">Tabel </w:t>
      </w:r>
      <w:fldSimple w:instr=" SEQ Tabel \* ARABIC ">
        <w:r w:rsidR="00D24389" w:rsidRPr="00C50854">
          <w:rPr>
            <w:noProof/>
          </w:rPr>
          <w:t>7</w:t>
        </w:r>
      </w:fldSimple>
      <w:bookmarkEnd w:id="211"/>
      <w:r w:rsidR="00BE1050" w:rsidRPr="00C50854">
        <w:t xml:space="preserve">. </w:t>
      </w:r>
      <w:r w:rsidR="00DB551F" w:rsidRPr="00C50854">
        <w:rPr>
          <w:b w:val="0"/>
        </w:rPr>
        <w:t xml:space="preserve">Fikseeritud sidevõrgus jaetasandil lairiba ühenduste jagunemine tehnoloogiate alusel </w:t>
      </w:r>
      <w:r w:rsidR="00BE1050" w:rsidRPr="00C50854">
        <w:rPr>
          <w:b w:val="0"/>
        </w:rPr>
        <w:t>201</w:t>
      </w:r>
      <w:r w:rsidR="00F04F93" w:rsidRPr="00C50854">
        <w:rPr>
          <w:b w:val="0"/>
        </w:rPr>
        <w:t>6</w:t>
      </w:r>
      <w:r w:rsidR="00BE1050" w:rsidRPr="00C50854">
        <w:rPr>
          <w:b w:val="0"/>
        </w:rPr>
        <w:t>-201</w:t>
      </w:r>
      <w:r w:rsidR="00F04F93" w:rsidRPr="00C50854">
        <w:rPr>
          <w:b w:val="0"/>
        </w:rPr>
        <w:t>8</w:t>
      </w:r>
    </w:p>
    <w:p w14:paraId="3E473C68" w14:textId="14CB0664" w:rsidR="00AE2F98" w:rsidRPr="00C50854" w:rsidRDefault="00AE2F98"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 xml:space="preserve">Eeltoodust nähtub, et </w:t>
      </w:r>
      <w:r w:rsidR="00F57059" w:rsidRPr="00C50854">
        <w:rPr>
          <w:lang w:eastAsia="et-EE"/>
        </w:rPr>
        <w:t>lõppkasutaja</w:t>
      </w:r>
      <w:r w:rsidRPr="00C50854">
        <w:rPr>
          <w:lang w:eastAsia="et-EE"/>
        </w:rPr>
        <w:t>d eelistavad üha rohkem suurema</w:t>
      </w:r>
      <w:r w:rsidR="007C7D29" w:rsidRPr="00C50854">
        <w:rPr>
          <w:lang w:eastAsia="et-EE"/>
        </w:rPr>
        <w:t>id</w:t>
      </w:r>
      <w:r w:rsidRPr="00C50854">
        <w:rPr>
          <w:lang w:eastAsia="et-EE"/>
        </w:rPr>
        <w:t xml:space="preserve"> </w:t>
      </w:r>
      <w:r w:rsidR="007C7D29" w:rsidRPr="00C50854">
        <w:rPr>
          <w:lang w:eastAsia="et-EE"/>
        </w:rPr>
        <w:t>kiiruseid võimaldavaid</w:t>
      </w:r>
      <w:r w:rsidRPr="00C50854">
        <w:rPr>
          <w:lang w:eastAsia="et-EE"/>
        </w:rPr>
        <w:t xml:space="preserve"> lairiba</w:t>
      </w:r>
      <w:r w:rsidR="00DB551F" w:rsidRPr="00C50854">
        <w:rPr>
          <w:lang w:eastAsia="et-EE"/>
        </w:rPr>
        <w:t xml:space="preserve"> tehnoloogiaid</w:t>
      </w:r>
      <w:r w:rsidRPr="00C50854">
        <w:rPr>
          <w:lang w:eastAsia="et-EE"/>
        </w:rPr>
        <w:t xml:space="preserve"> </w:t>
      </w:r>
      <w:r w:rsidR="00DB551F" w:rsidRPr="00C50854">
        <w:rPr>
          <w:lang w:eastAsia="et-EE"/>
        </w:rPr>
        <w:t>(valguskaabel</w:t>
      </w:r>
      <w:r w:rsidR="007C7D29" w:rsidRPr="00C50854">
        <w:rPr>
          <w:lang w:eastAsia="et-EE"/>
        </w:rPr>
        <w:t xml:space="preserve">, </w:t>
      </w:r>
      <w:r w:rsidR="009F1857" w:rsidRPr="00C50854">
        <w:rPr>
          <w:lang w:eastAsia="et-EE"/>
        </w:rPr>
        <w:t>DOCSIS 3</w:t>
      </w:r>
      <w:r w:rsidR="005125DB" w:rsidRPr="00C50854">
        <w:rPr>
          <w:lang w:eastAsia="et-EE"/>
        </w:rPr>
        <w:t xml:space="preserve">, </w:t>
      </w:r>
      <w:proofErr w:type="spellStart"/>
      <w:r w:rsidR="00111693" w:rsidRPr="00C50854">
        <w:rPr>
          <w:i/>
          <w:lang w:eastAsia="et-EE"/>
        </w:rPr>
        <w:t>vectoring</w:t>
      </w:r>
      <w:proofErr w:type="spellEnd"/>
      <w:r w:rsidR="00111693" w:rsidRPr="00C50854">
        <w:rPr>
          <w:lang w:eastAsia="et-EE"/>
        </w:rPr>
        <w:t>-tehnoloogia</w:t>
      </w:r>
      <w:r w:rsidR="00DB551F" w:rsidRPr="00C50854">
        <w:rPr>
          <w:lang w:eastAsia="et-EE"/>
        </w:rPr>
        <w:t xml:space="preserve">) </w:t>
      </w:r>
      <w:r w:rsidRPr="00C50854">
        <w:rPr>
          <w:lang w:eastAsia="et-EE"/>
        </w:rPr>
        <w:t>ning loobuvad väikese- ja piiratud edastuskiirustega lairiba</w:t>
      </w:r>
      <w:r w:rsidR="00DB551F" w:rsidRPr="00C50854">
        <w:rPr>
          <w:lang w:eastAsia="et-EE"/>
        </w:rPr>
        <w:t xml:space="preserve"> </w:t>
      </w:r>
      <w:r w:rsidRPr="00C50854">
        <w:rPr>
          <w:lang w:eastAsia="et-EE"/>
        </w:rPr>
        <w:t>t</w:t>
      </w:r>
      <w:r w:rsidR="00DB551F" w:rsidRPr="00C50854">
        <w:rPr>
          <w:lang w:eastAsia="et-EE"/>
        </w:rPr>
        <w:t>ehnoloogiatest (xDSL ja fiks</w:t>
      </w:r>
      <w:r w:rsidR="002A305C" w:rsidRPr="00C50854">
        <w:rPr>
          <w:lang w:eastAsia="et-EE"/>
        </w:rPr>
        <w:t>eeritud</w:t>
      </w:r>
      <w:r w:rsidR="00DB551F" w:rsidRPr="00C50854">
        <w:rPr>
          <w:lang w:eastAsia="et-EE"/>
        </w:rPr>
        <w:t xml:space="preserve"> raadiolahendus)</w:t>
      </w:r>
      <w:r w:rsidRPr="00C50854">
        <w:rPr>
          <w:lang w:eastAsia="et-EE"/>
        </w:rPr>
        <w:t>.</w:t>
      </w:r>
    </w:p>
    <w:p w14:paraId="4DE53793" w14:textId="75C47F17" w:rsidR="00015AEE" w:rsidRPr="00C50854" w:rsidRDefault="00015AEE" w:rsidP="00311E1F">
      <w:pPr>
        <w:numPr>
          <w:ilvl w:val="0"/>
          <w:numId w:val="13"/>
        </w:numPr>
        <w:suppressAutoHyphens w:val="0"/>
        <w:autoSpaceDE w:val="0"/>
        <w:autoSpaceDN w:val="0"/>
        <w:adjustRightInd w:val="0"/>
        <w:spacing w:before="120" w:after="120"/>
        <w:jc w:val="both"/>
        <w:rPr>
          <w:lang w:eastAsia="et-EE"/>
        </w:rPr>
      </w:pPr>
      <w:r w:rsidRPr="00C50854">
        <w:rPr>
          <w:lang w:eastAsia="et-EE"/>
        </w:rPr>
        <w:t>Sideamet, Konkurentsiamet</w:t>
      </w:r>
      <w:r w:rsidR="00B125B9" w:rsidRPr="00C50854">
        <w:rPr>
          <w:lang w:eastAsia="et-EE"/>
        </w:rPr>
        <w:t xml:space="preserve">, </w:t>
      </w:r>
      <w:r w:rsidRPr="00C50854">
        <w:rPr>
          <w:lang w:eastAsia="et-EE"/>
        </w:rPr>
        <w:t>TJA</w:t>
      </w:r>
      <w:r w:rsidR="00B125B9" w:rsidRPr="00C50854">
        <w:rPr>
          <w:lang w:eastAsia="et-EE"/>
        </w:rPr>
        <w:t xml:space="preserve"> ja TTJA</w:t>
      </w:r>
      <w:r w:rsidRPr="00C50854">
        <w:rPr>
          <w:lang w:eastAsia="et-EE"/>
        </w:rPr>
        <w:t xml:space="preserve"> on alates 2002. aastast kogunud ettevõtjatelt andmeid turuülevaadete koostamiseks </w:t>
      </w:r>
      <w:r w:rsidR="00D22381" w:rsidRPr="00C50854">
        <w:rPr>
          <w:lang w:eastAsia="et-EE"/>
        </w:rPr>
        <w:t xml:space="preserve">fikseeritud sidevõrgus </w:t>
      </w:r>
      <w:r w:rsidRPr="00C50854">
        <w:rPr>
          <w:lang w:eastAsia="et-EE"/>
        </w:rPr>
        <w:t>lairiba</w:t>
      </w:r>
      <w:r w:rsidR="00DB551F" w:rsidRPr="00C50854">
        <w:rPr>
          <w:lang w:eastAsia="et-EE"/>
        </w:rPr>
        <w:t xml:space="preserve"> jae</w:t>
      </w:r>
      <w:r w:rsidRPr="00C50854">
        <w:rPr>
          <w:lang w:eastAsia="et-EE"/>
        </w:rPr>
        <w:t xml:space="preserve">teenuste osutamise kohta. </w:t>
      </w:r>
      <w:r w:rsidR="00AC345F" w:rsidRPr="00C50854">
        <w:rPr>
          <w:lang w:eastAsia="et-EE"/>
        </w:rPr>
        <w:fldChar w:fldCharType="begin"/>
      </w:r>
      <w:r w:rsidR="00AC345F" w:rsidRPr="00C50854">
        <w:rPr>
          <w:lang w:eastAsia="et-EE"/>
        </w:rPr>
        <w:instrText xml:space="preserve"> REF _Ref42069915 \h </w:instrText>
      </w:r>
      <w:r w:rsidR="00C50854">
        <w:rPr>
          <w:lang w:eastAsia="et-EE"/>
        </w:rPr>
        <w:instrText xml:space="preserve"> \* MERGEFORMAT </w:instrText>
      </w:r>
      <w:r w:rsidR="00AC345F" w:rsidRPr="00C50854">
        <w:rPr>
          <w:lang w:eastAsia="et-EE"/>
        </w:rPr>
      </w:r>
      <w:r w:rsidR="00AC345F" w:rsidRPr="00C50854">
        <w:rPr>
          <w:lang w:eastAsia="et-EE"/>
        </w:rPr>
        <w:fldChar w:fldCharType="separate"/>
      </w:r>
      <w:r w:rsidR="00AC345F" w:rsidRPr="00C50854">
        <w:t xml:space="preserve">Joonisel </w:t>
      </w:r>
      <w:r w:rsidR="00AC345F" w:rsidRPr="00C50854">
        <w:rPr>
          <w:noProof/>
        </w:rPr>
        <w:t>3</w:t>
      </w:r>
      <w:r w:rsidR="00AC345F" w:rsidRPr="00C50854">
        <w:rPr>
          <w:lang w:eastAsia="et-EE"/>
        </w:rPr>
        <w:fldChar w:fldCharType="end"/>
      </w:r>
      <w:r w:rsidR="00AC345F" w:rsidRPr="00C50854">
        <w:rPr>
          <w:lang w:eastAsia="et-EE"/>
        </w:rPr>
        <w:t xml:space="preserve"> </w:t>
      </w:r>
      <w:r w:rsidRPr="00C50854">
        <w:rPr>
          <w:lang w:eastAsia="et-EE"/>
        </w:rPr>
        <w:t xml:space="preserve">on toodud lairiba </w:t>
      </w:r>
      <w:r w:rsidR="00DB551F" w:rsidRPr="00C50854">
        <w:rPr>
          <w:lang w:eastAsia="et-EE"/>
        </w:rPr>
        <w:t xml:space="preserve">jaeteenuste </w:t>
      </w:r>
      <w:r w:rsidRPr="00C50854">
        <w:rPr>
          <w:lang w:eastAsia="et-EE"/>
        </w:rPr>
        <w:t>kasutusstatistika alates aastast 2004.</w:t>
      </w:r>
    </w:p>
    <w:p w14:paraId="6D91DB6A" w14:textId="77777777" w:rsidR="00015AEE" w:rsidRPr="00C50854" w:rsidRDefault="00015AEE" w:rsidP="00015AEE">
      <w:pPr>
        <w:suppressAutoHyphens w:val="0"/>
        <w:autoSpaceDE w:val="0"/>
        <w:autoSpaceDN w:val="0"/>
        <w:adjustRightInd w:val="0"/>
        <w:spacing w:before="120" w:after="120"/>
        <w:ind w:left="360"/>
        <w:jc w:val="both"/>
        <w:rPr>
          <w:lang w:eastAsia="et-EE"/>
        </w:rPr>
      </w:pPr>
    </w:p>
    <w:p w14:paraId="086C3E7C" w14:textId="354D640D" w:rsidR="00015AEE" w:rsidRPr="00C50854" w:rsidRDefault="00C93037" w:rsidP="00015AEE">
      <w:pPr>
        <w:suppressAutoHyphens w:val="0"/>
        <w:spacing w:before="120" w:after="120"/>
        <w:rPr>
          <w:lang w:eastAsia="et-EE"/>
        </w:rPr>
      </w:pPr>
      <w:r w:rsidRPr="00C50854">
        <w:rPr>
          <w:noProof/>
        </w:rPr>
        <w:drawing>
          <wp:inline distT="0" distB="0" distL="0" distR="0" wp14:anchorId="75040B34" wp14:editId="3F449B67">
            <wp:extent cx="5991225" cy="2295525"/>
            <wp:effectExtent l="0" t="0" r="9525" b="9525"/>
            <wp:docPr id="1" name="Diagramm 1">
              <a:extLst xmlns:a="http://schemas.openxmlformats.org/drawingml/2006/main">
                <a:ext uri="{FF2B5EF4-FFF2-40B4-BE49-F238E27FC236}">
                  <a16:creationId xmlns:a16="http://schemas.microsoft.com/office/drawing/2014/main" id="{DA7B2891-E255-4706-84B1-E3805CD64B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2FB2D4" w14:textId="37E3F6BA" w:rsidR="00015AEE" w:rsidRPr="00C50854" w:rsidRDefault="005125DB" w:rsidP="005125DB">
      <w:pPr>
        <w:pStyle w:val="Pealdis"/>
        <w:rPr>
          <w:bCs w:val="0"/>
          <w:lang w:eastAsia="et-EE"/>
        </w:rPr>
      </w:pPr>
      <w:bookmarkStart w:id="212" w:name="_Ref42069915"/>
      <w:bookmarkStart w:id="213" w:name="_Ref346548434"/>
      <w:r w:rsidRPr="00C50854">
        <w:t xml:space="preserve">Joonis </w:t>
      </w:r>
      <w:fldSimple w:instr=" SEQ Joonis \* ARABIC ">
        <w:r w:rsidR="002A07B5" w:rsidRPr="00C50854">
          <w:rPr>
            <w:noProof/>
          </w:rPr>
          <w:t>3</w:t>
        </w:r>
      </w:fldSimple>
      <w:bookmarkEnd w:id="212"/>
      <w:r w:rsidR="00015AEE" w:rsidRPr="00C50854">
        <w:rPr>
          <w:b w:val="0"/>
          <w:bCs w:val="0"/>
          <w:lang w:eastAsia="et-EE"/>
        </w:rPr>
        <w:t>. Lairiba</w:t>
      </w:r>
      <w:r w:rsidR="00A57AC4" w:rsidRPr="00C50854">
        <w:rPr>
          <w:b w:val="0"/>
          <w:bCs w:val="0"/>
          <w:lang w:eastAsia="et-EE"/>
        </w:rPr>
        <w:t xml:space="preserve"> jae</w:t>
      </w:r>
      <w:r w:rsidR="00015AEE" w:rsidRPr="00C50854">
        <w:rPr>
          <w:b w:val="0"/>
          <w:bCs w:val="0"/>
          <w:lang w:eastAsia="et-EE"/>
        </w:rPr>
        <w:t>teenuse kasutusstatistika Eestis lõppkasutajate arvu alusel</w:t>
      </w:r>
      <w:bookmarkEnd w:id="213"/>
      <w:r w:rsidR="00D22381" w:rsidRPr="00C50854">
        <w:rPr>
          <w:b w:val="0"/>
          <w:bCs w:val="0"/>
          <w:lang w:eastAsia="et-EE"/>
        </w:rPr>
        <w:t xml:space="preserve"> fikseeritud sidevõrgus</w:t>
      </w:r>
    </w:p>
    <w:p w14:paraId="3B05395C" w14:textId="77777777" w:rsidR="0043579C" w:rsidRPr="00C50854" w:rsidRDefault="0043579C" w:rsidP="00015AEE">
      <w:pPr>
        <w:suppressAutoHyphens w:val="0"/>
        <w:spacing w:before="120" w:after="120"/>
        <w:rPr>
          <w:bCs/>
          <w:sz w:val="20"/>
          <w:szCs w:val="20"/>
          <w:lang w:eastAsia="et-EE"/>
        </w:rPr>
      </w:pPr>
    </w:p>
    <w:p w14:paraId="04CE04A1" w14:textId="67A27FA1" w:rsidR="00C94B7B" w:rsidRPr="00C50854" w:rsidRDefault="00015AEE"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Alates 2001. aastast on elektroonilise side teenuste turg fikseeritud sidevõrkudes avatud konkurentsile, kuid möödunud </w:t>
      </w:r>
      <w:r w:rsidR="005125DB" w:rsidRPr="00C50854">
        <w:rPr>
          <w:lang w:eastAsia="et-EE"/>
        </w:rPr>
        <w:t>üheksa</w:t>
      </w:r>
      <w:r w:rsidRPr="00C50854">
        <w:rPr>
          <w:lang w:eastAsia="et-EE"/>
        </w:rPr>
        <w:t xml:space="preserve">teistkümne aasta jooksul ei ole ükski uus turule sisenenud fikseeritud sidevõrkudes teenust pakkuv sideettevõtja suutnud saavutada turuosa, mis avaldaks </w:t>
      </w:r>
      <w:proofErr w:type="spellStart"/>
      <w:r w:rsidRPr="00C50854">
        <w:rPr>
          <w:i/>
          <w:lang w:eastAsia="et-EE"/>
        </w:rPr>
        <w:t>incumbent</w:t>
      </w:r>
      <w:proofErr w:type="spellEnd"/>
      <w:r w:rsidRPr="00C50854">
        <w:rPr>
          <w:lang w:eastAsia="et-EE"/>
        </w:rPr>
        <w:t xml:space="preserve"> </w:t>
      </w:r>
      <w:r w:rsidR="002A5D20" w:rsidRPr="00C50854">
        <w:rPr>
          <w:lang w:eastAsia="et-EE"/>
        </w:rPr>
        <w:t>sideettevõtja</w:t>
      </w:r>
      <w:r w:rsidRPr="00C50854">
        <w:rPr>
          <w:lang w:eastAsia="et-EE"/>
        </w:rPr>
        <w:t xml:space="preserve">le Telia piisavat konkurentsisurvet. Seda nii lairiba </w:t>
      </w:r>
      <w:r w:rsidR="00A57AC4" w:rsidRPr="00C50854">
        <w:rPr>
          <w:lang w:eastAsia="et-EE"/>
        </w:rPr>
        <w:t>jae</w:t>
      </w:r>
      <w:r w:rsidRPr="00C50854">
        <w:rPr>
          <w:lang w:eastAsia="et-EE"/>
        </w:rPr>
        <w:t>teenuse osutamisel lõppkasutajate osakaalu-, elektroonilise sideteenu</w:t>
      </w:r>
      <w:r w:rsidR="00D00FFE" w:rsidRPr="00C50854">
        <w:rPr>
          <w:lang w:eastAsia="et-EE"/>
        </w:rPr>
        <w:t>se osutamiselt saadavate tulude-</w:t>
      </w:r>
      <w:r w:rsidRPr="00C50854">
        <w:rPr>
          <w:lang w:eastAsia="et-EE"/>
        </w:rPr>
        <w:t>, kui ka teiste elektroonilise sideteenuse osutamiseks vajalike teenuste tulude osakaalu arvesse võttes.</w:t>
      </w:r>
    </w:p>
    <w:p w14:paraId="5F985505" w14:textId="3BF61781" w:rsidR="00A57AC4" w:rsidRPr="00C50854" w:rsidRDefault="00A57AC4" w:rsidP="00311E1F">
      <w:pPr>
        <w:pStyle w:val="Loendilik"/>
        <w:numPr>
          <w:ilvl w:val="0"/>
          <w:numId w:val="13"/>
        </w:numPr>
      </w:pPr>
      <w:r w:rsidRPr="00C50854">
        <w:t xml:space="preserve">Fikseeritud sidevõrkude lairiba jaeteenustele pakub olulist konkurentsisurvet ka mobiilse lairiba jaeteenuste kiire areng (vt joonis </w:t>
      </w:r>
      <w:r w:rsidR="00413B15" w:rsidRPr="00C50854">
        <w:t>4</w:t>
      </w:r>
      <w:r w:rsidRPr="00C50854">
        <w:t>). Alates aastast 2009 on mobiilse andmeside klientide arv suurenenud 2</w:t>
      </w:r>
      <w:r w:rsidR="00174E8A" w:rsidRPr="00C50854">
        <w:t>24</w:t>
      </w:r>
      <w:r w:rsidR="008E3917" w:rsidRPr="00C50854">
        <w:t> 000</w:t>
      </w:r>
      <w:r w:rsidRPr="00C50854">
        <w:t xml:space="preserve"> </w:t>
      </w:r>
      <w:r w:rsidR="002A5D20" w:rsidRPr="00C50854">
        <w:t>lõppkasutaja</w:t>
      </w:r>
      <w:r w:rsidRPr="00C50854">
        <w:t xml:space="preserve"> võrra ning kogu turumahust moodustas mobiilne andmeside aastal 201</w:t>
      </w:r>
      <w:r w:rsidR="00174E8A" w:rsidRPr="00C50854">
        <w:t>9 I poolaastal</w:t>
      </w:r>
      <w:r w:rsidRPr="00C50854">
        <w:t xml:space="preserve"> 3</w:t>
      </w:r>
      <w:r w:rsidR="007F1C58" w:rsidRPr="00C50854">
        <w:t>8</w:t>
      </w:r>
      <w:r w:rsidRPr="00C50854">
        <w:t>%.</w:t>
      </w:r>
    </w:p>
    <w:p w14:paraId="38EC6674" w14:textId="52A4CF8B" w:rsidR="00AE2F98" w:rsidRPr="00C50854" w:rsidRDefault="00F53229" w:rsidP="00061AA5">
      <w:pPr>
        <w:suppressAutoHyphens w:val="0"/>
        <w:autoSpaceDE w:val="0"/>
        <w:autoSpaceDN w:val="0"/>
        <w:adjustRightInd w:val="0"/>
        <w:spacing w:before="120" w:after="120"/>
        <w:jc w:val="both"/>
        <w:rPr>
          <w:lang w:eastAsia="et-EE"/>
        </w:rPr>
      </w:pPr>
      <w:r w:rsidRPr="00C50854">
        <w:rPr>
          <w:noProof/>
        </w:rPr>
        <w:drawing>
          <wp:inline distT="0" distB="0" distL="0" distR="0" wp14:anchorId="6241480B" wp14:editId="2FA35768">
            <wp:extent cx="5934710" cy="1805305"/>
            <wp:effectExtent l="0" t="0" r="8890" b="4445"/>
            <wp:docPr id="4" name="Diagramm 4">
              <a:extLst xmlns:a="http://schemas.openxmlformats.org/drawingml/2006/main">
                <a:ext uri="{FF2B5EF4-FFF2-40B4-BE49-F238E27FC236}">
                  <a16:creationId xmlns:a16="http://schemas.microsoft.com/office/drawing/2014/main" id="{A2FB11CC-D2EC-410F-9965-9717C8CAB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AE2F98" w:rsidRPr="00C50854">
        <w:rPr>
          <w:lang w:eastAsia="et-EE"/>
        </w:rPr>
        <w:t xml:space="preserve"> </w:t>
      </w:r>
    </w:p>
    <w:p w14:paraId="2853CB96" w14:textId="58E327F5" w:rsidR="00C94B7B" w:rsidRPr="00C50854" w:rsidRDefault="00AC345F" w:rsidP="002B1AAF">
      <w:pPr>
        <w:pStyle w:val="Pealdis"/>
        <w:rPr>
          <w:b w:val="0"/>
        </w:rPr>
      </w:pPr>
      <w:r w:rsidRPr="00C50854">
        <w:t xml:space="preserve">Joonis </w:t>
      </w:r>
      <w:fldSimple w:instr=" SEQ Joonis \* ARABIC ">
        <w:r w:rsidR="002A07B5" w:rsidRPr="00C50854">
          <w:rPr>
            <w:noProof/>
          </w:rPr>
          <w:t>4</w:t>
        </w:r>
      </w:fldSimple>
      <w:r w:rsidR="00976AEB" w:rsidRPr="00C50854">
        <w:t xml:space="preserve">. </w:t>
      </w:r>
      <w:r w:rsidR="00C94B7B" w:rsidRPr="00C50854">
        <w:rPr>
          <w:b w:val="0"/>
        </w:rPr>
        <w:t>Mobiil</w:t>
      </w:r>
      <w:r w:rsidR="00875262" w:rsidRPr="00C50854">
        <w:rPr>
          <w:b w:val="0"/>
        </w:rPr>
        <w:t>telefoni</w:t>
      </w:r>
      <w:r w:rsidR="00C94B7B" w:rsidRPr="00C50854">
        <w:rPr>
          <w:b w:val="0"/>
        </w:rPr>
        <w:t xml:space="preserve">- ja fikseeritud sidevõrgus andmeside </w:t>
      </w:r>
      <w:r w:rsidR="007F1C58" w:rsidRPr="00C50854">
        <w:rPr>
          <w:b w:val="0"/>
        </w:rPr>
        <w:t>lõppkasutajate</w:t>
      </w:r>
      <w:r w:rsidR="00A57AC4" w:rsidRPr="00C50854">
        <w:rPr>
          <w:b w:val="0"/>
        </w:rPr>
        <w:t xml:space="preserve"> </w:t>
      </w:r>
      <w:r w:rsidR="00C94B7B" w:rsidRPr="00C50854">
        <w:rPr>
          <w:b w:val="0"/>
        </w:rPr>
        <w:t>statistika aastatel 2006-201</w:t>
      </w:r>
      <w:r w:rsidR="00A11FE2" w:rsidRPr="00C50854">
        <w:rPr>
          <w:b w:val="0"/>
        </w:rPr>
        <w:t xml:space="preserve">9 I </w:t>
      </w:r>
      <w:proofErr w:type="spellStart"/>
      <w:r w:rsidR="00A11FE2" w:rsidRPr="00C50854">
        <w:rPr>
          <w:b w:val="0"/>
        </w:rPr>
        <w:t>pa</w:t>
      </w:r>
      <w:proofErr w:type="spellEnd"/>
    </w:p>
    <w:p w14:paraId="72F67FF8" w14:textId="438199A8" w:rsidR="00015AEE" w:rsidRPr="00C50854" w:rsidRDefault="00015AEE" w:rsidP="00311E1F">
      <w:pPr>
        <w:numPr>
          <w:ilvl w:val="0"/>
          <w:numId w:val="13"/>
        </w:numPr>
        <w:suppressAutoHyphens w:val="0"/>
        <w:autoSpaceDE w:val="0"/>
        <w:autoSpaceDN w:val="0"/>
        <w:adjustRightInd w:val="0"/>
        <w:spacing w:before="120" w:after="120"/>
        <w:jc w:val="both"/>
        <w:rPr>
          <w:lang w:eastAsia="et-EE"/>
        </w:rPr>
      </w:pPr>
      <w:r w:rsidRPr="00C50854">
        <w:rPr>
          <w:lang w:eastAsia="et-EE"/>
        </w:rPr>
        <w:t>Kui 2008. aastal osutas</w:t>
      </w:r>
      <w:r w:rsidR="00237BBA" w:rsidRPr="00C50854">
        <w:rPr>
          <w:lang w:eastAsia="et-EE"/>
        </w:rPr>
        <w:t xml:space="preserve"> aktiivselt</w:t>
      </w:r>
      <w:r w:rsidRPr="00C50854">
        <w:rPr>
          <w:lang w:eastAsia="et-EE"/>
        </w:rPr>
        <w:t xml:space="preserve"> Eestis lairibateenuseid 76 teenuseosutajat, siis 201</w:t>
      </w:r>
      <w:r w:rsidR="00EA205A" w:rsidRPr="00C50854">
        <w:rPr>
          <w:lang w:eastAsia="et-EE"/>
        </w:rPr>
        <w:t>9</w:t>
      </w:r>
      <w:r w:rsidRPr="00C50854">
        <w:rPr>
          <w:lang w:eastAsia="et-EE"/>
        </w:rPr>
        <w:t xml:space="preserve">. aasta </w:t>
      </w:r>
      <w:r w:rsidR="00EA205A" w:rsidRPr="00C50854">
        <w:rPr>
          <w:lang w:eastAsia="et-EE"/>
        </w:rPr>
        <w:t>esimese poolaasta</w:t>
      </w:r>
      <w:r w:rsidRPr="00C50854">
        <w:rPr>
          <w:lang w:eastAsia="et-EE"/>
        </w:rPr>
        <w:t xml:space="preserve"> seisuga osutab neid teenuseid </w:t>
      </w:r>
      <w:r w:rsidR="00EA205A" w:rsidRPr="00C50854">
        <w:rPr>
          <w:lang w:eastAsia="et-EE"/>
        </w:rPr>
        <w:t>38</w:t>
      </w:r>
      <w:r w:rsidRPr="00C50854">
        <w:rPr>
          <w:lang w:eastAsia="et-EE"/>
        </w:rPr>
        <w:t xml:space="preserve"> ettevõtjat – teenuseosutajate arv on </w:t>
      </w:r>
      <w:r w:rsidRPr="00C50854">
        <w:rPr>
          <w:lang w:eastAsia="et-EE"/>
        </w:rPr>
        <w:lastRenderedPageBreak/>
        <w:t xml:space="preserve">langenud </w:t>
      </w:r>
      <w:r w:rsidR="00EA205A" w:rsidRPr="00C50854">
        <w:rPr>
          <w:lang w:eastAsia="et-EE"/>
        </w:rPr>
        <w:t>4</w:t>
      </w:r>
      <w:r w:rsidRPr="00C50854">
        <w:rPr>
          <w:lang w:eastAsia="et-EE"/>
        </w:rPr>
        <w:t xml:space="preserve">3 võrra. Põhjuseks on viimaste aastate jooksul fikseeritud sidevõrkudes osutatavate jaeteenuste turgudel toimunud </w:t>
      </w:r>
      <w:r w:rsidR="00237BBA" w:rsidRPr="00C50854">
        <w:rPr>
          <w:lang w:eastAsia="et-EE"/>
        </w:rPr>
        <w:t xml:space="preserve">turu </w:t>
      </w:r>
      <w:r w:rsidRPr="00C50854">
        <w:rPr>
          <w:lang w:eastAsia="et-EE"/>
        </w:rPr>
        <w:t>kontsentreerumine:</w:t>
      </w:r>
    </w:p>
    <w:p w14:paraId="7598353E" w14:textId="6736756E" w:rsidR="00015AEE" w:rsidRPr="00C50854" w:rsidRDefault="00015AEE" w:rsidP="00015AEE">
      <w:pPr>
        <w:suppressAutoHyphens w:val="0"/>
        <w:autoSpaceDE w:val="0"/>
        <w:autoSpaceDN w:val="0"/>
        <w:adjustRightInd w:val="0"/>
        <w:spacing w:before="120" w:after="120"/>
        <w:ind w:left="360"/>
        <w:jc w:val="both"/>
        <w:rPr>
          <w:lang w:eastAsia="et-EE"/>
        </w:rPr>
      </w:pPr>
      <w:r w:rsidRPr="00C50854">
        <w:rPr>
          <w:lang w:eastAsia="et-EE"/>
        </w:rPr>
        <w:t>a) väiksed sideteenuse osutajad on oma sidevõrgud ära müünud või ühendanud need suuremate sideteenuse osutajate sidevõrkudega;</w:t>
      </w:r>
      <w:r w:rsidR="00D036E4" w:rsidRPr="00C50854">
        <w:rPr>
          <w:lang w:eastAsia="et-EE"/>
        </w:rPr>
        <w:t xml:space="preserve"> </w:t>
      </w:r>
    </w:p>
    <w:p w14:paraId="6B3F77F1" w14:textId="1347DE61" w:rsidR="00015AEE" w:rsidRPr="00C50854" w:rsidRDefault="00015AEE" w:rsidP="00015AEE">
      <w:pPr>
        <w:suppressAutoHyphens w:val="0"/>
        <w:autoSpaceDE w:val="0"/>
        <w:autoSpaceDN w:val="0"/>
        <w:adjustRightInd w:val="0"/>
        <w:spacing w:before="120" w:after="120"/>
        <w:ind w:left="360"/>
        <w:jc w:val="both"/>
        <w:rPr>
          <w:lang w:eastAsia="et-EE"/>
        </w:rPr>
      </w:pPr>
      <w:r w:rsidRPr="00C50854">
        <w:rPr>
          <w:lang w:eastAsia="et-EE"/>
        </w:rPr>
        <w:t xml:space="preserve">b) </w:t>
      </w:r>
      <w:r w:rsidR="00F57059" w:rsidRPr="00C50854">
        <w:rPr>
          <w:lang w:eastAsia="et-EE"/>
        </w:rPr>
        <w:t>lõppkasutaja</w:t>
      </w:r>
      <w:r w:rsidRPr="00C50854">
        <w:rPr>
          <w:lang w:eastAsia="et-EE"/>
        </w:rPr>
        <w:t>te lahkumise tõttu on sideettevõtjad teenuse osutamisest loobunud ja turult väljunud.</w:t>
      </w:r>
    </w:p>
    <w:p w14:paraId="7CE95275" w14:textId="21610791" w:rsidR="00F702CE" w:rsidRPr="00C50854" w:rsidRDefault="00A57AC4" w:rsidP="00311E1F">
      <w:pPr>
        <w:numPr>
          <w:ilvl w:val="0"/>
          <w:numId w:val="13"/>
        </w:numPr>
        <w:suppressAutoHyphens w:val="0"/>
        <w:autoSpaceDE w:val="0"/>
        <w:autoSpaceDN w:val="0"/>
        <w:adjustRightInd w:val="0"/>
        <w:spacing w:before="120" w:after="120"/>
        <w:jc w:val="both"/>
        <w:rPr>
          <w:lang w:eastAsia="et-EE"/>
        </w:rPr>
      </w:pPr>
      <w:r w:rsidRPr="00C50854">
        <w:rPr>
          <w:lang w:eastAsia="et-EE"/>
        </w:rPr>
        <w:t>Fikseeritud sidevõrgus on lairiba</w:t>
      </w:r>
      <w:r w:rsidR="00F702CE" w:rsidRPr="00C50854">
        <w:rPr>
          <w:lang w:eastAsia="et-EE"/>
        </w:rPr>
        <w:t xml:space="preserve">teenuse </w:t>
      </w:r>
      <w:r w:rsidR="002A5D20" w:rsidRPr="00C50854">
        <w:rPr>
          <w:lang w:eastAsia="et-EE"/>
        </w:rPr>
        <w:t>lõppkasutaja</w:t>
      </w:r>
      <w:r w:rsidR="00F702CE" w:rsidRPr="00C50854">
        <w:rPr>
          <w:lang w:eastAsia="et-EE"/>
        </w:rPr>
        <w:t>te arvu alusel enam</w:t>
      </w:r>
      <w:r w:rsidR="0086151C" w:rsidRPr="00C50854">
        <w:rPr>
          <w:lang w:eastAsia="et-EE"/>
        </w:rPr>
        <w:t>ik</w:t>
      </w:r>
      <w:r w:rsidR="00F702CE" w:rsidRPr="00C50854">
        <w:rPr>
          <w:lang w:eastAsia="et-EE"/>
        </w:rPr>
        <w:t xml:space="preserve"> turust </w:t>
      </w:r>
      <w:r w:rsidR="0066050B" w:rsidRPr="00C50854">
        <w:rPr>
          <w:lang w:eastAsia="et-EE"/>
        </w:rPr>
        <w:t>91</w:t>
      </w:r>
      <w:r w:rsidR="00F702CE" w:rsidRPr="00C50854">
        <w:rPr>
          <w:lang w:eastAsia="et-EE"/>
        </w:rPr>
        <w:t xml:space="preserve">% koondunud kolme suurema teenuseosutaja kätte: nendeks on </w:t>
      </w:r>
      <w:r w:rsidR="007D21E7" w:rsidRPr="00C50854">
        <w:rPr>
          <w:lang w:eastAsia="et-EE"/>
        </w:rPr>
        <w:t>Telia</w:t>
      </w:r>
      <w:r w:rsidR="00842673" w:rsidRPr="00C50854">
        <w:rPr>
          <w:lang w:eastAsia="et-EE"/>
        </w:rPr>
        <w:t xml:space="preserve"> 5</w:t>
      </w:r>
      <w:r w:rsidR="003366EF" w:rsidRPr="00C50854">
        <w:rPr>
          <w:lang w:eastAsia="et-EE"/>
        </w:rPr>
        <w:t>3</w:t>
      </w:r>
      <w:r w:rsidR="00842673" w:rsidRPr="00C50854">
        <w:rPr>
          <w:lang w:eastAsia="et-EE"/>
        </w:rPr>
        <w:t>%</w:t>
      </w:r>
      <w:r w:rsidR="00F702CE" w:rsidRPr="00C50854">
        <w:rPr>
          <w:lang w:eastAsia="et-EE"/>
        </w:rPr>
        <w:t xml:space="preserve">, </w:t>
      </w:r>
      <w:r w:rsidR="00DB6556" w:rsidRPr="00C50854">
        <w:rPr>
          <w:lang w:eastAsia="et-EE"/>
        </w:rPr>
        <w:t>Teleteenused</w:t>
      </w:r>
      <w:r w:rsidR="00F702CE" w:rsidRPr="00C50854">
        <w:rPr>
          <w:lang w:eastAsia="et-EE"/>
        </w:rPr>
        <w:t xml:space="preserve"> </w:t>
      </w:r>
      <w:r w:rsidR="00842673" w:rsidRPr="00C50854">
        <w:rPr>
          <w:lang w:eastAsia="et-EE"/>
        </w:rPr>
        <w:t>2</w:t>
      </w:r>
      <w:r w:rsidR="003366EF" w:rsidRPr="00C50854">
        <w:rPr>
          <w:lang w:eastAsia="et-EE"/>
        </w:rPr>
        <w:t>8</w:t>
      </w:r>
      <w:r w:rsidR="00842673" w:rsidRPr="00C50854">
        <w:rPr>
          <w:lang w:eastAsia="et-EE"/>
        </w:rPr>
        <w:t xml:space="preserve">% </w:t>
      </w:r>
      <w:r w:rsidR="00F702CE" w:rsidRPr="00C50854">
        <w:rPr>
          <w:lang w:eastAsia="et-EE"/>
        </w:rPr>
        <w:t>ja STV</w:t>
      </w:r>
      <w:r w:rsidR="00D86960" w:rsidRPr="00C50854">
        <w:rPr>
          <w:lang w:eastAsia="et-EE"/>
        </w:rPr>
        <w:t xml:space="preserve"> </w:t>
      </w:r>
      <w:r w:rsidR="00842673" w:rsidRPr="00C50854">
        <w:rPr>
          <w:lang w:eastAsia="et-EE"/>
        </w:rPr>
        <w:t>1</w:t>
      </w:r>
      <w:r w:rsidR="003366EF" w:rsidRPr="00C50854">
        <w:rPr>
          <w:lang w:eastAsia="et-EE"/>
        </w:rPr>
        <w:t>1</w:t>
      </w:r>
      <w:r w:rsidR="00842673" w:rsidRPr="00C50854">
        <w:rPr>
          <w:lang w:eastAsia="et-EE"/>
        </w:rPr>
        <w:t xml:space="preserve">% </w:t>
      </w:r>
      <w:r w:rsidR="00D86960" w:rsidRPr="00C50854">
        <w:rPr>
          <w:lang w:eastAsia="et-EE"/>
        </w:rPr>
        <w:t xml:space="preserve">(vt </w:t>
      </w:r>
      <w:r w:rsidR="00883217" w:rsidRPr="00C50854">
        <w:rPr>
          <w:lang w:eastAsia="et-EE"/>
        </w:rPr>
        <w:fldChar w:fldCharType="begin"/>
      </w:r>
      <w:r w:rsidR="00883217" w:rsidRPr="00C50854">
        <w:rPr>
          <w:lang w:eastAsia="et-EE"/>
        </w:rPr>
        <w:instrText xml:space="preserve"> REF _Ref346267662 \h  \* MERGEFORMAT </w:instrText>
      </w:r>
      <w:r w:rsidR="00883217" w:rsidRPr="00C50854">
        <w:rPr>
          <w:lang w:eastAsia="et-EE"/>
        </w:rPr>
      </w:r>
      <w:r w:rsidR="00883217" w:rsidRPr="00C50854">
        <w:rPr>
          <w:lang w:eastAsia="et-EE"/>
        </w:rPr>
        <w:fldChar w:fldCharType="separate"/>
      </w:r>
      <w:r w:rsidR="0079054B" w:rsidRPr="00C50854">
        <w:rPr>
          <w:bCs/>
          <w:lang w:eastAsia="et-EE"/>
        </w:rPr>
        <w:t xml:space="preserve">Tabel </w:t>
      </w:r>
      <w:r w:rsidR="0079054B" w:rsidRPr="00C50854">
        <w:rPr>
          <w:bCs/>
          <w:noProof/>
          <w:lang w:eastAsia="et-EE"/>
        </w:rPr>
        <w:t>8</w:t>
      </w:r>
      <w:r w:rsidR="00883217" w:rsidRPr="00C50854">
        <w:rPr>
          <w:lang w:eastAsia="et-EE"/>
        </w:rPr>
        <w:fldChar w:fldCharType="end"/>
      </w:r>
      <w:r w:rsidR="00D86960" w:rsidRPr="00C50854">
        <w:rPr>
          <w:lang w:eastAsia="et-EE"/>
        </w:rPr>
        <w:t xml:space="preserve">). </w:t>
      </w:r>
    </w:p>
    <w:tbl>
      <w:tblPr>
        <w:tblW w:w="9238" w:type="dxa"/>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944"/>
        <w:gridCol w:w="1670"/>
        <w:gridCol w:w="1390"/>
        <w:gridCol w:w="1391"/>
        <w:gridCol w:w="1304"/>
        <w:gridCol w:w="1539"/>
      </w:tblGrid>
      <w:tr w:rsidR="009F29AD" w:rsidRPr="00C50854" w14:paraId="18E714DE" w14:textId="77777777" w:rsidTr="007E0856">
        <w:trPr>
          <w:trHeight w:val="253"/>
        </w:trPr>
        <w:tc>
          <w:tcPr>
            <w:tcW w:w="1944" w:type="dxa"/>
            <w:shd w:val="clear" w:color="auto" w:fill="CCFFCC"/>
            <w:noWrap/>
            <w:vAlign w:val="bottom"/>
            <w:hideMark/>
          </w:tcPr>
          <w:p w14:paraId="15A85FBF" w14:textId="77777777" w:rsidR="009F29AD" w:rsidRPr="00C50854" w:rsidRDefault="009F29AD" w:rsidP="009F29AD">
            <w:pPr>
              <w:pStyle w:val="Loendilik"/>
              <w:suppressAutoHyphens w:val="0"/>
              <w:ind w:left="360"/>
              <w:jc w:val="center"/>
              <w:rPr>
                <w:b/>
                <w:sz w:val="20"/>
                <w:szCs w:val="20"/>
                <w:lang w:eastAsia="et-EE"/>
              </w:rPr>
            </w:pPr>
            <w:r w:rsidRPr="00C50854">
              <w:rPr>
                <w:b/>
                <w:sz w:val="20"/>
                <w:szCs w:val="20"/>
                <w:lang w:eastAsia="et-EE"/>
              </w:rPr>
              <w:t> </w:t>
            </w:r>
          </w:p>
        </w:tc>
        <w:tc>
          <w:tcPr>
            <w:tcW w:w="1670" w:type="dxa"/>
            <w:shd w:val="clear" w:color="auto" w:fill="CCFFCC"/>
            <w:noWrap/>
            <w:hideMark/>
          </w:tcPr>
          <w:p w14:paraId="776DF27B" w14:textId="066CB096" w:rsidR="009F29AD" w:rsidRPr="00C50854" w:rsidRDefault="009F29AD" w:rsidP="009F29AD">
            <w:pPr>
              <w:suppressAutoHyphens w:val="0"/>
              <w:jc w:val="center"/>
              <w:rPr>
                <w:b/>
                <w:color w:val="000000"/>
                <w:sz w:val="20"/>
                <w:szCs w:val="20"/>
                <w:lang w:eastAsia="et-EE"/>
              </w:rPr>
            </w:pPr>
            <w:r w:rsidRPr="00C50854">
              <w:rPr>
                <w:b/>
                <w:color w:val="000000"/>
                <w:sz w:val="20"/>
                <w:szCs w:val="20"/>
                <w:lang w:eastAsia="et-EE"/>
              </w:rPr>
              <w:t>2015</w:t>
            </w:r>
          </w:p>
        </w:tc>
        <w:tc>
          <w:tcPr>
            <w:tcW w:w="1390" w:type="dxa"/>
            <w:shd w:val="clear" w:color="auto" w:fill="CCFFCC"/>
            <w:noWrap/>
            <w:hideMark/>
          </w:tcPr>
          <w:p w14:paraId="4FFC5F8E" w14:textId="4B5A68D5" w:rsidR="009F29AD" w:rsidRPr="00C50854" w:rsidRDefault="009F29AD" w:rsidP="009F29AD">
            <w:pPr>
              <w:suppressAutoHyphens w:val="0"/>
              <w:jc w:val="center"/>
              <w:rPr>
                <w:b/>
                <w:color w:val="000000"/>
                <w:sz w:val="20"/>
                <w:szCs w:val="20"/>
                <w:lang w:eastAsia="et-EE"/>
              </w:rPr>
            </w:pPr>
            <w:r w:rsidRPr="00C50854">
              <w:rPr>
                <w:b/>
                <w:color w:val="000000"/>
                <w:sz w:val="20"/>
                <w:szCs w:val="20"/>
                <w:lang w:eastAsia="et-EE"/>
              </w:rPr>
              <w:t>2016</w:t>
            </w:r>
          </w:p>
        </w:tc>
        <w:tc>
          <w:tcPr>
            <w:tcW w:w="1391" w:type="dxa"/>
            <w:shd w:val="clear" w:color="auto" w:fill="CCFFCC"/>
            <w:noWrap/>
            <w:hideMark/>
          </w:tcPr>
          <w:p w14:paraId="1FEAA2A1" w14:textId="1F1E3D3E" w:rsidR="009F29AD" w:rsidRPr="00C50854" w:rsidRDefault="009F29AD" w:rsidP="009F29AD">
            <w:pPr>
              <w:suppressAutoHyphens w:val="0"/>
              <w:jc w:val="center"/>
              <w:rPr>
                <w:b/>
                <w:color w:val="000000"/>
                <w:sz w:val="20"/>
                <w:szCs w:val="20"/>
                <w:lang w:eastAsia="et-EE"/>
              </w:rPr>
            </w:pPr>
            <w:r w:rsidRPr="00C50854">
              <w:rPr>
                <w:b/>
                <w:color w:val="000000"/>
                <w:sz w:val="20"/>
                <w:szCs w:val="20"/>
                <w:lang w:eastAsia="et-EE"/>
              </w:rPr>
              <w:t>2017</w:t>
            </w:r>
          </w:p>
        </w:tc>
        <w:tc>
          <w:tcPr>
            <w:tcW w:w="1304" w:type="dxa"/>
            <w:shd w:val="clear" w:color="auto" w:fill="CCFFCC"/>
            <w:noWrap/>
            <w:hideMark/>
          </w:tcPr>
          <w:p w14:paraId="076DBE61" w14:textId="7F254763" w:rsidR="009F29AD" w:rsidRPr="00C50854" w:rsidRDefault="009F29AD" w:rsidP="009F29AD">
            <w:pPr>
              <w:suppressAutoHyphens w:val="0"/>
              <w:jc w:val="center"/>
              <w:rPr>
                <w:b/>
                <w:color w:val="000000"/>
                <w:sz w:val="20"/>
                <w:szCs w:val="20"/>
                <w:lang w:eastAsia="et-EE"/>
              </w:rPr>
            </w:pPr>
            <w:r w:rsidRPr="00C50854">
              <w:rPr>
                <w:b/>
                <w:color w:val="000000"/>
                <w:sz w:val="20"/>
                <w:szCs w:val="20"/>
                <w:lang w:eastAsia="et-EE"/>
              </w:rPr>
              <w:t>2018</w:t>
            </w:r>
          </w:p>
        </w:tc>
        <w:tc>
          <w:tcPr>
            <w:tcW w:w="1539" w:type="dxa"/>
            <w:shd w:val="clear" w:color="auto" w:fill="CCFFCC"/>
            <w:noWrap/>
            <w:hideMark/>
          </w:tcPr>
          <w:p w14:paraId="182D3215" w14:textId="67171236" w:rsidR="009F29AD" w:rsidRPr="00C50854" w:rsidRDefault="009F29AD" w:rsidP="009F29AD">
            <w:pPr>
              <w:suppressAutoHyphens w:val="0"/>
              <w:jc w:val="center"/>
              <w:rPr>
                <w:b/>
                <w:color w:val="000000"/>
                <w:sz w:val="20"/>
                <w:szCs w:val="20"/>
                <w:lang w:eastAsia="et-EE"/>
              </w:rPr>
            </w:pPr>
            <w:r w:rsidRPr="00C50854">
              <w:rPr>
                <w:b/>
                <w:color w:val="000000"/>
                <w:sz w:val="20"/>
                <w:szCs w:val="20"/>
                <w:lang w:eastAsia="et-EE"/>
              </w:rPr>
              <w:t xml:space="preserve"> I </w:t>
            </w:r>
            <w:proofErr w:type="spellStart"/>
            <w:r w:rsidRPr="00C50854">
              <w:rPr>
                <w:b/>
                <w:color w:val="000000"/>
                <w:sz w:val="20"/>
                <w:szCs w:val="20"/>
                <w:lang w:eastAsia="et-EE"/>
              </w:rPr>
              <w:t>pa</w:t>
            </w:r>
            <w:proofErr w:type="spellEnd"/>
            <w:r w:rsidRPr="00C50854">
              <w:rPr>
                <w:b/>
                <w:color w:val="000000"/>
                <w:sz w:val="20"/>
                <w:szCs w:val="20"/>
                <w:lang w:eastAsia="et-EE"/>
              </w:rPr>
              <w:t xml:space="preserve"> 2019</w:t>
            </w:r>
          </w:p>
        </w:tc>
      </w:tr>
      <w:tr w:rsidR="009F29AD" w:rsidRPr="00C50854" w14:paraId="1A1DA037" w14:textId="77777777" w:rsidTr="007E0856">
        <w:trPr>
          <w:trHeight w:val="253"/>
        </w:trPr>
        <w:tc>
          <w:tcPr>
            <w:tcW w:w="1944" w:type="dxa"/>
            <w:shd w:val="clear" w:color="auto" w:fill="auto"/>
            <w:noWrap/>
            <w:vAlign w:val="bottom"/>
            <w:hideMark/>
          </w:tcPr>
          <w:p w14:paraId="741835D4" w14:textId="77777777" w:rsidR="009F29AD" w:rsidRPr="00C50854" w:rsidRDefault="009F29AD" w:rsidP="009F29AD">
            <w:pPr>
              <w:suppressAutoHyphens w:val="0"/>
              <w:rPr>
                <w:color w:val="000000"/>
                <w:sz w:val="20"/>
                <w:szCs w:val="20"/>
                <w:lang w:eastAsia="et-EE"/>
              </w:rPr>
            </w:pPr>
            <w:r w:rsidRPr="00C50854">
              <w:rPr>
                <w:color w:val="000000"/>
                <w:sz w:val="20"/>
                <w:szCs w:val="20"/>
                <w:lang w:eastAsia="et-EE"/>
              </w:rPr>
              <w:t>Telia</w:t>
            </w:r>
          </w:p>
        </w:tc>
        <w:tc>
          <w:tcPr>
            <w:tcW w:w="1670" w:type="dxa"/>
            <w:shd w:val="clear" w:color="auto" w:fill="auto"/>
            <w:noWrap/>
            <w:hideMark/>
          </w:tcPr>
          <w:p w14:paraId="5FD5F429" w14:textId="7A9E2758" w:rsidR="009F29AD" w:rsidRPr="00C50854" w:rsidRDefault="009F29AD" w:rsidP="009F29AD">
            <w:pPr>
              <w:suppressAutoHyphens w:val="0"/>
              <w:rPr>
                <w:color w:val="000000"/>
                <w:sz w:val="20"/>
                <w:szCs w:val="20"/>
                <w:lang w:eastAsia="et-EE"/>
              </w:rPr>
            </w:pPr>
            <w:r w:rsidRPr="00C50854">
              <w:rPr>
                <w:color w:val="000000"/>
                <w:sz w:val="20"/>
                <w:szCs w:val="20"/>
                <w:lang w:eastAsia="et-EE"/>
              </w:rPr>
              <w:t>56%</w:t>
            </w:r>
          </w:p>
        </w:tc>
        <w:tc>
          <w:tcPr>
            <w:tcW w:w="1390" w:type="dxa"/>
            <w:shd w:val="clear" w:color="auto" w:fill="auto"/>
            <w:noWrap/>
            <w:hideMark/>
          </w:tcPr>
          <w:p w14:paraId="2E04A356" w14:textId="7A7A6409" w:rsidR="009F29AD" w:rsidRPr="00C50854" w:rsidRDefault="009F29AD" w:rsidP="009F29AD">
            <w:pPr>
              <w:suppressAutoHyphens w:val="0"/>
              <w:rPr>
                <w:color w:val="000000"/>
                <w:sz w:val="20"/>
                <w:szCs w:val="20"/>
                <w:lang w:eastAsia="et-EE"/>
              </w:rPr>
            </w:pPr>
            <w:r w:rsidRPr="00C50854">
              <w:rPr>
                <w:color w:val="000000"/>
                <w:sz w:val="20"/>
                <w:szCs w:val="20"/>
                <w:lang w:eastAsia="et-EE"/>
              </w:rPr>
              <w:t>54%</w:t>
            </w:r>
          </w:p>
        </w:tc>
        <w:tc>
          <w:tcPr>
            <w:tcW w:w="1391" w:type="dxa"/>
            <w:shd w:val="clear" w:color="auto" w:fill="auto"/>
            <w:noWrap/>
            <w:hideMark/>
          </w:tcPr>
          <w:p w14:paraId="02FAD6F0" w14:textId="325DEDF2" w:rsidR="009F29AD" w:rsidRPr="00C50854" w:rsidRDefault="009F29AD" w:rsidP="009F29AD">
            <w:pPr>
              <w:suppressAutoHyphens w:val="0"/>
              <w:rPr>
                <w:color w:val="000000"/>
                <w:sz w:val="20"/>
                <w:szCs w:val="20"/>
                <w:lang w:eastAsia="et-EE"/>
              </w:rPr>
            </w:pPr>
            <w:r w:rsidRPr="00C50854">
              <w:rPr>
                <w:color w:val="000000"/>
                <w:sz w:val="20"/>
                <w:szCs w:val="20"/>
                <w:lang w:eastAsia="et-EE"/>
              </w:rPr>
              <w:t>53%</w:t>
            </w:r>
          </w:p>
        </w:tc>
        <w:tc>
          <w:tcPr>
            <w:tcW w:w="1304" w:type="dxa"/>
            <w:shd w:val="clear" w:color="auto" w:fill="auto"/>
            <w:noWrap/>
            <w:hideMark/>
          </w:tcPr>
          <w:p w14:paraId="6C146D9B" w14:textId="791C28EB" w:rsidR="009F29AD" w:rsidRPr="00C50854" w:rsidRDefault="009F29AD" w:rsidP="009F29AD">
            <w:pPr>
              <w:suppressAutoHyphens w:val="0"/>
              <w:rPr>
                <w:color w:val="000000"/>
                <w:sz w:val="20"/>
                <w:szCs w:val="20"/>
                <w:lang w:eastAsia="et-EE"/>
              </w:rPr>
            </w:pPr>
            <w:r w:rsidRPr="00C50854">
              <w:rPr>
                <w:color w:val="000000"/>
                <w:sz w:val="20"/>
                <w:szCs w:val="20"/>
                <w:lang w:eastAsia="et-EE"/>
              </w:rPr>
              <w:t>53%</w:t>
            </w:r>
          </w:p>
        </w:tc>
        <w:tc>
          <w:tcPr>
            <w:tcW w:w="1539" w:type="dxa"/>
            <w:shd w:val="clear" w:color="auto" w:fill="auto"/>
            <w:noWrap/>
            <w:hideMark/>
          </w:tcPr>
          <w:p w14:paraId="66BDCAE5" w14:textId="5974BE9A" w:rsidR="009F29AD" w:rsidRPr="00C50854" w:rsidRDefault="009F29AD" w:rsidP="009F29AD">
            <w:pPr>
              <w:suppressAutoHyphens w:val="0"/>
              <w:rPr>
                <w:color w:val="000000"/>
                <w:sz w:val="20"/>
                <w:szCs w:val="20"/>
                <w:lang w:eastAsia="et-EE"/>
              </w:rPr>
            </w:pPr>
            <w:r w:rsidRPr="00C50854">
              <w:rPr>
                <w:color w:val="000000"/>
                <w:sz w:val="20"/>
                <w:szCs w:val="20"/>
                <w:lang w:eastAsia="et-EE"/>
              </w:rPr>
              <w:t>53%</w:t>
            </w:r>
          </w:p>
        </w:tc>
      </w:tr>
      <w:tr w:rsidR="009F29AD" w:rsidRPr="00C50854" w14:paraId="7F2FFAE4" w14:textId="77777777" w:rsidTr="007E0856">
        <w:trPr>
          <w:trHeight w:val="253"/>
        </w:trPr>
        <w:tc>
          <w:tcPr>
            <w:tcW w:w="1944" w:type="dxa"/>
            <w:shd w:val="clear" w:color="auto" w:fill="auto"/>
            <w:noWrap/>
            <w:vAlign w:val="bottom"/>
            <w:hideMark/>
          </w:tcPr>
          <w:p w14:paraId="7D981C78" w14:textId="75F3D55F" w:rsidR="009F29AD" w:rsidRPr="00C50854" w:rsidRDefault="00937FCB" w:rsidP="009F29AD">
            <w:pPr>
              <w:suppressAutoHyphens w:val="0"/>
              <w:rPr>
                <w:color w:val="000000"/>
                <w:sz w:val="20"/>
                <w:szCs w:val="20"/>
                <w:lang w:eastAsia="et-EE"/>
              </w:rPr>
            </w:pPr>
            <w:r w:rsidRPr="00C50854">
              <w:rPr>
                <w:color w:val="000000"/>
                <w:sz w:val="20"/>
                <w:szCs w:val="20"/>
                <w:lang w:eastAsia="et-EE"/>
              </w:rPr>
              <w:t>Teleteenused</w:t>
            </w:r>
          </w:p>
        </w:tc>
        <w:tc>
          <w:tcPr>
            <w:tcW w:w="1670" w:type="dxa"/>
            <w:shd w:val="clear" w:color="auto" w:fill="auto"/>
            <w:noWrap/>
            <w:hideMark/>
          </w:tcPr>
          <w:p w14:paraId="4F89142A" w14:textId="7F2F2B54" w:rsidR="009F29AD" w:rsidRPr="00C50854" w:rsidRDefault="009F29AD" w:rsidP="009F29AD">
            <w:pPr>
              <w:suppressAutoHyphens w:val="0"/>
              <w:rPr>
                <w:color w:val="000000"/>
                <w:sz w:val="20"/>
                <w:szCs w:val="20"/>
                <w:lang w:eastAsia="et-EE"/>
              </w:rPr>
            </w:pPr>
            <w:r w:rsidRPr="00C50854">
              <w:rPr>
                <w:color w:val="000000"/>
                <w:sz w:val="20"/>
                <w:szCs w:val="20"/>
                <w:lang w:eastAsia="et-EE"/>
              </w:rPr>
              <w:t>23%</w:t>
            </w:r>
          </w:p>
        </w:tc>
        <w:tc>
          <w:tcPr>
            <w:tcW w:w="1390" w:type="dxa"/>
            <w:shd w:val="clear" w:color="auto" w:fill="auto"/>
            <w:noWrap/>
            <w:hideMark/>
          </w:tcPr>
          <w:p w14:paraId="58D770BD" w14:textId="04545C06" w:rsidR="009F29AD" w:rsidRPr="00C50854" w:rsidRDefault="009F29AD" w:rsidP="009F29AD">
            <w:pPr>
              <w:suppressAutoHyphens w:val="0"/>
              <w:rPr>
                <w:color w:val="000000"/>
                <w:sz w:val="20"/>
                <w:szCs w:val="20"/>
                <w:lang w:eastAsia="et-EE"/>
              </w:rPr>
            </w:pPr>
            <w:r w:rsidRPr="00C50854">
              <w:rPr>
                <w:color w:val="000000"/>
                <w:sz w:val="20"/>
                <w:szCs w:val="20"/>
                <w:lang w:eastAsia="et-EE"/>
              </w:rPr>
              <w:t>25%</w:t>
            </w:r>
          </w:p>
        </w:tc>
        <w:tc>
          <w:tcPr>
            <w:tcW w:w="1391" w:type="dxa"/>
            <w:shd w:val="clear" w:color="auto" w:fill="auto"/>
            <w:noWrap/>
            <w:hideMark/>
          </w:tcPr>
          <w:p w14:paraId="5C0CE890" w14:textId="4739A117" w:rsidR="009F29AD" w:rsidRPr="00C50854" w:rsidRDefault="009F29AD" w:rsidP="009F29AD">
            <w:pPr>
              <w:suppressAutoHyphens w:val="0"/>
              <w:rPr>
                <w:color w:val="000000"/>
                <w:sz w:val="20"/>
                <w:szCs w:val="20"/>
                <w:lang w:eastAsia="et-EE"/>
              </w:rPr>
            </w:pPr>
            <w:r w:rsidRPr="00C50854">
              <w:rPr>
                <w:color w:val="000000"/>
                <w:sz w:val="20"/>
                <w:szCs w:val="20"/>
                <w:lang w:eastAsia="et-EE"/>
              </w:rPr>
              <w:t>27%</w:t>
            </w:r>
          </w:p>
        </w:tc>
        <w:tc>
          <w:tcPr>
            <w:tcW w:w="1304" w:type="dxa"/>
            <w:shd w:val="clear" w:color="auto" w:fill="auto"/>
            <w:noWrap/>
            <w:hideMark/>
          </w:tcPr>
          <w:p w14:paraId="7642B759" w14:textId="7186FECB" w:rsidR="009F29AD" w:rsidRPr="00C50854" w:rsidRDefault="009F29AD" w:rsidP="009F29AD">
            <w:pPr>
              <w:suppressAutoHyphens w:val="0"/>
              <w:rPr>
                <w:color w:val="000000"/>
                <w:sz w:val="20"/>
                <w:szCs w:val="20"/>
                <w:lang w:eastAsia="et-EE"/>
              </w:rPr>
            </w:pPr>
            <w:r w:rsidRPr="00C50854">
              <w:rPr>
                <w:color w:val="000000"/>
                <w:sz w:val="20"/>
                <w:szCs w:val="20"/>
                <w:lang w:eastAsia="et-EE"/>
              </w:rPr>
              <w:t>28%</w:t>
            </w:r>
          </w:p>
        </w:tc>
        <w:tc>
          <w:tcPr>
            <w:tcW w:w="1539" w:type="dxa"/>
            <w:shd w:val="clear" w:color="auto" w:fill="auto"/>
            <w:noWrap/>
            <w:hideMark/>
          </w:tcPr>
          <w:p w14:paraId="7880C5C4" w14:textId="361B19F7" w:rsidR="009F29AD" w:rsidRPr="00C50854" w:rsidRDefault="009F29AD" w:rsidP="009F29AD">
            <w:pPr>
              <w:suppressAutoHyphens w:val="0"/>
              <w:rPr>
                <w:color w:val="000000"/>
                <w:sz w:val="20"/>
                <w:szCs w:val="20"/>
                <w:lang w:eastAsia="et-EE"/>
              </w:rPr>
            </w:pPr>
            <w:r w:rsidRPr="00C50854">
              <w:rPr>
                <w:color w:val="000000"/>
                <w:sz w:val="20"/>
                <w:szCs w:val="20"/>
                <w:lang w:eastAsia="et-EE"/>
              </w:rPr>
              <w:t>28%</w:t>
            </w:r>
          </w:p>
        </w:tc>
      </w:tr>
      <w:tr w:rsidR="009F29AD" w:rsidRPr="00C50854" w14:paraId="46BD699A" w14:textId="77777777" w:rsidTr="007E0856">
        <w:trPr>
          <w:trHeight w:val="253"/>
        </w:trPr>
        <w:tc>
          <w:tcPr>
            <w:tcW w:w="1944" w:type="dxa"/>
            <w:shd w:val="clear" w:color="auto" w:fill="auto"/>
            <w:noWrap/>
            <w:vAlign w:val="bottom"/>
            <w:hideMark/>
          </w:tcPr>
          <w:p w14:paraId="6EB9056B" w14:textId="77777777" w:rsidR="009F29AD" w:rsidRPr="00C50854" w:rsidRDefault="009F29AD" w:rsidP="009F29AD">
            <w:pPr>
              <w:suppressAutoHyphens w:val="0"/>
              <w:rPr>
                <w:color w:val="000000"/>
                <w:sz w:val="20"/>
                <w:szCs w:val="20"/>
                <w:lang w:eastAsia="et-EE"/>
              </w:rPr>
            </w:pPr>
            <w:r w:rsidRPr="00C50854">
              <w:rPr>
                <w:color w:val="000000"/>
                <w:sz w:val="20"/>
                <w:szCs w:val="20"/>
                <w:lang w:eastAsia="et-EE"/>
              </w:rPr>
              <w:t>STV</w:t>
            </w:r>
          </w:p>
        </w:tc>
        <w:tc>
          <w:tcPr>
            <w:tcW w:w="1670" w:type="dxa"/>
            <w:shd w:val="clear" w:color="auto" w:fill="auto"/>
            <w:noWrap/>
            <w:hideMark/>
          </w:tcPr>
          <w:p w14:paraId="4B11DF2B" w14:textId="0511D080" w:rsidR="009F29AD" w:rsidRPr="00C50854" w:rsidRDefault="009F29AD" w:rsidP="009F29AD">
            <w:pPr>
              <w:suppressAutoHyphens w:val="0"/>
              <w:rPr>
                <w:color w:val="000000"/>
                <w:sz w:val="20"/>
                <w:szCs w:val="20"/>
                <w:lang w:eastAsia="et-EE"/>
              </w:rPr>
            </w:pPr>
            <w:r w:rsidRPr="00C50854">
              <w:rPr>
                <w:color w:val="000000"/>
                <w:sz w:val="20"/>
                <w:szCs w:val="20"/>
                <w:lang w:eastAsia="et-EE"/>
              </w:rPr>
              <w:t>12%</w:t>
            </w:r>
          </w:p>
        </w:tc>
        <w:tc>
          <w:tcPr>
            <w:tcW w:w="1390" w:type="dxa"/>
            <w:shd w:val="clear" w:color="auto" w:fill="auto"/>
            <w:noWrap/>
            <w:hideMark/>
          </w:tcPr>
          <w:p w14:paraId="07AB53DC" w14:textId="0529196F" w:rsidR="009F29AD" w:rsidRPr="00C50854" w:rsidRDefault="009F29AD" w:rsidP="009F29AD">
            <w:pPr>
              <w:suppressAutoHyphens w:val="0"/>
              <w:rPr>
                <w:color w:val="000000"/>
                <w:sz w:val="20"/>
                <w:szCs w:val="20"/>
                <w:lang w:eastAsia="et-EE"/>
              </w:rPr>
            </w:pPr>
            <w:r w:rsidRPr="00C50854">
              <w:rPr>
                <w:color w:val="000000"/>
                <w:sz w:val="20"/>
                <w:szCs w:val="20"/>
                <w:lang w:eastAsia="et-EE"/>
              </w:rPr>
              <w:t>12%</w:t>
            </w:r>
          </w:p>
        </w:tc>
        <w:tc>
          <w:tcPr>
            <w:tcW w:w="1391" w:type="dxa"/>
            <w:shd w:val="clear" w:color="auto" w:fill="auto"/>
            <w:noWrap/>
            <w:hideMark/>
          </w:tcPr>
          <w:p w14:paraId="52BCCD3A" w14:textId="5950C17B" w:rsidR="009F29AD" w:rsidRPr="00C50854" w:rsidRDefault="009F29AD" w:rsidP="009F29AD">
            <w:pPr>
              <w:suppressAutoHyphens w:val="0"/>
              <w:rPr>
                <w:color w:val="000000"/>
                <w:sz w:val="20"/>
                <w:szCs w:val="20"/>
                <w:lang w:eastAsia="et-EE"/>
              </w:rPr>
            </w:pPr>
            <w:r w:rsidRPr="00C50854">
              <w:rPr>
                <w:color w:val="000000"/>
                <w:sz w:val="20"/>
                <w:szCs w:val="20"/>
                <w:lang w:eastAsia="et-EE"/>
              </w:rPr>
              <w:t>12%</w:t>
            </w:r>
          </w:p>
        </w:tc>
        <w:tc>
          <w:tcPr>
            <w:tcW w:w="1304" w:type="dxa"/>
            <w:shd w:val="clear" w:color="auto" w:fill="auto"/>
            <w:noWrap/>
            <w:hideMark/>
          </w:tcPr>
          <w:p w14:paraId="301A0DA7" w14:textId="5C2BC825" w:rsidR="009F29AD" w:rsidRPr="00C50854" w:rsidRDefault="009F29AD" w:rsidP="009F29AD">
            <w:pPr>
              <w:suppressAutoHyphens w:val="0"/>
              <w:rPr>
                <w:color w:val="000000"/>
                <w:sz w:val="20"/>
                <w:szCs w:val="20"/>
                <w:lang w:eastAsia="et-EE"/>
              </w:rPr>
            </w:pPr>
            <w:r w:rsidRPr="00C50854">
              <w:rPr>
                <w:color w:val="000000"/>
                <w:sz w:val="20"/>
                <w:szCs w:val="20"/>
                <w:lang w:eastAsia="et-EE"/>
              </w:rPr>
              <w:t>11%</w:t>
            </w:r>
          </w:p>
        </w:tc>
        <w:tc>
          <w:tcPr>
            <w:tcW w:w="1539" w:type="dxa"/>
            <w:shd w:val="clear" w:color="auto" w:fill="auto"/>
            <w:noWrap/>
            <w:hideMark/>
          </w:tcPr>
          <w:p w14:paraId="728A8280" w14:textId="1947413B" w:rsidR="009F29AD" w:rsidRPr="00C50854" w:rsidRDefault="009F29AD" w:rsidP="009F29AD">
            <w:pPr>
              <w:suppressAutoHyphens w:val="0"/>
              <w:rPr>
                <w:color w:val="000000"/>
                <w:sz w:val="20"/>
                <w:szCs w:val="20"/>
                <w:lang w:eastAsia="et-EE"/>
              </w:rPr>
            </w:pPr>
            <w:r w:rsidRPr="00C50854">
              <w:rPr>
                <w:color w:val="000000"/>
                <w:sz w:val="20"/>
                <w:szCs w:val="20"/>
                <w:lang w:eastAsia="et-EE"/>
              </w:rPr>
              <w:t>11%</w:t>
            </w:r>
          </w:p>
        </w:tc>
      </w:tr>
      <w:tr w:rsidR="009F29AD" w:rsidRPr="00C50854" w14:paraId="55DBDA24" w14:textId="77777777" w:rsidTr="007E0856">
        <w:trPr>
          <w:trHeight w:val="253"/>
        </w:trPr>
        <w:tc>
          <w:tcPr>
            <w:tcW w:w="1944" w:type="dxa"/>
            <w:shd w:val="clear" w:color="auto" w:fill="auto"/>
            <w:noWrap/>
            <w:vAlign w:val="bottom"/>
            <w:hideMark/>
          </w:tcPr>
          <w:p w14:paraId="6B891195" w14:textId="77777777" w:rsidR="009F29AD" w:rsidRPr="00C50854" w:rsidRDefault="009F29AD" w:rsidP="009F29AD">
            <w:pPr>
              <w:suppressAutoHyphens w:val="0"/>
              <w:rPr>
                <w:color w:val="000000"/>
                <w:sz w:val="20"/>
                <w:szCs w:val="20"/>
                <w:lang w:eastAsia="et-EE"/>
              </w:rPr>
            </w:pPr>
            <w:r w:rsidRPr="00C50854">
              <w:rPr>
                <w:color w:val="000000"/>
                <w:sz w:val="20"/>
                <w:szCs w:val="20"/>
                <w:lang w:eastAsia="et-EE"/>
              </w:rPr>
              <w:t>Teised</w:t>
            </w:r>
          </w:p>
        </w:tc>
        <w:tc>
          <w:tcPr>
            <w:tcW w:w="1670" w:type="dxa"/>
            <w:shd w:val="clear" w:color="auto" w:fill="auto"/>
            <w:noWrap/>
            <w:hideMark/>
          </w:tcPr>
          <w:p w14:paraId="04747CC4" w14:textId="1828BEEA" w:rsidR="009F29AD" w:rsidRPr="00C50854" w:rsidRDefault="009F29AD" w:rsidP="009F29AD">
            <w:pPr>
              <w:suppressAutoHyphens w:val="0"/>
              <w:rPr>
                <w:color w:val="000000"/>
                <w:sz w:val="20"/>
                <w:szCs w:val="20"/>
                <w:lang w:eastAsia="et-EE"/>
              </w:rPr>
            </w:pPr>
            <w:r w:rsidRPr="00C50854">
              <w:rPr>
                <w:color w:val="000000"/>
                <w:sz w:val="20"/>
                <w:szCs w:val="20"/>
                <w:lang w:eastAsia="et-EE"/>
              </w:rPr>
              <w:t>9%</w:t>
            </w:r>
          </w:p>
        </w:tc>
        <w:tc>
          <w:tcPr>
            <w:tcW w:w="1390" w:type="dxa"/>
            <w:shd w:val="clear" w:color="auto" w:fill="auto"/>
            <w:noWrap/>
            <w:hideMark/>
          </w:tcPr>
          <w:p w14:paraId="03E31398" w14:textId="60DD6854" w:rsidR="009F29AD" w:rsidRPr="00C50854" w:rsidRDefault="009F29AD" w:rsidP="009F29AD">
            <w:pPr>
              <w:suppressAutoHyphens w:val="0"/>
              <w:rPr>
                <w:color w:val="000000"/>
                <w:sz w:val="20"/>
                <w:szCs w:val="20"/>
                <w:lang w:eastAsia="et-EE"/>
              </w:rPr>
            </w:pPr>
            <w:r w:rsidRPr="00C50854">
              <w:rPr>
                <w:color w:val="000000"/>
                <w:sz w:val="20"/>
                <w:szCs w:val="20"/>
                <w:lang w:eastAsia="et-EE"/>
              </w:rPr>
              <w:t>9%</w:t>
            </w:r>
          </w:p>
        </w:tc>
        <w:tc>
          <w:tcPr>
            <w:tcW w:w="1391" w:type="dxa"/>
            <w:shd w:val="clear" w:color="auto" w:fill="auto"/>
            <w:noWrap/>
            <w:hideMark/>
          </w:tcPr>
          <w:p w14:paraId="39735E06" w14:textId="596DE080" w:rsidR="009F29AD" w:rsidRPr="00C50854" w:rsidRDefault="009F29AD" w:rsidP="009F29AD">
            <w:pPr>
              <w:suppressAutoHyphens w:val="0"/>
              <w:rPr>
                <w:color w:val="000000"/>
                <w:sz w:val="20"/>
                <w:szCs w:val="20"/>
                <w:lang w:eastAsia="et-EE"/>
              </w:rPr>
            </w:pPr>
            <w:r w:rsidRPr="00C50854">
              <w:rPr>
                <w:color w:val="000000"/>
                <w:sz w:val="20"/>
                <w:szCs w:val="20"/>
                <w:lang w:eastAsia="et-EE"/>
              </w:rPr>
              <w:t>8%</w:t>
            </w:r>
          </w:p>
        </w:tc>
        <w:tc>
          <w:tcPr>
            <w:tcW w:w="1304" w:type="dxa"/>
            <w:shd w:val="clear" w:color="auto" w:fill="auto"/>
            <w:noWrap/>
            <w:hideMark/>
          </w:tcPr>
          <w:p w14:paraId="19EAE1AD" w14:textId="2E0192BA" w:rsidR="009F29AD" w:rsidRPr="00C50854" w:rsidRDefault="009F29AD" w:rsidP="009F29AD">
            <w:pPr>
              <w:suppressAutoHyphens w:val="0"/>
              <w:rPr>
                <w:color w:val="000000"/>
                <w:sz w:val="20"/>
                <w:szCs w:val="20"/>
                <w:lang w:eastAsia="et-EE"/>
              </w:rPr>
            </w:pPr>
            <w:r w:rsidRPr="00C50854">
              <w:rPr>
                <w:color w:val="000000"/>
                <w:sz w:val="20"/>
                <w:szCs w:val="20"/>
                <w:lang w:eastAsia="et-EE"/>
              </w:rPr>
              <w:t>8%</w:t>
            </w:r>
          </w:p>
        </w:tc>
        <w:tc>
          <w:tcPr>
            <w:tcW w:w="1539" w:type="dxa"/>
            <w:shd w:val="clear" w:color="auto" w:fill="auto"/>
            <w:noWrap/>
            <w:hideMark/>
          </w:tcPr>
          <w:p w14:paraId="62E066FD" w14:textId="36025741" w:rsidR="009F29AD" w:rsidRPr="00C50854" w:rsidRDefault="009F29AD" w:rsidP="009F29AD">
            <w:pPr>
              <w:suppressAutoHyphens w:val="0"/>
              <w:rPr>
                <w:color w:val="000000"/>
                <w:sz w:val="20"/>
                <w:szCs w:val="20"/>
                <w:lang w:eastAsia="et-EE"/>
              </w:rPr>
            </w:pPr>
            <w:r w:rsidRPr="00C50854">
              <w:rPr>
                <w:color w:val="000000"/>
                <w:sz w:val="20"/>
                <w:szCs w:val="20"/>
                <w:lang w:eastAsia="et-EE"/>
              </w:rPr>
              <w:t>8%</w:t>
            </w:r>
          </w:p>
        </w:tc>
      </w:tr>
      <w:tr w:rsidR="009F29AD" w:rsidRPr="00C50854" w14:paraId="382F20EA" w14:textId="77777777" w:rsidTr="007E0856">
        <w:trPr>
          <w:trHeight w:val="253"/>
        </w:trPr>
        <w:tc>
          <w:tcPr>
            <w:tcW w:w="1944" w:type="dxa"/>
            <w:shd w:val="clear" w:color="auto" w:fill="auto"/>
            <w:noWrap/>
            <w:vAlign w:val="bottom"/>
            <w:hideMark/>
          </w:tcPr>
          <w:p w14:paraId="6E4C75EF" w14:textId="77777777" w:rsidR="009F29AD" w:rsidRPr="00C50854" w:rsidRDefault="009F29AD" w:rsidP="009F29AD">
            <w:pPr>
              <w:suppressAutoHyphens w:val="0"/>
              <w:rPr>
                <w:b/>
                <w:color w:val="000000"/>
                <w:sz w:val="20"/>
                <w:szCs w:val="20"/>
                <w:lang w:eastAsia="et-EE"/>
              </w:rPr>
            </w:pPr>
            <w:r w:rsidRPr="00C50854">
              <w:rPr>
                <w:b/>
                <w:color w:val="000000"/>
                <w:sz w:val="20"/>
                <w:szCs w:val="20"/>
                <w:lang w:eastAsia="et-EE"/>
              </w:rPr>
              <w:t>Kokku</w:t>
            </w:r>
          </w:p>
        </w:tc>
        <w:tc>
          <w:tcPr>
            <w:tcW w:w="1670" w:type="dxa"/>
            <w:shd w:val="clear" w:color="auto" w:fill="auto"/>
            <w:noWrap/>
            <w:hideMark/>
          </w:tcPr>
          <w:p w14:paraId="06555062" w14:textId="5721E592" w:rsidR="009F29AD" w:rsidRPr="00C50854" w:rsidRDefault="009F29AD" w:rsidP="009F29AD">
            <w:pPr>
              <w:suppressAutoHyphens w:val="0"/>
              <w:rPr>
                <w:color w:val="000000"/>
                <w:sz w:val="20"/>
                <w:szCs w:val="20"/>
                <w:lang w:eastAsia="et-EE"/>
              </w:rPr>
            </w:pPr>
            <w:r w:rsidRPr="00C50854">
              <w:rPr>
                <w:color w:val="000000"/>
                <w:sz w:val="20"/>
                <w:szCs w:val="20"/>
                <w:lang w:eastAsia="et-EE"/>
              </w:rPr>
              <w:t>100%</w:t>
            </w:r>
          </w:p>
        </w:tc>
        <w:tc>
          <w:tcPr>
            <w:tcW w:w="1390" w:type="dxa"/>
            <w:shd w:val="clear" w:color="auto" w:fill="auto"/>
            <w:noWrap/>
            <w:hideMark/>
          </w:tcPr>
          <w:p w14:paraId="11F96B23" w14:textId="6B940BB3" w:rsidR="009F29AD" w:rsidRPr="00C50854" w:rsidRDefault="009F29AD" w:rsidP="009F29AD">
            <w:pPr>
              <w:suppressAutoHyphens w:val="0"/>
              <w:rPr>
                <w:color w:val="000000"/>
                <w:sz w:val="20"/>
                <w:szCs w:val="20"/>
                <w:lang w:eastAsia="et-EE"/>
              </w:rPr>
            </w:pPr>
            <w:r w:rsidRPr="00C50854">
              <w:rPr>
                <w:color w:val="000000"/>
                <w:sz w:val="20"/>
                <w:szCs w:val="20"/>
                <w:lang w:eastAsia="et-EE"/>
              </w:rPr>
              <w:t>100%</w:t>
            </w:r>
          </w:p>
        </w:tc>
        <w:tc>
          <w:tcPr>
            <w:tcW w:w="1391" w:type="dxa"/>
            <w:shd w:val="clear" w:color="auto" w:fill="auto"/>
            <w:noWrap/>
            <w:hideMark/>
          </w:tcPr>
          <w:p w14:paraId="288FE5A6" w14:textId="554A2C15" w:rsidR="009F29AD" w:rsidRPr="00C50854" w:rsidRDefault="009F29AD" w:rsidP="009F29AD">
            <w:pPr>
              <w:suppressAutoHyphens w:val="0"/>
              <w:rPr>
                <w:color w:val="000000"/>
                <w:sz w:val="20"/>
                <w:szCs w:val="20"/>
                <w:lang w:eastAsia="et-EE"/>
              </w:rPr>
            </w:pPr>
            <w:r w:rsidRPr="00C50854">
              <w:rPr>
                <w:color w:val="000000"/>
                <w:sz w:val="20"/>
                <w:szCs w:val="20"/>
                <w:lang w:eastAsia="et-EE"/>
              </w:rPr>
              <w:t>100%</w:t>
            </w:r>
          </w:p>
        </w:tc>
        <w:tc>
          <w:tcPr>
            <w:tcW w:w="1304" w:type="dxa"/>
            <w:shd w:val="clear" w:color="auto" w:fill="auto"/>
            <w:noWrap/>
            <w:hideMark/>
          </w:tcPr>
          <w:p w14:paraId="3369D32B" w14:textId="6001FF6D" w:rsidR="009F29AD" w:rsidRPr="00C50854" w:rsidRDefault="009F29AD" w:rsidP="009F29AD">
            <w:pPr>
              <w:suppressAutoHyphens w:val="0"/>
              <w:rPr>
                <w:color w:val="000000"/>
                <w:sz w:val="20"/>
                <w:szCs w:val="20"/>
                <w:lang w:eastAsia="et-EE"/>
              </w:rPr>
            </w:pPr>
            <w:r w:rsidRPr="00C50854">
              <w:rPr>
                <w:color w:val="000000"/>
                <w:sz w:val="20"/>
                <w:szCs w:val="20"/>
                <w:lang w:eastAsia="et-EE"/>
              </w:rPr>
              <w:t>100%</w:t>
            </w:r>
          </w:p>
        </w:tc>
        <w:tc>
          <w:tcPr>
            <w:tcW w:w="1539" w:type="dxa"/>
            <w:shd w:val="clear" w:color="auto" w:fill="auto"/>
            <w:noWrap/>
            <w:hideMark/>
          </w:tcPr>
          <w:p w14:paraId="7DD6E57E" w14:textId="65B6C229" w:rsidR="009F29AD" w:rsidRPr="00C50854" w:rsidRDefault="009F29AD" w:rsidP="009F29AD">
            <w:pPr>
              <w:suppressAutoHyphens w:val="0"/>
              <w:rPr>
                <w:color w:val="000000"/>
                <w:sz w:val="20"/>
                <w:szCs w:val="20"/>
                <w:lang w:eastAsia="et-EE"/>
              </w:rPr>
            </w:pPr>
            <w:r w:rsidRPr="00C50854">
              <w:rPr>
                <w:color w:val="000000"/>
                <w:sz w:val="20"/>
                <w:szCs w:val="20"/>
                <w:lang w:eastAsia="et-EE"/>
              </w:rPr>
              <w:t>100%</w:t>
            </w:r>
          </w:p>
        </w:tc>
      </w:tr>
    </w:tbl>
    <w:p w14:paraId="030E7A84" w14:textId="38930401" w:rsidR="00BA29CB" w:rsidRPr="00C50854" w:rsidRDefault="00BA29CB" w:rsidP="00BA29CB">
      <w:pPr>
        <w:keepNext/>
        <w:suppressAutoHyphens w:val="0"/>
        <w:spacing w:before="120" w:after="120"/>
        <w:rPr>
          <w:bCs/>
          <w:sz w:val="20"/>
          <w:szCs w:val="20"/>
          <w:lang w:eastAsia="et-EE"/>
        </w:rPr>
      </w:pPr>
      <w:bookmarkStart w:id="214" w:name="_Ref346267662"/>
      <w:r w:rsidRPr="00C50854">
        <w:rPr>
          <w:b/>
          <w:bCs/>
          <w:sz w:val="20"/>
          <w:szCs w:val="20"/>
          <w:lang w:eastAsia="et-EE"/>
        </w:rPr>
        <w:t xml:space="preserve">Tabel </w:t>
      </w:r>
      <w:r w:rsidR="00341D2F" w:rsidRPr="00C50854">
        <w:rPr>
          <w:b/>
          <w:bCs/>
          <w:sz w:val="20"/>
          <w:szCs w:val="20"/>
          <w:lang w:eastAsia="et-EE"/>
        </w:rPr>
        <w:fldChar w:fldCharType="begin"/>
      </w:r>
      <w:r w:rsidR="00341D2F" w:rsidRPr="00C50854">
        <w:rPr>
          <w:b/>
          <w:bCs/>
          <w:sz w:val="20"/>
          <w:szCs w:val="20"/>
          <w:lang w:eastAsia="et-EE"/>
        </w:rPr>
        <w:instrText xml:space="preserve"> SEQ Tabel \* ARABIC </w:instrText>
      </w:r>
      <w:r w:rsidR="00341D2F" w:rsidRPr="00C50854">
        <w:rPr>
          <w:b/>
          <w:bCs/>
          <w:sz w:val="20"/>
          <w:szCs w:val="20"/>
          <w:lang w:eastAsia="et-EE"/>
        </w:rPr>
        <w:fldChar w:fldCharType="separate"/>
      </w:r>
      <w:r w:rsidR="00D24389" w:rsidRPr="00C50854">
        <w:rPr>
          <w:b/>
          <w:bCs/>
          <w:noProof/>
          <w:sz w:val="20"/>
          <w:szCs w:val="20"/>
          <w:lang w:eastAsia="et-EE"/>
        </w:rPr>
        <w:t>8</w:t>
      </w:r>
      <w:r w:rsidR="00341D2F" w:rsidRPr="00C50854">
        <w:rPr>
          <w:b/>
          <w:bCs/>
          <w:sz w:val="20"/>
          <w:szCs w:val="20"/>
          <w:lang w:eastAsia="et-EE"/>
        </w:rPr>
        <w:fldChar w:fldCharType="end"/>
      </w:r>
      <w:bookmarkEnd w:id="214"/>
      <w:r w:rsidRPr="00C50854">
        <w:rPr>
          <w:b/>
          <w:bCs/>
          <w:sz w:val="20"/>
          <w:szCs w:val="20"/>
          <w:lang w:eastAsia="et-EE"/>
        </w:rPr>
        <w:t xml:space="preserve">. </w:t>
      </w:r>
      <w:r w:rsidRPr="00C50854">
        <w:rPr>
          <w:bCs/>
          <w:sz w:val="20"/>
          <w:szCs w:val="20"/>
          <w:lang w:eastAsia="et-EE"/>
        </w:rPr>
        <w:t xml:space="preserve">Fikseeritud sidevõrgud lairibateenuse osutajate turuosa jagunemine </w:t>
      </w:r>
      <w:r w:rsidR="002A5D20" w:rsidRPr="00C50854">
        <w:rPr>
          <w:bCs/>
          <w:sz w:val="20"/>
          <w:szCs w:val="20"/>
          <w:lang w:eastAsia="et-EE"/>
        </w:rPr>
        <w:t>lõppkasutaja</w:t>
      </w:r>
      <w:r w:rsidRPr="00C50854">
        <w:rPr>
          <w:bCs/>
          <w:sz w:val="20"/>
          <w:szCs w:val="20"/>
          <w:lang w:eastAsia="et-EE"/>
        </w:rPr>
        <w:t>te arvu alusel aastatel 201</w:t>
      </w:r>
      <w:r w:rsidR="009F29AD" w:rsidRPr="00C50854">
        <w:rPr>
          <w:bCs/>
          <w:sz w:val="20"/>
          <w:szCs w:val="20"/>
          <w:lang w:eastAsia="et-EE"/>
        </w:rPr>
        <w:t>5</w:t>
      </w:r>
      <w:r w:rsidRPr="00C50854">
        <w:rPr>
          <w:bCs/>
          <w:sz w:val="20"/>
          <w:szCs w:val="20"/>
          <w:lang w:eastAsia="et-EE"/>
        </w:rPr>
        <w:t xml:space="preserve"> – 201</w:t>
      </w:r>
      <w:r w:rsidR="009F29AD" w:rsidRPr="00C50854">
        <w:rPr>
          <w:bCs/>
          <w:sz w:val="20"/>
          <w:szCs w:val="20"/>
          <w:lang w:eastAsia="et-EE"/>
        </w:rPr>
        <w:t>9</w:t>
      </w:r>
      <w:r w:rsidRPr="00C50854">
        <w:rPr>
          <w:bCs/>
          <w:sz w:val="20"/>
          <w:szCs w:val="20"/>
          <w:lang w:eastAsia="et-EE"/>
        </w:rPr>
        <w:t xml:space="preserve"> I </w:t>
      </w:r>
      <w:proofErr w:type="spellStart"/>
      <w:r w:rsidR="009F29AD" w:rsidRPr="00C50854">
        <w:rPr>
          <w:bCs/>
          <w:sz w:val="20"/>
          <w:szCs w:val="20"/>
          <w:lang w:eastAsia="et-EE"/>
        </w:rPr>
        <w:t>pa</w:t>
      </w:r>
      <w:proofErr w:type="spellEnd"/>
    </w:p>
    <w:p w14:paraId="37F631F4" w14:textId="472AD84D" w:rsidR="00BA29CB" w:rsidRPr="00C50854" w:rsidRDefault="00FF0371" w:rsidP="00311E1F">
      <w:pPr>
        <w:numPr>
          <w:ilvl w:val="0"/>
          <w:numId w:val="13"/>
        </w:numPr>
        <w:suppressAutoHyphens w:val="0"/>
        <w:autoSpaceDE w:val="0"/>
        <w:autoSpaceDN w:val="0"/>
        <w:adjustRightInd w:val="0"/>
        <w:spacing w:before="120" w:after="120"/>
        <w:jc w:val="both"/>
        <w:rPr>
          <w:lang w:eastAsia="et-EE"/>
        </w:rPr>
      </w:pPr>
      <w:r w:rsidRPr="00C50854">
        <w:rPr>
          <w:lang w:eastAsia="et-EE"/>
        </w:rPr>
        <w:t>Telia</w:t>
      </w:r>
      <w:r w:rsidR="00F702CE" w:rsidRPr="00C50854">
        <w:rPr>
          <w:lang w:eastAsia="et-EE"/>
        </w:rPr>
        <w:t xml:space="preserve"> </w:t>
      </w:r>
      <w:r w:rsidR="006302D1" w:rsidRPr="00C50854">
        <w:rPr>
          <w:lang w:eastAsia="et-EE"/>
        </w:rPr>
        <w:t xml:space="preserve">on  </w:t>
      </w:r>
      <w:r w:rsidR="002A5D20" w:rsidRPr="00C50854">
        <w:rPr>
          <w:lang w:eastAsia="et-EE"/>
        </w:rPr>
        <w:t>lõppkasutaja</w:t>
      </w:r>
      <w:r w:rsidR="00F702CE" w:rsidRPr="00C50854">
        <w:rPr>
          <w:lang w:eastAsia="et-EE"/>
        </w:rPr>
        <w:t xml:space="preserve">te arvu alusel peale </w:t>
      </w:r>
      <w:r w:rsidR="00842673" w:rsidRPr="00C50854">
        <w:rPr>
          <w:lang w:eastAsia="et-EE"/>
        </w:rPr>
        <w:t>201</w:t>
      </w:r>
      <w:r w:rsidR="00D21227" w:rsidRPr="00C50854">
        <w:rPr>
          <w:lang w:eastAsia="et-EE"/>
        </w:rPr>
        <w:t>5</w:t>
      </w:r>
      <w:r w:rsidR="00F702CE" w:rsidRPr="00C50854">
        <w:rPr>
          <w:lang w:eastAsia="et-EE"/>
        </w:rPr>
        <w:t>.</w:t>
      </w:r>
      <w:r w:rsidR="006302D1" w:rsidRPr="00C50854">
        <w:rPr>
          <w:lang w:eastAsia="et-EE"/>
        </w:rPr>
        <w:t xml:space="preserve"> aastat</w:t>
      </w:r>
      <w:r w:rsidR="00F702CE" w:rsidRPr="00C50854">
        <w:rPr>
          <w:lang w:eastAsia="et-EE"/>
        </w:rPr>
        <w:t xml:space="preserve"> </w:t>
      </w:r>
      <w:r w:rsidR="006302D1" w:rsidRPr="00C50854">
        <w:rPr>
          <w:lang w:eastAsia="et-EE"/>
        </w:rPr>
        <w:t>säilitanud oma turuosa</w:t>
      </w:r>
      <w:r w:rsidR="00F702CE" w:rsidRPr="00C50854">
        <w:rPr>
          <w:lang w:eastAsia="et-EE"/>
        </w:rPr>
        <w:t xml:space="preserve"> ning </w:t>
      </w:r>
      <w:r w:rsidR="006302D1" w:rsidRPr="00C50854">
        <w:rPr>
          <w:lang w:eastAsia="et-EE"/>
        </w:rPr>
        <w:t xml:space="preserve">see oli  </w:t>
      </w:r>
      <w:r w:rsidR="00F702CE" w:rsidRPr="00C50854">
        <w:rPr>
          <w:lang w:eastAsia="et-EE"/>
        </w:rPr>
        <w:t>201</w:t>
      </w:r>
      <w:r w:rsidR="00937FCB" w:rsidRPr="00C50854">
        <w:rPr>
          <w:lang w:eastAsia="et-EE"/>
        </w:rPr>
        <w:t>9</w:t>
      </w:r>
      <w:r w:rsidR="00F702CE" w:rsidRPr="00C50854">
        <w:rPr>
          <w:lang w:eastAsia="et-EE"/>
        </w:rPr>
        <w:t xml:space="preserve">. aasta </w:t>
      </w:r>
      <w:r w:rsidR="00937FCB" w:rsidRPr="00C50854">
        <w:rPr>
          <w:lang w:eastAsia="et-EE"/>
        </w:rPr>
        <w:t>esimese</w:t>
      </w:r>
      <w:r w:rsidR="00F702CE" w:rsidRPr="00C50854">
        <w:rPr>
          <w:lang w:eastAsia="et-EE"/>
        </w:rPr>
        <w:t xml:space="preserve"> </w:t>
      </w:r>
      <w:r w:rsidR="00937FCB" w:rsidRPr="00C50854">
        <w:rPr>
          <w:lang w:eastAsia="et-EE"/>
        </w:rPr>
        <w:t>poolaasta</w:t>
      </w:r>
      <w:r w:rsidR="00F702CE" w:rsidRPr="00C50854">
        <w:rPr>
          <w:lang w:eastAsia="et-EE"/>
        </w:rPr>
        <w:t xml:space="preserve"> seisuga 5</w:t>
      </w:r>
      <w:r w:rsidR="00937FCB" w:rsidRPr="00C50854">
        <w:rPr>
          <w:lang w:eastAsia="et-EE"/>
        </w:rPr>
        <w:t>3</w:t>
      </w:r>
      <w:r w:rsidR="00F702CE" w:rsidRPr="00C50854">
        <w:rPr>
          <w:lang w:eastAsia="et-EE"/>
        </w:rPr>
        <w:t>%</w:t>
      </w:r>
      <w:r w:rsidR="00854A9A" w:rsidRPr="00C50854">
        <w:rPr>
          <w:lang w:eastAsia="et-EE"/>
        </w:rPr>
        <w:t xml:space="preserve">, olles </w:t>
      </w:r>
      <w:r w:rsidR="0037352E" w:rsidRPr="00C50854">
        <w:rPr>
          <w:lang w:eastAsia="et-EE"/>
        </w:rPr>
        <w:t>langenud</w:t>
      </w:r>
      <w:r w:rsidR="00854A9A" w:rsidRPr="00C50854">
        <w:rPr>
          <w:lang w:eastAsia="et-EE"/>
        </w:rPr>
        <w:t xml:space="preserve"> vaadeldava perioodi jooksul 3%</w:t>
      </w:r>
      <w:r w:rsidR="00F702CE" w:rsidRPr="00C50854">
        <w:rPr>
          <w:lang w:eastAsia="et-EE"/>
        </w:rPr>
        <w:t xml:space="preserve">. </w:t>
      </w:r>
      <w:r w:rsidR="00937FCB" w:rsidRPr="00C50854">
        <w:rPr>
          <w:lang w:eastAsia="et-EE"/>
        </w:rPr>
        <w:t xml:space="preserve">Teleteenuste </w:t>
      </w:r>
      <w:r w:rsidR="00F702CE" w:rsidRPr="00C50854">
        <w:rPr>
          <w:lang w:eastAsia="et-EE"/>
        </w:rPr>
        <w:t xml:space="preserve">turuosa on vaadeldaval ajaperioodil </w:t>
      </w:r>
      <w:r w:rsidR="00411207" w:rsidRPr="00C50854">
        <w:rPr>
          <w:lang w:eastAsia="et-EE"/>
        </w:rPr>
        <w:t xml:space="preserve">suurenenud </w:t>
      </w:r>
      <w:r w:rsidR="00F702CE" w:rsidRPr="00C50854">
        <w:rPr>
          <w:lang w:eastAsia="et-EE"/>
        </w:rPr>
        <w:t xml:space="preserve"> </w:t>
      </w:r>
      <w:r w:rsidR="0066050B" w:rsidRPr="00C50854">
        <w:rPr>
          <w:lang w:eastAsia="et-EE"/>
        </w:rPr>
        <w:t>2</w:t>
      </w:r>
      <w:r w:rsidR="00937FCB" w:rsidRPr="00C50854">
        <w:rPr>
          <w:lang w:eastAsia="et-EE"/>
        </w:rPr>
        <w:t>8</w:t>
      </w:r>
      <w:r w:rsidR="0066050B" w:rsidRPr="00C50854">
        <w:rPr>
          <w:lang w:eastAsia="et-EE"/>
        </w:rPr>
        <w:t>%-</w:t>
      </w:r>
      <w:proofErr w:type="spellStart"/>
      <w:r w:rsidR="0066050B" w:rsidRPr="00C50854">
        <w:rPr>
          <w:lang w:eastAsia="et-EE"/>
        </w:rPr>
        <w:t>ni</w:t>
      </w:r>
      <w:proofErr w:type="spellEnd"/>
      <w:r w:rsidR="0066050B" w:rsidRPr="00C50854">
        <w:rPr>
          <w:lang w:eastAsia="et-EE"/>
        </w:rPr>
        <w:t xml:space="preserve"> ja</w:t>
      </w:r>
      <w:r w:rsidR="00D17F5E" w:rsidRPr="00C50854">
        <w:rPr>
          <w:lang w:eastAsia="et-EE"/>
        </w:rPr>
        <w:t xml:space="preserve"> see on </w:t>
      </w:r>
      <w:r w:rsidR="0066050B" w:rsidRPr="00C50854">
        <w:rPr>
          <w:lang w:eastAsia="et-EE"/>
        </w:rPr>
        <w:t xml:space="preserve">nelja aasta jooksul kasvanud </w:t>
      </w:r>
      <w:r w:rsidR="00D17F5E" w:rsidRPr="00C50854">
        <w:rPr>
          <w:lang w:eastAsia="et-EE"/>
        </w:rPr>
        <w:t>5</w:t>
      </w:r>
      <w:r w:rsidR="00411207" w:rsidRPr="00C50854">
        <w:rPr>
          <w:lang w:eastAsia="et-EE"/>
        </w:rPr>
        <w:t>% võrra.</w:t>
      </w:r>
      <w:r w:rsidR="00F702CE" w:rsidRPr="00C50854">
        <w:rPr>
          <w:lang w:eastAsia="et-EE"/>
        </w:rPr>
        <w:t xml:space="preserve"> Seevastu STV turuosa on </w:t>
      </w:r>
      <w:r w:rsidR="00937FCB" w:rsidRPr="00C50854">
        <w:rPr>
          <w:lang w:eastAsia="et-EE"/>
        </w:rPr>
        <w:t>langenud protsendi võrra ja oli 2019 aasta esimesel poolel</w:t>
      </w:r>
      <w:r w:rsidR="00F702CE" w:rsidRPr="00C50854">
        <w:rPr>
          <w:lang w:eastAsia="et-EE"/>
        </w:rPr>
        <w:t xml:space="preserve"> 1</w:t>
      </w:r>
      <w:r w:rsidR="00937FCB" w:rsidRPr="00C50854">
        <w:rPr>
          <w:lang w:eastAsia="et-EE"/>
        </w:rPr>
        <w:t>1</w:t>
      </w:r>
      <w:r w:rsidR="00F702CE" w:rsidRPr="00C50854">
        <w:rPr>
          <w:lang w:eastAsia="et-EE"/>
        </w:rPr>
        <w:t xml:space="preserve">% lairibateenuse </w:t>
      </w:r>
      <w:r w:rsidR="00F57059" w:rsidRPr="00C50854">
        <w:rPr>
          <w:lang w:eastAsia="et-EE"/>
        </w:rPr>
        <w:t>lõppkasutaja</w:t>
      </w:r>
      <w:r w:rsidR="00411207" w:rsidRPr="00C50854">
        <w:rPr>
          <w:lang w:eastAsia="et-EE"/>
        </w:rPr>
        <w:t>te arvust</w:t>
      </w:r>
      <w:r w:rsidR="00F702CE" w:rsidRPr="00C50854">
        <w:rPr>
          <w:lang w:eastAsia="et-EE"/>
        </w:rPr>
        <w:t>.</w:t>
      </w:r>
      <w:r w:rsidR="00BA29CB" w:rsidRPr="00C50854">
        <w:rPr>
          <w:lang w:eastAsia="et-EE"/>
        </w:rPr>
        <w:t xml:space="preserve"> </w:t>
      </w:r>
    </w:p>
    <w:p w14:paraId="22925469" w14:textId="3D7D5EAB" w:rsidR="00937FCB" w:rsidRPr="00C50854" w:rsidRDefault="00937FCB" w:rsidP="00311E1F">
      <w:pPr>
        <w:numPr>
          <w:ilvl w:val="0"/>
          <w:numId w:val="13"/>
        </w:numPr>
        <w:suppressAutoHyphens w:val="0"/>
        <w:autoSpaceDE w:val="0"/>
        <w:autoSpaceDN w:val="0"/>
        <w:adjustRightInd w:val="0"/>
        <w:spacing w:before="120" w:after="120"/>
        <w:jc w:val="both"/>
        <w:rPr>
          <w:lang w:eastAsia="et-EE"/>
        </w:rPr>
      </w:pPr>
      <w:r w:rsidRPr="00C50854">
        <w:rPr>
          <w:lang w:eastAsia="et-EE"/>
        </w:rPr>
        <w:t>Teleteenuste turuosa suurenemine võib olla seotud Starmani ühinemisest Elisaga.</w:t>
      </w:r>
      <w:r w:rsidR="00913220" w:rsidRPr="00C50854">
        <w:rPr>
          <w:lang w:eastAsia="et-EE"/>
        </w:rPr>
        <w:t xml:space="preserve"> Elisa Teleteenuste toodete ja teenuste arendus on suunatud uute tehnoloogiate</w:t>
      </w:r>
      <w:r w:rsidR="00D3425D" w:rsidRPr="00C50854">
        <w:rPr>
          <w:lang w:eastAsia="et-EE"/>
        </w:rPr>
        <w:t xml:space="preserve"> </w:t>
      </w:r>
      <w:r w:rsidR="00913220" w:rsidRPr="00C50854">
        <w:rPr>
          <w:lang w:eastAsia="et-EE"/>
        </w:rPr>
        <w:t>kasutuselevõtule ning kasutajate võimaluste avardamisele pakkudes kaasaegseid ja</w:t>
      </w:r>
      <w:r w:rsidR="00D3425D" w:rsidRPr="00C50854">
        <w:rPr>
          <w:lang w:eastAsia="et-EE"/>
        </w:rPr>
        <w:t xml:space="preserve"> </w:t>
      </w:r>
      <w:r w:rsidR="00913220" w:rsidRPr="00C50854">
        <w:rPr>
          <w:lang w:eastAsia="et-EE"/>
        </w:rPr>
        <w:t>innovaatilisi lahendusi.</w:t>
      </w:r>
      <w:r w:rsidR="00D3425D" w:rsidRPr="00C50854">
        <w:rPr>
          <w:lang w:eastAsia="et-EE"/>
        </w:rPr>
        <w:t xml:space="preserve"> Näiteks pakutakse soodsalt TV teenuste tellijatele interneti teenust ning võimalust vaadata TV saateid internetist.</w:t>
      </w:r>
    </w:p>
    <w:p w14:paraId="2064B81A" w14:textId="6ADEE521" w:rsidR="00D00FFE" w:rsidRPr="00C50854" w:rsidRDefault="00BA29CB" w:rsidP="00311E1F">
      <w:pPr>
        <w:numPr>
          <w:ilvl w:val="0"/>
          <w:numId w:val="13"/>
        </w:numPr>
        <w:suppressAutoHyphens w:val="0"/>
        <w:autoSpaceDE w:val="0"/>
        <w:autoSpaceDN w:val="0"/>
        <w:adjustRightInd w:val="0"/>
        <w:spacing w:before="120" w:after="120"/>
        <w:jc w:val="both"/>
        <w:rPr>
          <w:lang w:eastAsia="et-EE"/>
        </w:rPr>
      </w:pPr>
      <w:r w:rsidRPr="00C50854">
        <w:rPr>
          <w:lang w:eastAsia="et-EE"/>
        </w:rPr>
        <w:t>STV stabiilne turuosa hoidmine tuleneb</w:t>
      </w:r>
      <w:r w:rsidR="007A1AE7" w:rsidRPr="00C50854">
        <w:rPr>
          <w:lang w:eastAsia="et-EE"/>
        </w:rPr>
        <w:t xml:space="preserve"> </w:t>
      </w:r>
      <w:r w:rsidRPr="00C50854">
        <w:rPr>
          <w:lang w:eastAsia="et-EE"/>
        </w:rPr>
        <w:t>STV pidevast võrgu arendamisest.</w:t>
      </w:r>
      <w:r w:rsidR="007A1AE7" w:rsidRPr="00C50854">
        <w:rPr>
          <w:lang w:eastAsia="et-EE"/>
        </w:rPr>
        <w:t xml:space="preserve"> </w:t>
      </w:r>
      <w:r w:rsidR="00222246" w:rsidRPr="00C50854">
        <w:rPr>
          <w:lang w:eastAsia="et-EE"/>
        </w:rPr>
        <w:t xml:space="preserve">Lisaks võrgu uuendamisele </w:t>
      </w:r>
      <w:r w:rsidR="00861BC6" w:rsidRPr="00C50854">
        <w:rPr>
          <w:lang w:eastAsia="et-EE"/>
        </w:rPr>
        <w:t>on</w:t>
      </w:r>
      <w:r w:rsidR="00222246" w:rsidRPr="00C50854">
        <w:rPr>
          <w:lang w:eastAsia="et-EE"/>
        </w:rPr>
        <w:t xml:space="preserve"> STV viimase aasta jooksul </w:t>
      </w:r>
      <w:r w:rsidR="00861BC6" w:rsidRPr="00C50854">
        <w:rPr>
          <w:lang w:eastAsia="et-EE"/>
        </w:rPr>
        <w:t xml:space="preserve">keskendunud </w:t>
      </w:r>
      <w:r w:rsidR="00222246" w:rsidRPr="00C50854">
        <w:rPr>
          <w:lang w:eastAsia="et-EE"/>
        </w:rPr>
        <w:t>ka usaldatavuse</w:t>
      </w:r>
      <w:r w:rsidR="002F1C71" w:rsidRPr="00C50854">
        <w:rPr>
          <w:lang w:eastAsia="et-EE"/>
        </w:rPr>
        <w:t xml:space="preserve"> </w:t>
      </w:r>
      <w:r w:rsidR="00222246" w:rsidRPr="00C50854">
        <w:rPr>
          <w:lang w:eastAsia="et-EE"/>
        </w:rPr>
        <w:t>tõusule ja infrastruktuuri</w:t>
      </w:r>
      <w:r w:rsidR="00861BC6" w:rsidRPr="00C50854">
        <w:rPr>
          <w:lang w:eastAsia="et-EE"/>
        </w:rPr>
        <w:t xml:space="preserve"> </w:t>
      </w:r>
      <w:r w:rsidR="00222246" w:rsidRPr="00C50854">
        <w:rPr>
          <w:lang w:eastAsia="et-EE"/>
        </w:rPr>
        <w:t xml:space="preserve">optimeerimisele. </w:t>
      </w:r>
      <w:r w:rsidR="00861BC6" w:rsidRPr="00C50854">
        <w:rPr>
          <w:lang w:eastAsia="et-EE"/>
        </w:rPr>
        <w:t>2018. aastal tehtud STV võrgu katvuse laiendamise raames pandi lisaks uute majade ühendamisele STV infrastruktuuriga ka alus koostööle AS Elektrilevi ja AS Eesti Andmesidevõrguga.</w:t>
      </w:r>
    </w:p>
    <w:p w14:paraId="7B23CED9" w14:textId="311B0B9A" w:rsidR="00F702CE" w:rsidRPr="00C50854" w:rsidRDefault="00501B39" w:rsidP="00311E1F">
      <w:pPr>
        <w:numPr>
          <w:ilvl w:val="0"/>
          <w:numId w:val="13"/>
        </w:numPr>
        <w:suppressAutoHyphens w:val="0"/>
        <w:autoSpaceDE w:val="0"/>
        <w:autoSpaceDN w:val="0"/>
        <w:adjustRightInd w:val="0"/>
        <w:spacing w:before="120" w:after="120"/>
        <w:jc w:val="both"/>
        <w:rPr>
          <w:lang w:eastAsia="et-EE"/>
        </w:rPr>
      </w:pPr>
      <w:r w:rsidRPr="00C50854">
        <w:rPr>
          <w:lang w:eastAsia="et-EE"/>
        </w:rPr>
        <w:t>Teiste sideettevõtjate</w:t>
      </w:r>
      <w:r w:rsidR="00F702CE" w:rsidRPr="00C50854">
        <w:rPr>
          <w:lang w:eastAsia="et-EE"/>
        </w:rPr>
        <w:t xml:space="preserve"> klientide arvu alusel leitud turuosa on </w:t>
      </w:r>
      <w:r w:rsidR="00215F06" w:rsidRPr="00C50854">
        <w:rPr>
          <w:lang w:eastAsia="et-EE"/>
        </w:rPr>
        <w:t>nelja</w:t>
      </w:r>
      <w:r w:rsidR="00F702CE" w:rsidRPr="00C50854">
        <w:rPr>
          <w:lang w:eastAsia="et-EE"/>
        </w:rPr>
        <w:t xml:space="preserve"> aasta jooksul vähenenud </w:t>
      </w:r>
      <w:r w:rsidR="00E17FEC" w:rsidRPr="00C50854">
        <w:rPr>
          <w:lang w:eastAsia="et-EE"/>
        </w:rPr>
        <w:t>1</w:t>
      </w:r>
      <w:r w:rsidR="00F702CE" w:rsidRPr="00C50854">
        <w:rPr>
          <w:lang w:eastAsia="et-EE"/>
        </w:rPr>
        <w:t>%</w:t>
      </w:r>
      <w:r w:rsidR="00CC34D6" w:rsidRPr="00C50854">
        <w:rPr>
          <w:lang w:eastAsia="et-EE"/>
        </w:rPr>
        <w:t xml:space="preserve"> võrra</w:t>
      </w:r>
      <w:r w:rsidRPr="00C50854">
        <w:rPr>
          <w:lang w:eastAsia="et-EE"/>
        </w:rPr>
        <w:t>.</w:t>
      </w:r>
      <w:r w:rsidR="00F702CE" w:rsidRPr="00C50854">
        <w:rPr>
          <w:lang w:eastAsia="et-EE"/>
        </w:rPr>
        <w:t xml:space="preserve"> </w:t>
      </w:r>
      <w:r w:rsidRPr="00C50854">
        <w:rPr>
          <w:lang w:eastAsia="et-EE"/>
        </w:rPr>
        <w:t>S</w:t>
      </w:r>
      <w:r w:rsidR="00F702CE" w:rsidRPr="00C50854">
        <w:rPr>
          <w:lang w:eastAsia="et-EE"/>
        </w:rPr>
        <w:t xml:space="preserve">iinjuures on oluline, et </w:t>
      </w:r>
      <w:r w:rsidRPr="00C50854">
        <w:rPr>
          <w:lang w:eastAsia="et-EE"/>
        </w:rPr>
        <w:t>teiste sideettevõtjate l</w:t>
      </w:r>
      <w:r w:rsidR="00F702CE" w:rsidRPr="00C50854">
        <w:rPr>
          <w:lang w:eastAsia="et-EE"/>
        </w:rPr>
        <w:t>airibateenus</w:t>
      </w:r>
      <w:r w:rsidR="00925A57" w:rsidRPr="00C50854">
        <w:rPr>
          <w:lang w:eastAsia="et-EE"/>
        </w:rPr>
        <w:t>te</w:t>
      </w:r>
      <w:r w:rsidR="00F702CE" w:rsidRPr="00C50854">
        <w:rPr>
          <w:lang w:eastAsia="et-EE"/>
        </w:rPr>
        <w:t xml:space="preserve"> </w:t>
      </w:r>
      <w:r w:rsidR="002A5D20" w:rsidRPr="00C50854">
        <w:rPr>
          <w:lang w:eastAsia="et-EE"/>
        </w:rPr>
        <w:t>lõppkasutaja</w:t>
      </w:r>
      <w:r w:rsidRPr="00C50854">
        <w:rPr>
          <w:lang w:eastAsia="et-EE"/>
        </w:rPr>
        <w:t>te</w:t>
      </w:r>
      <w:r w:rsidR="00F702CE" w:rsidRPr="00C50854">
        <w:rPr>
          <w:lang w:eastAsia="et-EE"/>
        </w:rPr>
        <w:t xml:space="preserve"> arv on vaadeldav</w:t>
      </w:r>
      <w:r w:rsidR="005F2F95" w:rsidRPr="00C50854">
        <w:rPr>
          <w:lang w:eastAsia="et-EE"/>
        </w:rPr>
        <w:t>al</w:t>
      </w:r>
      <w:r w:rsidR="00F702CE" w:rsidRPr="00C50854">
        <w:rPr>
          <w:lang w:eastAsia="et-EE"/>
        </w:rPr>
        <w:t xml:space="preserve"> perioodil </w:t>
      </w:r>
      <w:r w:rsidRPr="00C50854">
        <w:rPr>
          <w:lang w:eastAsia="et-EE"/>
        </w:rPr>
        <w:t xml:space="preserve">vähenenud </w:t>
      </w:r>
      <w:r w:rsidR="009302C5" w:rsidRPr="00C50854">
        <w:rPr>
          <w:lang w:eastAsia="et-EE"/>
        </w:rPr>
        <w:t>1</w:t>
      </w:r>
      <w:r w:rsidR="00A04752" w:rsidRPr="00C50854">
        <w:rPr>
          <w:lang w:eastAsia="et-EE"/>
        </w:rPr>
        <w:t xml:space="preserve"> </w:t>
      </w:r>
      <w:r w:rsidR="009302C5" w:rsidRPr="00C50854">
        <w:rPr>
          <w:lang w:eastAsia="et-EE"/>
        </w:rPr>
        <w:t>4</w:t>
      </w:r>
      <w:r w:rsidR="008E3917" w:rsidRPr="00C50854">
        <w:rPr>
          <w:lang w:eastAsia="et-EE"/>
        </w:rPr>
        <w:t>00</w:t>
      </w:r>
      <w:r w:rsidR="00F702CE" w:rsidRPr="00C50854">
        <w:rPr>
          <w:lang w:eastAsia="et-EE"/>
        </w:rPr>
        <w:t xml:space="preserve"> võrra </w:t>
      </w:r>
      <w:r w:rsidR="001E00C3" w:rsidRPr="00C50854">
        <w:rPr>
          <w:lang w:eastAsia="et-EE"/>
        </w:rPr>
        <w:t>ning nende võrkude kliendid on üle</w:t>
      </w:r>
      <w:r w:rsidR="005F2F95" w:rsidRPr="00C50854">
        <w:rPr>
          <w:lang w:eastAsia="et-EE"/>
        </w:rPr>
        <w:t xml:space="preserve"> </w:t>
      </w:r>
      <w:r w:rsidR="001E00C3" w:rsidRPr="00C50854">
        <w:rPr>
          <w:lang w:eastAsia="et-EE"/>
        </w:rPr>
        <w:t>võetud suuremate ettevõtjate poolt</w:t>
      </w:r>
      <w:r w:rsidR="00F702CE" w:rsidRPr="00C50854">
        <w:rPr>
          <w:lang w:eastAsia="et-EE"/>
        </w:rPr>
        <w:t>.</w:t>
      </w:r>
    </w:p>
    <w:p w14:paraId="27C3642D" w14:textId="067FF602" w:rsidR="00015AEE" w:rsidRPr="00C50854" w:rsidRDefault="00015AEE"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Arengud lairibateenuse turul viitavad sellele, et enamik uusi lairibateenuse </w:t>
      </w:r>
      <w:r w:rsidR="00F57059" w:rsidRPr="00C50854">
        <w:rPr>
          <w:lang w:eastAsia="et-EE"/>
        </w:rPr>
        <w:t>lõppkasutaja</w:t>
      </w:r>
      <w:r w:rsidRPr="00C50854">
        <w:rPr>
          <w:lang w:eastAsia="et-EE"/>
        </w:rPr>
        <w:t>id liitub suuremate teenuseosutajatega.</w:t>
      </w:r>
      <w:r w:rsidR="00CC34D6" w:rsidRPr="00C50854">
        <w:rPr>
          <w:lang w:eastAsia="et-EE"/>
        </w:rPr>
        <w:t xml:space="preserve"> Suuremad ettevõtjad pakuvad laia valikut üksik</w:t>
      </w:r>
      <w:r w:rsidR="005F2F95" w:rsidRPr="00C50854">
        <w:rPr>
          <w:lang w:eastAsia="et-EE"/>
        </w:rPr>
        <w:t>-</w:t>
      </w:r>
      <w:r w:rsidR="00CC34D6" w:rsidRPr="00C50854">
        <w:rPr>
          <w:lang w:eastAsia="et-EE"/>
        </w:rPr>
        <w:t xml:space="preserve"> ja pakett</w:t>
      </w:r>
      <w:r w:rsidR="005F2F95" w:rsidRPr="00C50854">
        <w:rPr>
          <w:lang w:eastAsia="et-EE"/>
        </w:rPr>
        <w:t>-</w:t>
      </w:r>
      <w:r w:rsidR="00CC34D6" w:rsidRPr="00C50854">
        <w:rPr>
          <w:lang w:eastAsia="et-EE"/>
        </w:rPr>
        <w:t>teenuseid, millega väiksema</w:t>
      </w:r>
      <w:r w:rsidR="002F1C71" w:rsidRPr="00C50854">
        <w:rPr>
          <w:lang w:eastAsia="et-EE"/>
        </w:rPr>
        <w:t xml:space="preserve">tel ettevõtetel on </w:t>
      </w:r>
      <w:proofErr w:type="spellStart"/>
      <w:r w:rsidR="002F1C71" w:rsidRPr="00C50854">
        <w:rPr>
          <w:lang w:eastAsia="et-EE"/>
        </w:rPr>
        <w:t>jaeturul</w:t>
      </w:r>
      <w:proofErr w:type="spellEnd"/>
      <w:r w:rsidR="002F1C71" w:rsidRPr="00C50854">
        <w:rPr>
          <w:lang w:eastAsia="et-EE"/>
        </w:rPr>
        <w:t xml:space="preserve"> raske </w:t>
      </w:r>
      <w:proofErr w:type="spellStart"/>
      <w:r w:rsidR="002F1C71" w:rsidRPr="00C50854">
        <w:rPr>
          <w:lang w:eastAsia="et-EE"/>
        </w:rPr>
        <w:t>konkureetida</w:t>
      </w:r>
      <w:proofErr w:type="spellEnd"/>
      <w:r w:rsidR="00CC34D6" w:rsidRPr="00C50854">
        <w:rPr>
          <w:lang w:eastAsia="et-EE"/>
        </w:rPr>
        <w:t xml:space="preserve">. </w:t>
      </w:r>
    </w:p>
    <w:p w14:paraId="272E07BD" w14:textId="7A5C7D21" w:rsidR="00015AEE" w:rsidRPr="00C50854" w:rsidRDefault="00015AEE"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Lairibateenuse </w:t>
      </w:r>
      <w:r w:rsidR="00501B39" w:rsidRPr="00C50854">
        <w:rPr>
          <w:lang w:eastAsia="et-EE"/>
        </w:rPr>
        <w:t xml:space="preserve">jaetasandi </w:t>
      </w:r>
      <w:r w:rsidRPr="00C50854">
        <w:rPr>
          <w:lang w:eastAsia="et-EE"/>
        </w:rPr>
        <w:t xml:space="preserve">klientide arvu juurdekasv on viimase kolme aasta jooksul olnud </w:t>
      </w:r>
      <w:r w:rsidR="006302D1" w:rsidRPr="00C50854">
        <w:rPr>
          <w:lang w:eastAsia="et-EE"/>
        </w:rPr>
        <w:t>10%</w:t>
      </w:r>
      <w:r w:rsidRPr="00C50854">
        <w:rPr>
          <w:lang w:eastAsia="et-EE"/>
        </w:rPr>
        <w:t xml:space="preserve">. </w:t>
      </w:r>
      <w:r w:rsidR="00460B6E" w:rsidRPr="00C50854">
        <w:rPr>
          <w:lang w:eastAsia="et-EE"/>
        </w:rPr>
        <w:t xml:space="preserve">Klientide mahu kasv on olnud mõõdukas võrreldes 2009 a. </w:t>
      </w:r>
      <w:r w:rsidR="009F1857" w:rsidRPr="00C50854">
        <w:rPr>
          <w:lang w:eastAsia="et-EE"/>
        </w:rPr>
        <w:t>majandus</w:t>
      </w:r>
      <w:r w:rsidR="00460B6E" w:rsidRPr="00C50854">
        <w:rPr>
          <w:lang w:eastAsia="et-EE"/>
        </w:rPr>
        <w:t>kriisi</w:t>
      </w:r>
      <w:r w:rsidR="002F1C71" w:rsidRPr="00C50854">
        <w:rPr>
          <w:lang w:eastAsia="et-EE"/>
        </w:rPr>
        <w:t>-</w:t>
      </w:r>
      <w:r w:rsidR="00460B6E" w:rsidRPr="00C50854">
        <w:rPr>
          <w:lang w:eastAsia="et-EE"/>
        </w:rPr>
        <w:t xml:space="preserve">eelse perioodiga, kus aastane juurdekasv oli üle 10%. </w:t>
      </w:r>
      <w:r w:rsidRPr="00C50854">
        <w:rPr>
          <w:lang w:eastAsia="et-EE"/>
        </w:rPr>
        <w:t xml:space="preserve">Seda on tinginud kasvav konkurentsisurve mobiiltelefonivõrkude vahendusel osutatava andmeside </w:t>
      </w:r>
      <w:r w:rsidR="00501B39" w:rsidRPr="00C50854">
        <w:rPr>
          <w:lang w:eastAsia="et-EE"/>
        </w:rPr>
        <w:t>jae</w:t>
      </w:r>
      <w:r w:rsidRPr="00C50854">
        <w:rPr>
          <w:lang w:eastAsia="et-EE"/>
        </w:rPr>
        <w:t>teenuse üha laialdasem</w:t>
      </w:r>
      <w:r w:rsidR="00501B39" w:rsidRPr="00C50854">
        <w:rPr>
          <w:lang w:eastAsia="et-EE"/>
        </w:rPr>
        <w:t>a kasutamis</w:t>
      </w:r>
      <w:r w:rsidRPr="00C50854">
        <w:rPr>
          <w:lang w:eastAsia="et-EE"/>
        </w:rPr>
        <w:t xml:space="preserve">e tõttu </w:t>
      </w:r>
      <w:r w:rsidR="002A5D20" w:rsidRPr="00C50854">
        <w:rPr>
          <w:lang w:eastAsia="et-EE"/>
        </w:rPr>
        <w:t>lõppkasutaja</w:t>
      </w:r>
      <w:r w:rsidRPr="00C50854">
        <w:rPr>
          <w:lang w:eastAsia="et-EE"/>
        </w:rPr>
        <w:t>te poolt</w:t>
      </w:r>
      <w:r w:rsidR="009A587C" w:rsidRPr="00C50854">
        <w:rPr>
          <w:lang w:eastAsia="et-EE"/>
        </w:rPr>
        <w:t xml:space="preserve"> (vt</w:t>
      </w:r>
      <w:r w:rsidR="007E0856" w:rsidRPr="00C50854">
        <w:rPr>
          <w:lang w:eastAsia="et-EE"/>
        </w:rPr>
        <w:t xml:space="preserve"> </w:t>
      </w:r>
      <w:r w:rsidR="00875262" w:rsidRPr="00C50854">
        <w:rPr>
          <w:lang w:eastAsia="et-EE"/>
        </w:rPr>
        <w:t>J</w:t>
      </w:r>
      <w:r w:rsidR="007E0856" w:rsidRPr="00C50854">
        <w:rPr>
          <w:lang w:eastAsia="et-EE"/>
        </w:rPr>
        <w:t>oonis 4</w:t>
      </w:r>
      <w:r w:rsidR="009A587C" w:rsidRPr="00C50854">
        <w:rPr>
          <w:lang w:eastAsia="et-EE"/>
        </w:rPr>
        <w:t>)</w:t>
      </w:r>
      <w:r w:rsidRPr="00C50854">
        <w:rPr>
          <w:lang w:eastAsia="et-EE"/>
        </w:rPr>
        <w:t>.</w:t>
      </w:r>
    </w:p>
    <w:p w14:paraId="08B86B8B" w14:textId="3CD65B10" w:rsidR="00F702CE" w:rsidRPr="00C50854" w:rsidRDefault="00501B39" w:rsidP="00311E1F">
      <w:pPr>
        <w:numPr>
          <w:ilvl w:val="0"/>
          <w:numId w:val="13"/>
        </w:numPr>
        <w:suppressAutoHyphens w:val="0"/>
        <w:autoSpaceDE w:val="0"/>
        <w:autoSpaceDN w:val="0"/>
        <w:adjustRightInd w:val="0"/>
        <w:spacing w:before="120" w:after="120"/>
        <w:jc w:val="both"/>
        <w:rPr>
          <w:lang w:eastAsia="et-EE"/>
        </w:rPr>
      </w:pPr>
      <w:r w:rsidRPr="00C50854">
        <w:rPr>
          <w:lang w:eastAsia="et-EE"/>
        </w:rPr>
        <w:t>Fikseeritud sidevõrgus a</w:t>
      </w:r>
      <w:r w:rsidR="00F702CE" w:rsidRPr="00C50854">
        <w:rPr>
          <w:lang w:eastAsia="et-EE"/>
        </w:rPr>
        <w:t xml:space="preserve">ktiivseid </w:t>
      </w:r>
      <w:r w:rsidR="00A1749E" w:rsidRPr="00C50854">
        <w:rPr>
          <w:lang w:eastAsia="et-EE"/>
        </w:rPr>
        <w:t xml:space="preserve">andmeside </w:t>
      </w:r>
      <w:r w:rsidR="00F702CE" w:rsidRPr="00C50854">
        <w:rPr>
          <w:lang w:eastAsia="et-EE"/>
        </w:rPr>
        <w:t xml:space="preserve">kliendiliine aluseks võttes omab </w:t>
      </w:r>
      <w:r w:rsidR="009A587C" w:rsidRPr="00C50854">
        <w:rPr>
          <w:lang w:eastAsia="et-EE"/>
        </w:rPr>
        <w:t>jaeteenuseid osutavatest</w:t>
      </w:r>
      <w:r w:rsidR="00F702CE" w:rsidRPr="00C50854">
        <w:rPr>
          <w:lang w:eastAsia="et-EE"/>
        </w:rPr>
        <w:t xml:space="preserve"> ettevõtjatest </w:t>
      </w:r>
      <w:r w:rsidR="00AF3E4B" w:rsidRPr="00C50854">
        <w:t>...*</w:t>
      </w:r>
      <w:r w:rsidR="00F702CE" w:rsidRPr="00C50854">
        <w:rPr>
          <w:lang w:eastAsia="et-EE"/>
        </w:rPr>
        <w:t xml:space="preserve"> turuosa </w:t>
      </w:r>
      <w:r w:rsidR="0070599F" w:rsidRPr="00C50854">
        <w:rPr>
          <w:lang w:eastAsia="et-EE"/>
        </w:rPr>
        <w:t>Telia</w:t>
      </w:r>
      <w:r w:rsidR="009A587C" w:rsidRPr="00C50854">
        <w:rPr>
          <w:lang w:eastAsia="et-EE"/>
        </w:rPr>
        <w:t xml:space="preserve"> (vt </w:t>
      </w:r>
      <w:r w:rsidR="002D7588" w:rsidRPr="00C50854">
        <w:rPr>
          <w:lang w:eastAsia="et-EE"/>
        </w:rPr>
        <w:fldChar w:fldCharType="begin"/>
      </w:r>
      <w:r w:rsidR="002D7588" w:rsidRPr="00C50854">
        <w:rPr>
          <w:lang w:eastAsia="et-EE"/>
        </w:rPr>
        <w:instrText xml:space="preserve"> REF _Ref346267828 \h </w:instrText>
      </w:r>
      <w:r w:rsidR="00147B1B" w:rsidRPr="00C50854">
        <w:rPr>
          <w:lang w:eastAsia="et-EE"/>
        </w:rPr>
        <w:instrText xml:space="preserve"> \* MERGEFORMAT </w:instrText>
      </w:r>
      <w:r w:rsidR="002D7588" w:rsidRPr="00C50854">
        <w:rPr>
          <w:lang w:eastAsia="et-EE"/>
        </w:rPr>
      </w:r>
      <w:r w:rsidR="002D7588" w:rsidRPr="00C50854">
        <w:rPr>
          <w:lang w:eastAsia="et-EE"/>
        </w:rPr>
        <w:fldChar w:fldCharType="separate"/>
      </w:r>
      <w:r w:rsidR="0079054B" w:rsidRPr="00C50854">
        <w:rPr>
          <w:bCs/>
          <w:noProof/>
          <w:lang w:eastAsia="et-EE"/>
        </w:rPr>
        <w:t>Tabel 9</w:t>
      </w:r>
      <w:r w:rsidR="002D7588" w:rsidRPr="00C50854">
        <w:rPr>
          <w:lang w:eastAsia="et-EE"/>
        </w:rPr>
        <w:fldChar w:fldCharType="end"/>
      </w:r>
      <w:r w:rsidR="009A587C" w:rsidRPr="00C50854">
        <w:rPr>
          <w:lang w:eastAsia="et-EE"/>
        </w:rPr>
        <w:t>)</w:t>
      </w:r>
      <w:r w:rsidR="007F614E" w:rsidRPr="00C50854">
        <w:rPr>
          <w:lang w:eastAsia="et-EE"/>
        </w:rPr>
        <w:t>.</w:t>
      </w:r>
      <w:r w:rsidRPr="00C50854">
        <w:rPr>
          <w:lang w:eastAsia="et-EE"/>
        </w:rPr>
        <w:t xml:space="preserve"> T</w:t>
      </w:r>
      <w:r w:rsidR="00F702CE" w:rsidRPr="00C50854">
        <w:rPr>
          <w:lang w:eastAsia="et-EE"/>
        </w:rPr>
        <w:t xml:space="preserve">eiste teenuseosutajate turuosad </w:t>
      </w:r>
      <w:r w:rsidRPr="00C50854">
        <w:rPr>
          <w:lang w:eastAsia="et-EE"/>
        </w:rPr>
        <w:t xml:space="preserve">on </w:t>
      </w:r>
      <w:r w:rsidR="00F702CE" w:rsidRPr="00C50854">
        <w:rPr>
          <w:lang w:eastAsia="et-EE"/>
        </w:rPr>
        <w:t xml:space="preserve">jäänud aktiivsete kliendiliinide osas </w:t>
      </w:r>
      <w:r w:rsidR="00F702CE" w:rsidRPr="00C50854">
        <w:t>stabiilseks</w:t>
      </w:r>
      <w:r w:rsidR="00F702CE" w:rsidRPr="00C50854">
        <w:rPr>
          <w:lang w:eastAsia="et-EE"/>
        </w:rPr>
        <w:t xml:space="preserve">. STV </w:t>
      </w:r>
      <w:r w:rsidR="00A1749E" w:rsidRPr="00C50854">
        <w:rPr>
          <w:lang w:eastAsia="et-EE"/>
        </w:rPr>
        <w:t xml:space="preserve">turuosad </w:t>
      </w:r>
      <w:r w:rsidR="00030516" w:rsidRPr="00C50854">
        <w:t>on</w:t>
      </w:r>
      <w:r w:rsidR="00A1749E" w:rsidRPr="00C50854">
        <w:t xml:space="preserve"> </w:t>
      </w:r>
      <w:r w:rsidR="00AF3E4B" w:rsidRPr="00C50854">
        <w:t>...*</w:t>
      </w:r>
      <w:r w:rsidR="00030516" w:rsidRPr="00C50854">
        <w:t>% võrra</w:t>
      </w:r>
      <w:r w:rsidR="00A1749E" w:rsidRPr="00C50854">
        <w:rPr>
          <w:lang w:eastAsia="et-EE"/>
        </w:rPr>
        <w:t xml:space="preserve">, </w:t>
      </w:r>
      <w:r w:rsidR="00030516" w:rsidRPr="00C50854">
        <w:rPr>
          <w:lang w:eastAsia="et-EE"/>
        </w:rPr>
        <w:t>Teleteenuste</w:t>
      </w:r>
      <w:r w:rsidR="00D02D48" w:rsidRPr="00C50854">
        <w:rPr>
          <w:lang w:eastAsia="et-EE"/>
        </w:rPr>
        <w:t xml:space="preserve"> </w:t>
      </w:r>
      <w:r w:rsidR="00F702CE" w:rsidRPr="00C50854">
        <w:rPr>
          <w:lang w:eastAsia="et-EE"/>
        </w:rPr>
        <w:lastRenderedPageBreak/>
        <w:t>turuosa</w:t>
      </w:r>
      <w:r w:rsidR="00D02D48" w:rsidRPr="00C50854">
        <w:rPr>
          <w:lang w:eastAsia="et-EE"/>
        </w:rPr>
        <w:t xml:space="preserve"> on </w:t>
      </w:r>
      <w:r w:rsidR="00AF3E4B" w:rsidRPr="00C50854">
        <w:t>…*</w:t>
      </w:r>
      <w:r w:rsidR="00A1749E" w:rsidRPr="00C50854">
        <w:rPr>
          <w:lang w:eastAsia="et-EE"/>
        </w:rPr>
        <w:t>%</w:t>
      </w:r>
      <w:r w:rsidR="00F702CE" w:rsidRPr="00C50854">
        <w:rPr>
          <w:lang w:eastAsia="et-EE"/>
        </w:rPr>
        <w:t>. Ülejäänud teenuseosutaja</w:t>
      </w:r>
      <w:r w:rsidR="00036E9E" w:rsidRPr="00C50854">
        <w:rPr>
          <w:lang w:eastAsia="et-EE"/>
        </w:rPr>
        <w:t>te</w:t>
      </w:r>
      <w:r w:rsidR="00F702CE" w:rsidRPr="00C50854">
        <w:rPr>
          <w:lang w:eastAsia="et-EE"/>
        </w:rPr>
        <w:t xml:space="preserve"> turuosa aktiivsete kliendiliinide osas on vaadeldavatel aastatel </w:t>
      </w:r>
      <w:r w:rsidR="00A1749E" w:rsidRPr="00C50854">
        <w:t>vähenenud</w:t>
      </w:r>
      <w:r w:rsidR="00030516" w:rsidRPr="00C50854">
        <w:t xml:space="preserve"> </w:t>
      </w:r>
      <w:r w:rsidR="00AF3E4B" w:rsidRPr="00C50854">
        <w:t>…*</w:t>
      </w:r>
      <w:r w:rsidR="00A1749E" w:rsidRPr="00C50854">
        <w:t xml:space="preserve">%-lt </w:t>
      </w:r>
      <w:r w:rsidR="00F702CE" w:rsidRPr="00C50854">
        <w:t xml:space="preserve"> </w:t>
      </w:r>
      <w:r w:rsidR="00AF3E4B" w:rsidRPr="00C50854">
        <w:t>…*</w:t>
      </w:r>
      <w:r w:rsidR="00F702CE" w:rsidRPr="00C50854">
        <w:t>%</w:t>
      </w:r>
      <w:r w:rsidR="00A1749E" w:rsidRPr="00C50854">
        <w:t>-ni</w:t>
      </w:r>
      <w:r w:rsidR="00F702CE" w:rsidRPr="00C50854">
        <w:rPr>
          <w:lang w:eastAsia="et-EE"/>
        </w:rPr>
        <w:t xml:space="preserve"> (</w:t>
      </w:r>
      <w:r w:rsidR="00B91B63" w:rsidRPr="00C50854">
        <w:rPr>
          <w:lang w:eastAsia="et-EE"/>
        </w:rPr>
        <w:t xml:space="preserve">vt </w:t>
      </w:r>
      <w:r w:rsidR="00883217" w:rsidRPr="00C50854">
        <w:rPr>
          <w:lang w:eastAsia="et-EE"/>
        </w:rPr>
        <w:fldChar w:fldCharType="begin"/>
      </w:r>
      <w:r w:rsidR="00883217" w:rsidRPr="00C50854">
        <w:rPr>
          <w:lang w:eastAsia="et-EE"/>
        </w:rPr>
        <w:instrText xml:space="preserve"> REF _Ref346267828 \h  \* MERGEFORMAT </w:instrText>
      </w:r>
      <w:r w:rsidR="00883217" w:rsidRPr="00C50854">
        <w:rPr>
          <w:lang w:eastAsia="et-EE"/>
        </w:rPr>
      </w:r>
      <w:r w:rsidR="00883217" w:rsidRPr="00C50854">
        <w:rPr>
          <w:lang w:eastAsia="et-EE"/>
        </w:rPr>
        <w:fldChar w:fldCharType="separate"/>
      </w:r>
      <w:r w:rsidR="0079054B" w:rsidRPr="00C50854">
        <w:rPr>
          <w:bCs/>
          <w:lang w:eastAsia="et-EE"/>
        </w:rPr>
        <w:t xml:space="preserve">Tabel </w:t>
      </w:r>
      <w:r w:rsidR="0079054B" w:rsidRPr="00C50854">
        <w:rPr>
          <w:bCs/>
          <w:noProof/>
          <w:lang w:eastAsia="et-EE"/>
        </w:rPr>
        <w:t>9</w:t>
      </w:r>
      <w:r w:rsidR="00883217" w:rsidRPr="00C50854">
        <w:rPr>
          <w:lang w:eastAsia="et-EE"/>
        </w:rPr>
        <w:fldChar w:fldCharType="end"/>
      </w:r>
      <w:r w:rsidR="000E0093" w:rsidRPr="00C50854">
        <w:rPr>
          <w:lang w:eastAsia="et-EE"/>
        </w:rPr>
        <w:t>)</w:t>
      </w:r>
      <w:r w:rsidR="00F702CE" w:rsidRPr="00C50854">
        <w:rPr>
          <w:lang w:eastAsia="et-EE"/>
        </w:rPr>
        <w:t>.</w:t>
      </w:r>
    </w:p>
    <w:p w14:paraId="57B6BE1D" w14:textId="77777777" w:rsidR="00FF57D4" w:rsidRPr="00C50854" w:rsidRDefault="00FF57D4" w:rsidP="00FF57D4">
      <w:pPr>
        <w:suppressAutoHyphens w:val="0"/>
        <w:autoSpaceDE w:val="0"/>
        <w:autoSpaceDN w:val="0"/>
        <w:adjustRightInd w:val="0"/>
        <w:spacing w:before="120" w:after="120"/>
        <w:ind w:left="360"/>
        <w:jc w:val="both"/>
        <w:rPr>
          <w:lang w:eastAsia="et-EE"/>
        </w:rPr>
      </w:pPr>
    </w:p>
    <w:tbl>
      <w:tblPr>
        <w:tblW w:w="9152" w:type="dxa"/>
        <w:tblInd w:w="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2274"/>
        <w:gridCol w:w="1375"/>
        <w:gridCol w:w="1376"/>
        <w:gridCol w:w="1375"/>
        <w:gridCol w:w="1510"/>
        <w:gridCol w:w="1242"/>
      </w:tblGrid>
      <w:tr w:rsidR="00597030" w:rsidRPr="00C50854" w14:paraId="50A3ED35" w14:textId="77777777" w:rsidTr="00597030">
        <w:trPr>
          <w:trHeight w:val="256"/>
        </w:trPr>
        <w:tc>
          <w:tcPr>
            <w:tcW w:w="2274" w:type="dxa"/>
            <w:shd w:val="clear" w:color="auto" w:fill="CCFFCC"/>
          </w:tcPr>
          <w:p w14:paraId="4626A544" w14:textId="6898BDDB" w:rsidR="00597030" w:rsidRPr="00C50854" w:rsidRDefault="00597030" w:rsidP="00597030">
            <w:pPr>
              <w:rPr>
                <w:b/>
                <w:sz w:val="20"/>
                <w:szCs w:val="20"/>
              </w:rPr>
            </w:pPr>
            <w:r w:rsidRPr="00C50854">
              <w:rPr>
                <w:b/>
                <w:sz w:val="20"/>
                <w:szCs w:val="20"/>
              </w:rPr>
              <w:t>Ettevõtja</w:t>
            </w:r>
          </w:p>
        </w:tc>
        <w:tc>
          <w:tcPr>
            <w:tcW w:w="1375" w:type="dxa"/>
            <w:shd w:val="clear" w:color="auto" w:fill="CCFFCC"/>
          </w:tcPr>
          <w:p w14:paraId="14F11780" w14:textId="2DC38248" w:rsidR="00597030" w:rsidRPr="00C50854" w:rsidRDefault="00597030" w:rsidP="00597030">
            <w:pPr>
              <w:jc w:val="center"/>
              <w:rPr>
                <w:b/>
                <w:sz w:val="20"/>
                <w:szCs w:val="20"/>
              </w:rPr>
            </w:pPr>
            <w:r w:rsidRPr="00C50854">
              <w:rPr>
                <w:b/>
                <w:sz w:val="20"/>
                <w:szCs w:val="20"/>
              </w:rPr>
              <w:t>2015</w:t>
            </w:r>
          </w:p>
        </w:tc>
        <w:tc>
          <w:tcPr>
            <w:tcW w:w="1376" w:type="dxa"/>
            <w:shd w:val="clear" w:color="auto" w:fill="CCFFCC"/>
          </w:tcPr>
          <w:p w14:paraId="001F39FC" w14:textId="39060AD8" w:rsidR="00597030" w:rsidRPr="00C50854" w:rsidRDefault="00597030" w:rsidP="00597030">
            <w:pPr>
              <w:jc w:val="center"/>
              <w:rPr>
                <w:b/>
                <w:sz w:val="20"/>
                <w:szCs w:val="20"/>
              </w:rPr>
            </w:pPr>
            <w:r w:rsidRPr="00C50854">
              <w:rPr>
                <w:b/>
                <w:sz w:val="20"/>
                <w:szCs w:val="20"/>
              </w:rPr>
              <w:t>2016</w:t>
            </w:r>
          </w:p>
        </w:tc>
        <w:tc>
          <w:tcPr>
            <w:tcW w:w="1375" w:type="dxa"/>
            <w:shd w:val="clear" w:color="auto" w:fill="CCFFCC"/>
          </w:tcPr>
          <w:p w14:paraId="490019AA" w14:textId="5FC273B8" w:rsidR="00597030" w:rsidRPr="00C50854" w:rsidRDefault="00597030" w:rsidP="00597030">
            <w:pPr>
              <w:jc w:val="center"/>
              <w:rPr>
                <w:b/>
                <w:sz w:val="20"/>
                <w:szCs w:val="20"/>
              </w:rPr>
            </w:pPr>
            <w:r w:rsidRPr="00C50854">
              <w:rPr>
                <w:b/>
                <w:sz w:val="20"/>
                <w:szCs w:val="20"/>
              </w:rPr>
              <w:t>2017</w:t>
            </w:r>
          </w:p>
        </w:tc>
        <w:tc>
          <w:tcPr>
            <w:tcW w:w="1510" w:type="dxa"/>
            <w:shd w:val="clear" w:color="auto" w:fill="CCFFCC"/>
          </w:tcPr>
          <w:p w14:paraId="23E5738A" w14:textId="04B0CF68" w:rsidR="00597030" w:rsidRPr="00C50854" w:rsidRDefault="00597030" w:rsidP="00597030">
            <w:pPr>
              <w:jc w:val="center"/>
              <w:rPr>
                <w:b/>
                <w:sz w:val="20"/>
                <w:szCs w:val="20"/>
              </w:rPr>
            </w:pPr>
            <w:r w:rsidRPr="00C50854">
              <w:rPr>
                <w:b/>
                <w:sz w:val="20"/>
                <w:szCs w:val="20"/>
              </w:rPr>
              <w:t>2018</w:t>
            </w:r>
          </w:p>
        </w:tc>
        <w:tc>
          <w:tcPr>
            <w:tcW w:w="1242" w:type="dxa"/>
            <w:shd w:val="clear" w:color="auto" w:fill="CCFFCC"/>
          </w:tcPr>
          <w:p w14:paraId="348E42C2" w14:textId="4DB0DA7A" w:rsidR="00597030" w:rsidRPr="00C50854" w:rsidRDefault="00597030" w:rsidP="00597030">
            <w:pPr>
              <w:jc w:val="center"/>
              <w:rPr>
                <w:b/>
                <w:sz w:val="20"/>
                <w:szCs w:val="20"/>
              </w:rPr>
            </w:pPr>
            <w:r w:rsidRPr="00C50854">
              <w:rPr>
                <w:b/>
                <w:sz w:val="20"/>
                <w:szCs w:val="20"/>
              </w:rPr>
              <w:t xml:space="preserve"> I </w:t>
            </w:r>
            <w:proofErr w:type="spellStart"/>
            <w:r w:rsidRPr="00C50854">
              <w:rPr>
                <w:b/>
                <w:sz w:val="20"/>
                <w:szCs w:val="20"/>
              </w:rPr>
              <w:t>pa</w:t>
            </w:r>
            <w:proofErr w:type="spellEnd"/>
            <w:r w:rsidRPr="00C50854">
              <w:rPr>
                <w:b/>
                <w:sz w:val="20"/>
                <w:szCs w:val="20"/>
              </w:rPr>
              <w:t xml:space="preserve"> 2019</w:t>
            </w:r>
          </w:p>
        </w:tc>
      </w:tr>
      <w:tr w:rsidR="00AF3E4B" w:rsidRPr="00C50854" w14:paraId="11FEA1C6" w14:textId="77777777" w:rsidTr="00597030">
        <w:trPr>
          <w:trHeight w:val="242"/>
        </w:trPr>
        <w:tc>
          <w:tcPr>
            <w:tcW w:w="2274" w:type="dxa"/>
          </w:tcPr>
          <w:p w14:paraId="3BCFF733" w14:textId="20F9D8B2" w:rsidR="00AF3E4B" w:rsidRPr="00C50854" w:rsidRDefault="00AF3E4B" w:rsidP="00AF3E4B">
            <w:pPr>
              <w:rPr>
                <w:b/>
                <w:sz w:val="20"/>
                <w:szCs w:val="20"/>
              </w:rPr>
            </w:pPr>
            <w:r w:rsidRPr="00C50854">
              <w:rPr>
                <w:b/>
                <w:sz w:val="20"/>
                <w:szCs w:val="20"/>
              </w:rPr>
              <w:t>Telia</w:t>
            </w:r>
          </w:p>
        </w:tc>
        <w:tc>
          <w:tcPr>
            <w:tcW w:w="1375" w:type="dxa"/>
          </w:tcPr>
          <w:p w14:paraId="457FD5D6" w14:textId="2DDB5DB5" w:rsidR="00AF3E4B" w:rsidRPr="00C50854" w:rsidRDefault="00AF3E4B" w:rsidP="00AF3E4B">
            <w:pPr>
              <w:jc w:val="center"/>
              <w:rPr>
                <w:sz w:val="20"/>
                <w:szCs w:val="20"/>
              </w:rPr>
            </w:pPr>
            <w:r w:rsidRPr="00C50854">
              <w:rPr>
                <w:sz w:val="20"/>
                <w:szCs w:val="20"/>
              </w:rPr>
              <w:t>...*%</w:t>
            </w:r>
          </w:p>
        </w:tc>
        <w:tc>
          <w:tcPr>
            <w:tcW w:w="1376" w:type="dxa"/>
          </w:tcPr>
          <w:p w14:paraId="543B53C6" w14:textId="409335C3" w:rsidR="00AF3E4B" w:rsidRPr="00C50854" w:rsidRDefault="00AF3E4B" w:rsidP="00AF3E4B">
            <w:pPr>
              <w:jc w:val="center"/>
              <w:rPr>
                <w:sz w:val="20"/>
                <w:szCs w:val="20"/>
              </w:rPr>
            </w:pPr>
            <w:r w:rsidRPr="00C50854">
              <w:rPr>
                <w:sz w:val="20"/>
                <w:szCs w:val="20"/>
              </w:rPr>
              <w:t>...*%</w:t>
            </w:r>
          </w:p>
        </w:tc>
        <w:tc>
          <w:tcPr>
            <w:tcW w:w="1375" w:type="dxa"/>
          </w:tcPr>
          <w:p w14:paraId="0309B564" w14:textId="20A2F5EA" w:rsidR="00AF3E4B" w:rsidRPr="00C50854" w:rsidRDefault="00AF3E4B" w:rsidP="00AF3E4B">
            <w:pPr>
              <w:jc w:val="center"/>
              <w:rPr>
                <w:sz w:val="20"/>
                <w:szCs w:val="20"/>
              </w:rPr>
            </w:pPr>
            <w:r w:rsidRPr="00C50854">
              <w:rPr>
                <w:sz w:val="20"/>
                <w:szCs w:val="20"/>
              </w:rPr>
              <w:t>...*%</w:t>
            </w:r>
          </w:p>
        </w:tc>
        <w:tc>
          <w:tcPr>
            <w:tcW w:w="1510" w:type="dxa"/>
          </w:tcPr>
          <w:p w14:paraId="2680645E" w14:textId="421873D8" w:rsidR="00AF3E4B" w:rsidRPr="00C50854" w:rsidRDefault="00AF3E4B" w:rsidP="00AF3E4B">
            <w:pPr>
              <w:jc w:val="center"/>
              <w:rPr>
                <w:sz w:val="20"/>
                <w:szCs w:val="20"/>
              </w:rPr>
            </w:pPr>
            <w:r w:rsidRPr="00C50854">
              <w:rPr>
                <w:sz w:val="20"/>
                <w:szCs w:val="20"/>
              </w:rPr>
              <w:t>...*%</w:t>
            </w:r>
          </w:p>
        </w:tc>
        <w:tc>
          <w:tcPr>
            <w:tcW w:w="1242" w:type="dxa"/>
          </w:tcPr>
          <w:p w14:paraId="269735FB" w14:textId="65C31118" w:rsidR="00AF3E4B" w:rsidRPr="00C50854" w:rsidRDefault="00AF3E4B" w:rsidP="00AF3E4B">
            <w:pPr>
              <w:jc w:val="center"/>
              <w:rPr>
                <w:sz w:val="20"/>
                <w:szCs w:val="20"/>
              </w:rPr>
            </w:pPr>
            <w:r w:rsidRPr="00C50854">
              <w:rPr>
                <w:sz w:val="20"/>
                <w:szCs w:val="20"/>
              </w:rPr>
              <w:t>...*%</w:t>
            </w:r>
          </w:p>
        </w:tc>
      </w:tr>
      <w:tr w:rsidR="00AF3E4B" w:rsidRPr="00C50854" w14:paraId="2171CD9D" w14:textId="77777777" w:rsidTr="00597030">
        <w:trPr>
          <w:trHeight w:val="242"/>
        </w:trPr>
        <w:tc>
          <w:tcPr>
            <w:tcW w:w="2274" w:type="dxa"/>
          </w:tcPr>
          <w:p w14:paraId="7090D642" w14:textId="131A6A40" w:rsidR="00AF3E4B" w:rsidRPr="00C50854" w:rsidRDefault="00AF3E4B" w:rsidP="00AF3E4B">
            <w:pPr>
              <w:rPr>
                <w:b/>
                <w:sz w:val="20"/>
                <w:szCs w:val="20"/>
              </w:rPr>
            </w:pPr>
            <w:r w:rsidRPr="00C50854">
              <w:rPr>
                <w:b/>
                <w:sz w:val="20"/>
                <w:szCs w:val="20"/>
              </w:rPr>
              <w:t>Teleteenused</w:t>
            </w:r>
          </w:p>
        </w:tc>
        <w:tc>
          <w:tcPr>
            <w:tcW w:w="1375" w:type="dxa"/>
          </w:tcPr>
          <w:p w14:paraId="5154777F" w14:textId="3E592057" w:rsidR="00AF3E4B" w:rsidRPr="00C50854" w:rsidRDefault="00AF3E4B" w:rsidP="00AF3E4B">
            <w:pPr>
              <w:jc w:val="center"/>
              <w:rPr>
                <w:sz w:val="20"/>
                <w:szCs w:val="20"/>
              </w:rPr>
            </w:pPr>
            <w:r w:rsidRPr="00C50854">
              <w:rPr>
                <w:sz w:val="20"/>
                <w:szCs w:val="20"/>
              </w:rPr>
              <w:t>...*%</w:t>
            </w:r>
          </w:p>
        </w:tc>
        <w:tc>
          <w:tcPr>
            <w:tcW w:w="1376" w:type="dxa"/>
          </w:tcPr>
          <w:p w14:paraId="30791915" w14:textId="25F35ED3" w:rsidR="00AF3E4B" w:rsidRPr="00C50854" w:rsidRDefault="00AF3E4B" w:rsidP="00AF3E4B">
            <w:pPr>
              <w:jc w:val="center"/>
              <w:rPr>
                <w:sz w:val="20"/>
                <w:szCs w:val="20"/>
              </w:rPr>
            </w:pPr>
            <w:r w:rsidRPr="00C50854">
              <w:rPr>
                <w:sz w:val="20"/>
                <w:szCs w:val="20"/>
              </w:rPr>
              <w:t>...*%</w:t>
            </w:r>
          </w:p>
        </w:tc>
        <w:tc>
          <w:tcPr>
            <w:tcW w:w="1375" w:type="dxa"/>
          </w:tcPr>
          <w:p w14:paraId="30C3FB38" w14:textId="50222CA7" w:rsidR="00AF3E4B" w:rsidRPr="00C50854" w:rsidRDefault="00AF3E4B" w:rsidP="00AF3E4B">
            <w:pPr>
              <w:jc w:val="center"/>
              <w:rPr>
                <w:sz w:val="20"/>
                <w:szCs w:val="20"/>
              </w:rPr>
            </w:pPr>
            <w:r w:rsidRPr="00C50854">
              <w:rPr>
                <w:sz w:val="20"/>
                <w:szCs w:val="20"/>
              </w:rPr>
              <w:t>...*%</w:t>
            </w:r>
          </w:p>
        </w:tc>
        <w:tc>
          <w:tcPr>
            <w:tcW w:w="1510" w:type="dxa"/>
          </w:tcPr>
          <w:p w14:paraId="69895CD9" w14:textId="6D09ACBC" w:rsidR="00AF3E4B" w:rsidRPr="00C50854" w:rsidRDefault="00AF3E4B" w:rsidP="00AF3E4B">
            <w:pPr>
              <w:jc w:val="center"/>
              <w:rPr>
                <w:sz w:val="20"/>
                <w:szCs w:val="20"/>
              </w:rPr>
            </w:pPr>
            <w:r w:rsidRPr="00C50854">
              <w:rPr>
                <w:sz w:val="20"/>
                <w:szCs w:val="20"/>
              </w:rPr>
              <w:t>...*%</w:t>
            </w:r>
          </w:p>
        </w:tc>
        <w:tc>
          <w:tcPr>
            <w:tcW w:w="1242" w:type="dxa"/>
          </w:tcPr>
          <w:p w14:paraId="55BBD1F0" w14:textId="7B0793BF" w:rsidR="00AF3E4B" w:rsidRPr="00C50854" w:rsidRDefault="00AF3E4B" w:rsidP="00AF3E4B">
            <w:pPr>
              <w:jc w:val="center"/>
              <w:rPr>
                <w:sz w:val="20"/>
                <w:szCs w:val="20"/>
              </w:rPr>
            </w:pPr>
            <w:r w:rsidRPr="00C50854">
              <w:rPr>
                <w:sz w:val="20"/>
                <w:szCs w:val="20"/>
              </w:rPr>
              <w:t>...*%</w:t>
            </w:r>
          </w:p>
        </w:tc>
      </w:tr>
      <w:tr w:rsidR="00AF3E4B" w:rsidRPr="00C50854" w14:paraId="28D87121" w14:textId="77777777" w:rsidTr="00597030">
        <w:trPr>
          <w:trHeight w:val="242"/>
        </w:trPr>
        <w:tc>
          <w:tcPr>
            <w:tcW w:w="2274" w:type="dxa"/>
          </w:tcPr>
          <w:p w14:paraId="25E9C951" w14:textId="0F82442E" w:rsidR="00AF3E4B" w:rsidRPr="00C50854" w:rsidRDefault="00AF3E4B" w:rsidP="00AF3E4B">
            <w:pPr>
              <w:rPr>
                <w:b/>
                <w:sz w:val="20"/>
                <w:szCs w:val="20"/>
              </w:rPr>
            </w:pPr>
            <w:r w:rsidRPr="00C50854">
              <w:rPr>
                <w:b/>
                <w:sz w:val="20"/>
                <w:szCs w:val="20"/>
              </w:rPr>
              <w:t>STV</w:t>
            </w:r>
          </w:p>
        </w:tc>
        <w:tc>
          <w:tcPr>
            <w:tcW w:w="1375" w:type="dxa"/>
          </w:tcPr>
          <w:p w14:paraId="7BA193E9" w14:textId="6CBD337B" w:rsidR="00AF3E4B" w:rsidRPr="00C50854" w:rsidRDefault="00AF3E4B" w:rsidP="00AF3E4B">
            <w:pPr>
              <w:jc w:val="center"/>
              <w:rPr>
                <w:sz w:val="20"/>
                <w:szCs w:val="20"/>
              </w:rPr>
            </w:pPr>
            <w:r w:rsidRPr="00C50854">
              <w:rPr>
                <w:sz w:val="20"/>
                <w:szCs w:val="20"/>
              </w:rPr>
              <w:t>...*%</w:t>
            </w:r>
          </w:p>
        </w:tc>
        <w:tc>
          <w:tcPr>
            <w:tcW w:w="1376" w:type="dxa"/>
          </w:tcPr>
          <w:p w14:paraId="00B4402B" w14:textId="299E727B" w:rsidR="00AF3E4B" w:rsidRPr="00C50854" w:rsidRDefault="00AF3E4B" w:rsidP="00AF3E4B">
            <w:pPr>
              <w:jc w:val="center"/>
              <w:rPr>
                <w:sz w:val="20"/>
                <w:szCs w:val="20"/>
              </w:rPr>
            </w:pPr>
            <w:r w:rsidRPr="00C50854">
              <w:rPr>
                <w:sz w:val="20"/>
                <w:szCs w:val="20"/>
              </w:rPr>
              <w:t>...*%</w:t>
            </w:r>
          </w:p>
        </w:tc>
        <w:tc>
          <w:tcPr>
            <w:tcW w:w="1375" w:type="dxa"/>
          </w:tcPr>
          <w:p w14:paraId="1E0E621A" w14:textId="11B24A8C" w:rsidR="00AF3E4B" w:rsidRPr="00C50854" w:rsidRDefault="00AF3E4B" w:rsidP="00AF3E4B">
            <w:pPr>
              <w:jc w:val="center"/>
              <w:rPr>
                <w:sz w:val="20"/>
                <w:szCs w:val="20"/>
              </w:rPr>
            </w:pPr>
            <w:r w:rsidRPr="00C50854">
              <w:rPr>
                <w:sz w:val="20"/>
                <w:szCs w:val="20"/>
              </w:rPr>
              <w:t>...*%</w:t>
            </w:r>
          </w:p>
        </w:tc>
        <w:tc>
          <w:tcPr>
            <w:tcW w:w="1510" w:type="dxa"/>
          </w:tcPr>
          <w:p w14:paraId="28D646EE" w14:textId="287C1BE8" w:rsidR="00AF3E4B" w:rsidRPr="00C50854" w:rsidRDefault="00AF3E4B" w:rsidP="00AF3E4B">
            <w:pPr>
              <w:jc w:val="center"/>
              <w:rPr>
                <w:sz w:val="20"/>
                <w:szCs w:val="20"/>
              </w:rPr>
            </w:pPr>
            <w:r w:rsidRPr="00C50854">
              <w:rPr>
                <w:sz w:val="20"/>
                <w:szCs w:val="20"/>
              </w:rPr>
              <w:t>...*%</w:t>
            </w:r>
          </w:p>
        </w:tc>
        <w:tc>
          <w:tcPr>
            <w:tcW w:w="1242" w:type="dxa"/>
          </w:tcPr>
          <w:p w14:paraId="3F6BE261" w14:textId="023C18B7" w:rsidR="00AF3E4B" w:rsidRPr="00C50854" w:rsidRDefault="00AF3E4B" w:rsidP="00AF3E4B">
            <w:pPr>
              <w:jc w:val="center"/>
              <w:rPr>
                <w:sz w:val="20"/>
                <w:szCs w:val="20"/>
              </w:rPr>
            </w:pPr>
            <w:r w:rsidRPr="00C50854">
              <w:rPr>
                <w:sz w:val="20"/>
                <w:szCs w:val="20"/>
              </w:rPr>
              <w:t>...*%</w:t>
            </w:r>
          </w:p>
        </w:tc>
      </w:tr>
      <w:tr w:rsidR="00AF3E4B" w:rsidRPr="00C50854" w14:paraId="1C454ACA" w14:textId="77777777" w:rsidTr="00597030">
        <w:trPr>
          <w:trHeight w:val="242"/>
        </w:trPr>
        <w:tc>
          <w:tcPr>
            <w:tcW w:w="2274" w:type="dxa"/>
          </w:tcPr>
          <w:p w14:paraId="1278BE88" w14:textId="6D9CD1DC" w:rsidR="00AF3E4B" w:rsidRPr="00C50854" w:rsidRDefault="00AF3E4B" w:rsidP="00AF3E4B">
            <w:pPr>
              <w:rPr>
                <w:b/>
                <w:sz w:val="20"/>
                <w:szCs w:val="20"/>
              </w:rPr>
            </w:pPr>
            <w:r w:rsidRPr="00C50854">
              <w:rPr>
                <w:b/>
                <w:sz w:val="20"/>
                <w:szCs w:val="20"/>
              </w:rPr>
              <w:t>Teised</w:t>
            </w:r>
          </w:p>
        </w:tc>
        <w:tc>
          <w:tcPr>
            <w:tcW w:w="1375" w:type="dxa"/>
          </w:tcPr>
          <w:p w14:paraId="466C1FB4" w14:textId="376A8D88" w:rsidR="00AF3E4B" w:rsidRPr="00C50854" w:rsidRDefault="00AF3E4B" w:rsidP="00AF3E4B">
            <w:pPr>
              <w:jc w:val="center"/>
              <w:rPr>
                <w:sz w:val="20"/>
                <w:szCs w:val="20"/>
              </w:rPr>
            </w:pPr>
            <w:r w:rsidRPr="00C50854">
              <w:rPr>
                <w:sz w:val="20"/>
                <w:szCs w:val="20"/>
              </w:rPr>
              <w:t>...*%</w:t>
            </w:r>
          </w:p>
        </w:tc>
        <w:tc>
          <w:tcPr>
            <w:tcW w:w="1376" w:type="dxa"/>
          </w:tcPr>
          <w:p w14:paraId="3D092092" w14:textId="4C139AA4" w:rsidR="00AF3E4B" w:rsidRPr="00C50854" w:rsidRDefault="00AF3E4B" w:rsidP="00AF3E4B">
            <w:pPr>
              <w:jc w:val="center"/>
              <w:rPr>
                <w:sz w:val="20"/>
                <w:szCs w:val="20"/>
              </w:rPr>
            </w:pPr>
            <w:r w:rsidRPr="00C50854">
              <w:rPr>
                <w:sz w:val="20"/>
                <w:szCs w:val="20"/>
              </w:rPr>
              <w:t>...*%</w:t>
            </w:r>
          </w:p>
        </w:tc>
        <w:tc>
          <w:tcPr>
            <w:tcW w:w="1375" w:type="dxa"/>
          </w:tcPr>
          <w:p w14:paraId="22335543" w14:textId="3226E0A6" w:rsidR="00AF3E4B" w:rsidRPr="00C50854" w:rsidRDefault="00AF3E4B" w:rsidP="00AF3E4B">
            <w:pPr>
              <w:jc w:val="center"/>
              <w:rPr>
                <w:sz w:val="20"/>
                <w:szCs w:val="20"/>
              </w:rPr>
            </w:pPr>
            <w:r w:rsidRPr="00C50854">
              <w:rPr>
                <w:sz w:val="20"/>
                <w:szCs w:val="20"/>
              </w:rPr>
              <w:t>...*%</w:t>
            </w:r>
          </w:p>
        </w:tc>
        <w:tc>
          <w:tcPr>
            <w:tcW w:w="1510" w:type="dxa"/>
          </w:tcPr>
          <w:p w14:paraId="265AA51D" w14:textId="184F512C" w:rsidR="00AF3E4B" w:rsidRPr="00C50854" w:rsidRDefault="00AF3E4B" w:rsidP="00AF3E4B">
            <w:pPr>
              <w:jc w:val="center"/>
              <w:rPr>
                <w:sz w:val="20"/>
                <w:szCs w:val="20"/>
              </w:rPr>
            </w:pPr>
            <w:r w:rsidRPr="00C50854">
              <w:rPr>
                <w:sz w:val="20"/>
                <w:szCs w:val="20"/>
              </w:rPr>
              <w:t>...*%</w:t>
            </w:r>
          </w:p>
        </w:tc>
        <w:tc>
          <w:tcPr>
            <w:tcW w:w="1242" w:type="dxa"/>
          </w:tcPr>
          <w:p w14:paraId="7E7CFEBB" w14:textId="74B89E81" w:rsidR="00AF3E4B" w:rsidRPr="00C50854" w:rsidRDefault="00AF3E4B" w:rsidP="00AF3E4B">
            <w:pPr>
              <w:jc w:val="center"/>
              <w:rPr>
                <w:sz w:val="20"/>
                <w:szCs w:val="20"/>
              </w:rPr>
            </w:pPr>
            <w:r w:rsidRPr="00C50854">
              <w:rPr>
                <w:sz w:val="20"/>
                <w:szCs w:val="20"/>
              </w:rPr>
              <w:t>...*%</w:t>
            </w:r>
          </w:p>
        </w:tc>
      </w:tr>
      <w:tr w:rsidR="00A1749E" w:rsidRPr="00C50854" w14:paraId="2A49CCEB" w14:textId="77777777" w:rsidTr="00597030">
        <w:trPr>
          <w:trHeight w:val="242"/>
        </w:trPr>
        <w:tc>
          <w:tcPr>
            <w:tcW w:w="2274" w:type="dxa"/>
          </w:tcPr>
          <w:p w14:paraId="4A4EE6CF" w14:textId="2BCF62B2" w:rsidR="00A1749E" w:rsidRPr="00C50854" w:rsidRDefault="00A1749E" w:rsidP="00A1749E">
            <w:pPr>
              <w:rPr>
                <w:b/>
                <w:sz w:val="20"/>
                <w:szCs w:val="20"/>
              </w:rPr>
            </w:pPr>
            <w:r w:rsidRPr="00C50854">
              <w:rPr>
                <w:b/>
                <w:sz w:val="20"/>
                <w:szCs w:val="20"/>
              </w:rPr>
              <w:t>Kokku</w:t>
            </w:r>
          </w:p>
        </w:tc>
        <w:tc>
          <w:tcPr>
            <w:tcW w:w="1375" w:type="dxa"/>
          </w:tcPr>
          <w:p w14:paraId="31AA783B" w14:textId="70E7BC13" w:rsidR="00A1749E" w:rsidRPr="00C50854" w:rsidRDefault="00A1749E" w:rsidP="00090938">
            <w:pPr>
              <w:jc w:val="center"/>
              <w:rPr>
                <w:b/>
                <w:sz w:val="20"/>
                <w:szCs w:val="20"/>
              </w:rPr>
            </w:pPr>
            <w:r w:rsidRPr="00C50854">
              <w:rPr>
                <w:b/>
                <w:sz w:val="20"/>
                <w:szCs w:val="20"/>
              </w:rPr>
              <w:t>100%</w:t>
            </w:r>
          </w:p>
        </w:tc>
        <w:tc>
          <w:tcPr>
            <w:tcW w:w="1376" w:type="dxa"/>
          </w:tcPr>
          <w:p w14:paraId="73D34573" w14:textId="46ADF240" w:rsidR="00A1749E" w:rsidRPr="00C50854" w:rsidRDefault="00A1749E" w:rsidP="00090938">
            <w:pPr>
              <w:jc w:val="center"/>
              <w:rPr>
                <w:b/>
                <w:sz w:val="20"/>
                <w:szCs w:val="20"/>
              </w:rPr>
            </w:pPr>
            <w:r w:rsidRPr="00C50854">
              <w:rPr>
                <w:b/>
                <w:sz w:val="20"/>
                <w:szCs w:val="20"/>
              </w:rPr>
              <w:t>100%</w:t>
            </w:r>
          </w:p>
        </w:tc>
        <w:tc>
          <w:tcPr>
            <w:tcW w:w="1375" w:type="dxa"/>
          </w:tcPr>
          <w:p w14:paraId="0B1C3AB3" w14:textId="3E2EFF0E" w:rsidR="00A1749E" w:rsidRPr="00C50854" w:rsidRDefault="00A1749E" w:rsidP="00090938">
            <w:pPr>
              <w:jc w:val="center"/>
              <w:rPr>
                <w:b/>
                <w:sz w:val="20"/>
                <w:szCs w:val="20"/>
              </w:rPr>
            </w:pPr>
            <w:r w:rsidRPr="00C50854">
              <w:rPr>
                <w:b/>
                <w:sz w:val="20"/>
                <w:szCs w:val="20"/>
              </w:rPr>
              <w:t>100%</w:t>
            </w:r>
          </w:p>
        </w:tc>
        <w:tc>
          <w:tcPr>
            <w:tcW w:w="1510" w:type="dxa"/>
          </w:tcPr>
          <w:p w14:paraId="5504AA7C" w14:textId="6D93D831" w:rsidR="00A1749E" w:rsidRPr="00C50854" w:rsidRDefault="00A1749E" w:rsidP="00090938">
            <w:pPr>
              <w:jc w:val="center"/>
              <w:rPr>
                <w:b/>
                <w:sz w:val="20"/>
                <w:szCs w:val="20"/>
              </w:rPr>
            </w:pPr>
            <w:r w:rsidRPr="00C50854">
              <w:rPr>
                <w:b/>
                <w:sz w:val="20"/>
                <w:szCs w:val="20"/>
              </w:rPr>
              <w:t>100%</w:t>
            </w:r>
          </w:p>
        </w:tc>
        <w:tc>
          <w:tcPr>
            <w:tcW w:w="1242" w:type="dxa"/>
          </w:tcPr>
          <w:p w14:paraId="2F0D3F80" w14:textId="4947DF26" w:rsidR="00A1749E" w:rsidRPr="00C50854" w:rsidRDefault="00A1749E" w:rsidP="00090938">
            <w:pPr>
              <w:jc w:val="center"/>
              <w:rPr>
                <w:b/>
                <w:sz w:val="20"/>
                <w:szCs w:val="20"/>
              </w:rPr>
            </w:pPr>
            <w:r w:rsidRPr="00C50854">
              <w:rPr>
                <w:b/>
                <w:sz w:val="20"/>
                <w:szCs w:val="20"/>
              </w:rPr>
              <w:t>100%</w:t>
            </w:r>
          </w:p>
        </w:tc>
      </w:tr>
    </w:tbl>
    <w:p w14:paraId="6C472EC8" w14:textId="1D399959" w:rsidR="005C5129" w:rsidRPr="00C50854" w:rsidRDefault="00F702CE" w:rsidP="0045274D">
      <w:pPr>
        <w:suppressAutoHyphens w:val="0"/>
        <w:spacing w:before="120" w:after="120"/>
        <w:rPr>
          <w:bCs/>
          <w:sz w:val="20"/>
          <w:szCs w:val="20"/>
          <w:lang w:eastAsia="et-EE"/>
        </w:rPr>
      </w:pPr>
      <w:bookmarkStart w:id="215" w:name="_Ref346267828"/>
      <w:r w:rsidRPr="00C50854">
        <w:rPr>
          <w:b/>
          <w:bCs/>
          <w:sz w:val="20"/>
          <w:szCs w:val="20"/>
          <w:lang w:eastAsia="et-EE"/>
        </w:rPr>
        <w:t xml:space="preserve">Tabel </w:t>
      </w:r>
      <w:r w:rsidR="00341D2F" w:rsidRPr="00C50854">
        <w:rPr>
          <w:b/>
          <w:bCs/>
          <w:sz w:val="20"/>
          <w:szCs w:val="20"/>
          <w:lang w:eastAsia="et-EE"/>
        </w:rPr>
        <w:fldChar w:fldCharType="begin"/>
      </w:r>
      <w:r w:rsidR="00341D2F" w:rsidRPr="00C50854">
        <w:rPr>
          <w:b/>
          <w:bCs/>
          <w:sz w:val="20"/>
          <w:szCs w:val="20"/>
          <w:lang w:eastAsia="et-EE"/>
        </w:rPr>
        <w:instrText xml:space="preserve"> SEQ Tabel \* ARABIC </w:instrText>
      </w:r>
      <w:r w:rsidR="00341D2F" w:rsidRPr="00C50854">
        <w:rPr>
          <w:b/>
          <w:bCs/>
          <w:sz w:val="20"/>
          <w:szCs w:val="20"/>
          <w:lang w:eastAsia="et-EE"/>
        </w:rPr>
        <w:fldChar w:fldCharType="separate"/>
      </w:r>
      <w:r w:rsidR="00D24389" w:rsidRPr="00C50854">
        <w:rPr>
          <w:b/>
          <w:bCs/>
          <w:noProof/>
          <w:sz w:val="20"/>
          <w:szCs w:val="20"/>
          <w:lang w:eastAsia="et-EE"/>
        </w:rPr>
        <w:t>9</w:t>
      </w:r>
      <w:r w:rsidR="00341D2F" w:rsidRPr="00C50854">
        <w:rPr>
          <w:b/>
          <w:bCs/>
          <w:sz w:val="20"/>
          <w:szCs w:val="20"/>
          <w:lang w:eastAsia="et-EE"/>
        </w:rPr>
        <w:fldChar w:fldCharType="end"/>
      </w:r>
      <w:bookmarkEnd w:id="215"/>
      <w:r w:rsidRPr="00C50854">
        <w:rPr>
          <w:b/>
          <w:bCs/>
          <w:sz w:val="20"/>
          <w:szCs w:val="20"/>
          <w:lang w:eastAsia="et-EE"/>
        </w:rPr>
        <w:t xml:space="preserve">. </w:t>
      </w:r>
      <w:r w:rsidRPr="00C50854">
        <w:rPr>
          <w:bCs/>
          <w:sz w:val="20"/>
          <w:szCs w:val="20"/>
          <w:lang w:eastAsia="et-EE"/>
        </w:rPr>
        <w:t>Ettevõtjate turuosad elektroonilise sideteenuste j</w:t>
      </w:r>
      <w:r w:rsidR="00F715BA" w:rsidRPr="00C50854">
        <w:rPr>
          <w:bCs/>
          <w:sz w:val="20"/>
          <w:szCs w:val="20"/>
          <w:lang w:eastAsia="et-EE"/>
        </w:rPr>
        <w:t>aeturul fikseeritud aktiivsete</w:t>
      </w:r>
      <w:r w:rsidR="00A1749E" w:rsidRPr="00C50854">
        <w:rPr>
          <w:bCs/>
          <w:sz w:val="20"/>
          <w:szCs w:val="20"/>
          <w:lang w:eastAsia="et-EE"/>
        </w:rPr>
        <w:t xml:space="preserve"> andmeside</w:t>
      </w:r>
      <w:r w:rsidRPr="00C50854">
        <w:rPr>
          <w:bCs/>
          <w:sz w:val="20"/>
          <w:szCs w:val="20"/>
          <w:lang w:eastAsia="et-EE"/>
        </w:rPr>
        <w:t xml:space="preserve"> kliendiliinide arvu alusel aastatel 20</w:t>
      </w:r>
      <w:r w:rsidR="00CB1C7C" w:rsidRPr="00C50854">
        <w:rPr>
          <w:bCs/>
          <w:sz w:val="20"/>
          <w:szCs w:val="20"/>
          <w:lang w:eastAsia="et-EE"/>
        </w:rPr>
        <w:t>1</w:t>
      </w:r>
      <w:r w:rsidR="00597030" w:rsidRPr="00C50854">
        <w:rPr>
          <w:bCs/>
          <w:sz w:val="20"/>
          <w:szCs w:val="20"/>
          <w:lang w:eastAsia="et-EE"/>
        </w:rPr>
        <w:t>5</w:t>
      </w:r>
      <w:r w:rsidR="002F1C71" w:rsidRPr="00C50854">
        <w:rPr>
          <w:bCs/>
          <w:sz w:val="20"/>
          <w:szCs w:val="20"/>
          <w:lang w:eastAsia="et-EE"/>
        </w:rPr>
        <w:t xml:space="preserve"> </w:t>
      </w:r>
      <w:r w:rsidRPr="00C50854">
        <w:rPr>
          <w:bCs/>
          <w:sz w:val="20"/>
          <w:szCs w:val="20"/>
          <w:lang w:eastAsia="et-EE"/>
        </w:rPr>
        <w:t>-</w:t>
      </w:r>
      <w:r w:rsidR="00597030" w:rsidRPr="00C50854">
        <w:t xml:space="preserve"> </w:t>
      </w:r>
      <w:r w:rsidR="00597030" w:rsidRPr="00C50854">
        <w:rPr>
          <w:bCs/>
          <w:sz w:val="20"/>
          <w:szCs w:val="20"/>
          <w:lang w:eastAsia="et-EE"/>
        </w:rPr>
        <w:t xml:space="preserve">I </w:t>
      </w:r>
      <w:r w:rsidR="00DB6556" w:rsidRPr="00C50854">
        <w:rPr>
          <w:bCs/>
          <w:sz w:val="20"/>
          <w:szCs w:val="20"/>
          <w:lang w:eastAsia="et-EE"/>
        </w:rPr>
        <w:t>poolaasta</w:t>
      </w:r>
      <w:r w:rsidR="00597030" w:rsidRPr="00C50854">
        <w:rPr>
          <w:bCs/>
          <w:sz w:val="20"/>
          <w:szCs w:val="20"/>
          <w:lang w:eastAsia="et-EE"/>
        </w:rPr>
        <w:t xml:space="preserve"> </w:t>
      </w:r>
      <w:r w:rsidRPr="00C50854">
        <w:rPr>
          <w:bCs/>
          <w:sz w:val="20"/>
          <w:szCs w:val="20"/>
          <w:lang w:eastAsia="et-EE"/>
        </w:rPr>
        <w:t>201</w:t>
      </w:r>
      <w:r w:rsidR="00597030" w:rsidRPr="00C50854">
        <w:rPr>
          <w:bCs/>
          <w:sz w:val="20"/>
          <w:szCs w:val="20"/>
          <w:lang w:eastAsia="et-EE"/>
        </w:rPr>
        <w:t>9</w:t>
      </w:r>
      <w:r w:rsidR="00DB6556" w:rsidRPr="00C50854">
        <w:rPr>
          <w:bCs/>
          <w:sz w:val="20"/>
          <w:szCs w:val="20"/>
          <w:lang w:eastAsia="et-EE"/>
        </w:rPr>
        <w:t>.</w:t>
      </w:r>
      <w:r w:rsidR="00597030" w:rsidRPr="00C50854">
        <w:rPr>
          <w:bCs/>
          <w:sz w:val="20"/>
          <w:szCs w:val="20"/>
          <w:lang w:eastAsia="et-EE"/>
        </w:rPr>
        <w:t xml:space="preserve"> </w:t>
      </w:r>
    </w:p>
    <w:p w14:paraId="1FAAC1CA" w14:textId="7B2482D4" w:rsidR="000E0093" w:rsidRPr="00C50854" w:rsidRDefault="00F702CE"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Lairibateenuse osutamisest saadud tulude alusel on </w:t>
      </w:r>
      <w:r w:rsidR="00D02D48" w:rsidRPr="00C50854">
        <w:rPr>
          <w:lang w:eastAsia="et-EE"/>
        </w:rPr>
        <w:t xml:space="preserve">Telia </w:t>
      </w:r>
      <w:r w:rsidRPr="00C50854">
        <w:rPr>
          <w:lang w:eastAsia="et-EE"/>
        </w:rPr>
        <w:t xml:space="preserve">turuosa </w:t>
      </w:r>
      <w:r w:rsidR="004F5DE4" w:rsidRPr="00C50854">
        <w:rPr>
          <w:lang w:eastAsia="et-EE"/>
        </w:rPr>
        <w:t xml:space="preserve">stabiilselt </w:t>
      </w:r>
      <w:r w:rsidR="00AF3E4B" w:rsidRPr="00C50854">
        <w:rPr>
          <w:lang w:eastAsia="et-EE"/>
        </w:rPr>
        <w:t>…*</w:t>
      </w:r>
      <w:r w:rsidR="004F5DE4" w:rsidRPr="00C50854">
        <w:rPr>
          <w:lang w:eastAsia="et-EE"/>
        </w:rPr>
        <w:t xml:space="preserve">%  </w:t>
      </w:r>
      <w:r w:rsidR="009A587C" w:rsidRPr="00C50854">
        <w:rPr>
          <w:lang w:eastAsia="et-EE"/>
        </w:rPr>
        <w:t xml:space="preserve">(vt </w:t>
      </w:r>
      <w:r w:rsidR="002B1AAF" w:rsidRPr="00C50854">
        <w:rPr>
          <w:lang w:eastAsia="et-EE"/>
        </w:rPr>
        <w:fldChar w:fldCharType="begin"/>
      </w:r>
      <w:r w:rsidR="002B1AAF" w:rsidRPr="00C50854">
        <w:rPr>
          <w:lang w:eastAsia="et-EE"/>
        </w:rPr>
        <w:instrText xml:space="preserve"> REF _Ref346267956 \h  \* MERGEFORMAT </w:instrText>
      </w:r>
      <w:r w:rsidR="002B1AAF" w:rsidRPr="00C50854">
        <w:rPr>
          <w:lang w:eastAsia="et-EE"/>
        </w:rPr>
      </w:r>
      <w:r w:rsidR="002B1AAF" w:rsidRPr="00C50854">
        <w:rPr>
          <w:lang w:eastAsia="et-EE"/>
        </w:rPr>
        <w:fldChar w:fldCharType="separate"/>
      </w:r>
      <w:r w:rsidR="0079054B" w:rsidRPr="00C50854">
        <w:rPr>
          <w:bCs/>
          <w:szCs w:val="20"/>
          <w:lang w:eastAsia="et-EE"/>
        </w:rPr>
        <w:t xml:space="preserve">Tabel </w:t>
      </w:r>
      <w:r w:rsidR="0079054B" w:rsidRPr="00C50854">
        <w:rPr>
          <w:bCs/>
          <w:noProof/>
          <w:szCs w:val="20"/>
          <w:lang w:eastAsia="et-EE"/>
        </w:rPr>
        <w:t>10</w:t>
      </w:r>
      <w:r w:rsidR="002B1AAF" w:rsidRPr="00C50854">
        <w:rPr>
          <w:lang w:eastAsia="et-EE"/>
        </w:rPr>
        <w:fldChar w:fldCharType="end"/>
      </w:r>
      <w:r w:rsidR="009A587C" w:rsidRPr="00C50854">
        <w:rPr>
          <w:lang w:eastAsia="et-EE"/>
        </w:rPr>
        <w:t>)</w:t>
      </w:r>
      <w:r w:rsidR="00F715BA" w:rsidRPr="00C50854">
        <w:rPr>
          <w:lang w:eastAsia="et-EE"/>
        </w:rPr>
        <w:t xml:space="preserve">. </w:t>
      </w:r>
      <w:r w:rsidR="004F5DE4" w:rsidRPr="00C50854">
        <w:rPr>
          <w:lang w:eastAsia="et-EE"/>
        </w:rPr>
        <w:t>Teleteenuste</w:t>
      </w:r>
      <w:r w:rsidRPr="00C50854">
        <w:rPr>
          <w:lang w:eastAsia="et-EE"/>
        </w:rPr>
        <w:t xml:space="preserve"> </w:t>
      </w:r>
      <w:r w:rsidR="00D02D48" w:rsidRPr="00C50854">
        <w:rPr>
          <w:lang w:eastAsia="et-EE"/>
        </w:rPr>
        <w:t>turuosa</w:t>
      </w:r>
      <w:r w:rsidRPr="00C50854">
        <w:rPr>
          <w:lang w:eastAsia="et-EE"/>
        </w:rPr>
        <w:t xml:space="preserve"> </w:t>
      </w:r>
      <w:r w:rsidR="00D02D48" w:rsidRPr="00C50854">
        <w:rPr>
          <w:lang w:eastAsia="et-EE"/>
        </w:rPr>
        <w:t>on</w:t>
      </w:r>
      <w:r w:rsidRPr="00C50854">
        <w:rPr>
          <w:lang w:eastAsia="et-EE"/>
        </w:rPr>
        <w:t xml:space="preserve"> vaadeldud perioodil </w:t>
      </w:r>
      <w:r w:rsidR="00D02D48" w:rsidRPr="00C50854">
        <w:t xml:space="preserve">suurenenud </w:t>
      </w:r>
      <w:r w:rsidR="004F5DE4" w:rsidRPr="00C50854">
        <w:t>protsendi</w:t>
      </w:r>
      <w:r w:rsidR="00D02D48" w:rsidRPr="00C50854">
        <w:rPr>
          <w:lang w:eastAsia="et-EE"/>
        </w:rPr>
        <w:t xml:space="preserve"> võrra</w:t>
      </w:r>
      <w:r w:rsidR="00460B6E" w:rsidRPr="00C50854">
        <w:rPr>
          <w:lang w:eastAsia="et-EE"/>
        </w:rPr>
        <w:t>,</w:t>
      </w:r>
      <w:r w:rsidRPr="00C50854">
        <w:rPr>
          <w:lang w:eastAsia="et-EE"/>
        </w:rPr>
        <w:t xml:space="preserve"> 201</w:t>
      </w:r>
      <w:r w:rsidR="004F5DE4" w:rsidRPr="00C50854">
        <w:rPr>
          <w:lang w:eastAsia="et-EE"/>
        </w:rPr>
        <w:t>9</w:t>
      </w:r>
      <w:r w:rsidRPr="00C50854">
        <w:rPr>
          <w:lang w:eastAsia="et-EE"/>
        </w:rPr>
        <w:t xml:space="preserve">. aasta lõpuks oli </w:t>
      </w:r>
      <w:r w:rsidR="00D02D48" w:rsidRPr="00C50854">
        <w:rPr>
          <w:lang w:eastAsia="et-EE"/>
        </w:rPr>
        <w:t>see</w:t>
      </w:r>
      <w:r w:rsidRPr="00C50854">
        <w:rPr>
          <w:lang w:eastAsia="et-EE"/>
        </w:rPr>
        <w:t xml:space="preserve"> </w:t>
      </w:r>
      <w:r w:rsidR="00AF3E4B" w:rsidRPr="00C50854">
        <w:rPr>
          <w:lang w:eastAsia="et-EE"/>
        </w:rPr>
        <w:t>…*</w:t>
      </w:r>
      <w:r w:rsidRPr="00C50854">
        <w:rPr>
          <w:lang w:eastAsia="et-EE"/>
        </w:rPr>
        <w:t>%.</w:t>
      </w:r>
      <w:r w:rsidR="00F715BA" w:rsidRPr="00C50854">
        <w:rPr>
          <w:lang w:eastAsia="et-EE"/>
        </w:rPr>
        <w:t xml:space="preserve"> </w:t>
      </w:r>
      <w:r w:rsidRPr="00C50854">
        <w:rPr>
          <w:lang w:eastAsia="et-EE"/>
        </w:rPr>
        <w:t xml:space="preserve">STV turuosa on </w:t>
      </w:r>
      <w:r w:rsidR="00F962C6" w:rsidRPr="00C50854">
        <w:rPr>
          <w:lang w:eastAsia="et-EE"/>
        </w:rPr>
        <w:t>kogu perioodil olnud</w:t>
      </w:r>
      <w:r w:rsidR="00D02D48" w:rsidRPr="00C50854">
        <w:t xml:space="preserve"> </w:t>
      </w:r>
      <w:r w:rsidR="00875262" w:rsidRPr="00C50854">
        <w:t xml:space="preserve">ca </w:t>
      </w:r>
      <w:r w:rsidR="00AF3E4B" w:rsidRPr="00C50854">
        <w:t>…*</w:t>
      </w:r>
      <w:r w:rsidRPr="00C50854">
        <w:rPr>
          <w:lang w:eastAsia="et-EE"/>
        </w:rPr>
        <w:t xml:space="preserve">%. </w:t>
      </w:r>
      <w:r w:rsidR="005603F7" w:rsidRPr="00C50854">
        <w:rPr>
          <w:lang w:eastAsia="et-EE"/>
        </w:rPr>
        <w:t xml:space="preserve">Väikest </w:t>
      </w:r>
      <w:r w:rsidRPr="00C50854">
        <w:rPr>
          <w:lang w:eastAsia="et-EE"/>
        </w:rPr>
        <w:t xml:space="preserve">turuosa omavate </w:t>
      </w:r>
      <w:r w:rsidR="00F715BA" w:rsidRPr="00C50854">
        <w:rPr>
          <w:lang w:eastAsia="et-EE"/>
        </w:rPr>
        <w:t>sideettevõtjate</w:t>
      </w:r>
      <w:r w:rsidRPr="00C50854">
        <w:rPr>
          <w:lang w:eastAsia="et-EE"/>
        </w:rPr>
        <w:t xml:space="preserve"> osas </w:t>
      </w:r>
      <w:r w:rsidR="00DB6556" w:rsidRPr="00C50854">
        <w:rPr>
          <w:lang w:eastAsia="et-EE"/>
        </w:rPr>
        <w:t>(</w:t>
      </w:r>
      <w:r w:rsidR="005603F7" w:rsidRPr="00C50854">
        <w:rPr>
          <w:i/>
          <w:lang w:eastAsia="et-EE"/>
        </w:rPr>
        <w:t>Teised</w:t>
      </w:r>
      <w:r w:rsidR="00DB6556" w:rsidRPr="00C50854">
        <w:rPr>
          <w:lang w:eastAsia="et-EE"/>
        </w:rPr>
        <w:t>)</w:t>
      </w:r>
      <w:r w:rsidR="005603F7" w:rsidRPr="00C50854">
        <w:rPr>
          <w:lang w:eastAsia="et-EE"/>
        </w:rPr>
        <w:t xml:space="preserve"> </w:t>
      </w:r>
      <w:r w:rsidR="004F5DE4" w:rsidRPr="00C50854">
        <w:rPr>
          <w:lang w:eastAsia="et-EE"/>
        </w:rPr>
        <w:t xml:space="preserve">ei ole kolme aasta jooksul </w:t>
      </w:r>
      <w:r w:rsidR="00DB6556" w:rsidRPr="00C50854">
        <w:rPr>
          <w:lang w:eastAsia="et-EE"/>
        </w:rPr>
        <w:t xml:space="preserve">toimunud </w:t>
      </w:r>
      <w:r w:rsidR="004F5DE4" w:rsidRPr="00C50854">
        <w:rPr>
          <w:lang w:eastAsia="et-EE"/>
        </w:rPr>
        <w:t>muutusi</w:t>
      </w:r>
      <w:r w:rsidR="00DB6556" w:rsidRPr="00C50854">
        <w:rPr>
          <w:lang w:eastAsia="et-EE"/>
        </w:rPr>
        <w:t>, nende t</w:t>
      </w:r>
      <w:r w:rsidR="004F5DE4" w:rsidRPr="00C50854">
        <w:rPr>
          <w:lang w:eastAsia="et-EE"/>
        </w:rPr>
        <w:t xml:space="preserve">uruosa on </w:t>
      </w:r>
      <w:r w:rsidR="00AF3E4B" w:rsidRPr="00C50854">
        <w:rPr>
          <w:lang w:eastAsia="et-EE"/>
        </w:rPr>
        <w:t>…*</w:t>
      </w:r>
      <w:r w:rsidR="004F5DE4" w:rsidRPr="00C50854">
        <w:rPr>
          <w:lang w:eastAsia="et-EE"/>
        </w:rPr>
        <w:t>%.</w:t>
      </w:r>
      <w:r w:rsidRPr="00C50854">
        <w:rPr>
          <w:lang w:eastAsia="et-EE"/>
        </w:rPr>
        <w:t xml:space="preserve"> Peamiselt on see tingitud </w:t>
      </w:r>
      <w:r w:rsidR="00460B6E" w:rsidRPr="00C50854">
        <w:rPr>
          <w:lang w:eastAsia="et-EE"/>
        </w:rPr>
        <w:t xml:space="preserve">turu </w:t>
      </w:r>
      <w:r w:rsidRPr="00C50854">
        <w:rPr>
          <w:lang w:eastAsia="et-EE"/>
        </w:rPr>
        <w:t>kontsentreerumisest.</w:t>
      </w:r>
    </w:p>
    <w:tbl>
      <w:tblPr>
        <w:tblW w:w="9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459"/>
        <w:gridCol w:w="1973"/>
        <w:gridCol w:w="1973"/>
        <w:gridCol w:w="1973"/>
      </w:tblGrid>
      <w:tr w:rsidR="004F5DE4" w:rsidRPr="00C50854" w14:paraId="15291A14" w14:textId="77777777" w:rsidTr="004F5DE4">
        <w:trPr>
          <w:trHeight w:val="248"/>
        </w:trPr>
        <w:tc>
          <w:tcPr>
            <w:tcW w:w="3459" w:type="dxa"/>
            <w:shd w:val="clear" w:color="auto" w:fill="CCFFCC"/>
            <w:noWrap/>
            <w:vAlign w:val="bottom"/>
            <w:hideMark/>
          </w:tcPr>
          <w:p w14:paraId="00D8E6A5" w14:textId="77777777" w:rsidR="004F5DE4" w:rsidRPr="00C50854" w:rsidRDefault="004F5DE4" w:rsidP="004F5DE4">
            <w:pPr>
              <w:rPr>
                <w:b/>
                <w:sz w:val="20"/>
                <w:szCs w:val="20"/>
              </w:rPr>
            </w:pPr>
            <w:r w:rsidRPr="00C50854">
              <w:rPr>
                <w:b/>
                <w:sz w:val="20"/>
                <w:szCs w:val="20"/>
              </w:rPr>
              <w:t> </w:t>
            </w:r>
          </w:p>
        </w:tc>
        <w:tc>
          <w:tcPr>
            <w:tcW w:w="1973" w:type="dxa"/>
            <w:shd w:val="clear" w:color="auto" w:fill="CCFFCC"/>
            <w:noWrap/>
            <w:vAlign w:val="bottom"/>
            <w:hideMark/>
          </w:tcPr>
          <w:p w14:paraId="1C14F5F3" w14:textId="77777777" w:rsidR="004F5DE4" w:rsidRPr="00C50854" w:rsidRDefault="004F5DE4" w:rsidP="004F5DE4">
            <w:pPr>
              <w:jc w:val="right"/>
              <w:rPr>
                <w:b/>
                <w:sz w:val="20"/>
                <w:szCs w:val="20"/>
              </w:rPr>
            </w:pPr>
            <w:r w:rsidRPr="00C50854">
              <w:rPr>
                <w:b/>
                <w:sz w:val="20"/>
                <w:szCs w:val="20"/>
              </w:rPr>
              <w:t>2016</w:t>
            </w:r>
          </w:p>
        </w:tc>
        <w:tc>
          <w:tcPr>
            <w:tcW w:w="1973" w:type="dxa"/>
            <w:shd w:val="clear" w:color="auto" w:fill="CCFFCC"/>
            <w:noWrap/>
            <w:vAlign w:val="bottom"/>
            <w:hideMark/>
          </w:tcPr>
          <w:p w14:paraId="6B2C32FC" w14:textId="77777777" w:rsidR="004F5DE4" w:rsidRPr="00C50854" w:rsidRDefault="004F5DE4" w:rsidP="004F5DE4">
            <w:pPr>
              <w:jc w:val="right"/>
              <w:rPr>
                <w:b/>
                <w:sz w:val="20"/>
                <w:szCs w:val="20"/>
              </w:rPr>
            </w:pPr>
            <w:r w:rsidRPr="00C50854">
              <w:rPr>
                <w:b/>
                <w:sz w:val="20"/>
                <w:szCs w:val="20"/>
              </w:rPr>
              <w:t>2017</w:t>
            </w:r>
          </w:p>
        </w:tc>
        <w:tc>
          <w:tcPr>
            <w:tcW w:w="1973" w:type="dxa"/>
            <w:shd w:val="clear" w:color="auto" w:fill="CCFFCC"/>
            <w:noWrap/>
            <w:vAlign w:val="bottom"/>
            <w:hideMark/>
          </w:tcPr>
          <w:p w14:paraId="19ACCC5F" w14:textId="77777777" w:rsidR="004F5DE4" w:rsidRPr="00C50854" w:rsidRDefault="004F5DE4" w:rsidP="004F5DE4">
            <w:pPr>
              <w:jc w:val="right"/>
              <w:rPr>
                <w:b/>
                <w:sz w:val="20"/>
                <w:szCs w:val="20"/>
              </w:rPr>
            </w:pPr>
            <w:r w:rsidRPr="00C50854">
              <w:rPr>
                <w:b/>
                <w:sz w:val="20"/>
                <w:szCs w:val="20"/>
              </w:rPr>
              <w:t>2018</w:t>
            </w:r>
          </w:p>
        </w:tc>
      </w:tr>
      <w:tr w:rsidR="00AF3E4B" w:rsidRPr="00C50854" w14:paraId="2738FCB7" w14:textId="77777777" w:rsidTr="00754016">
        <w:trPr>
          <w:trHeight w:val="248"/>
        </w:trPr>
        <w:tc>
          <w:tcPr>
            <w:tcW w:w="3459" w:type="dxa"/>
            <w:shd w:val="clear" w:color="auto" w:fill="auto"/>
            <w:noWrap/>
            <w:vAlign w:val="bottom"/>
            <w:hideMark/>
          </w:tcPr>
          <w:p w14:paraId="64DA2244" w14:textId="77777777" w:rsidR="00AF3E4B" w:rsidRPr="00C50854" w:rsidRDefault="00AF3E4B" w:rsidP="00AF3E4B">
            <w:pPr>
              <w:rPr>
                <w:b/>
                <w:sz w:val="20"/>
                <w:szCs w:val="20"/>
              </w:rPr>
            </w:pPr>
            <w:r w:rsidRPr="00C50854">
              <w:rPr>
                <w:b/>
                <w:sz w:val="20"/>
                <w:szCs w:val="20"/>
              </w:rPr>
              <w:t>Telia</w:t>
            </w:r>
          </w:p>
        </w:tc>
        <w:tc>
          <w:tcPr>
            <w:tcW w:w="1973" w:type="dxa"/>
            <w:shd w:val="clear" w:color="auto" w:fill="auto"/>
            <w:noWrap/>
            <w:hideMark/>
          </w:tcPr>
          <w:p w14:paraId="1F6182F7" w14:textId="736D0EDE" w:rsidR="00AF3E4B" w:rsidRPr="00C50854" w:rsidRDefault="00AF3E4B" w:rsidP="00AF3E4B">
            <w:pPr>
              <w:jc w:val="right"/>
              <w:rPr>
                <w:sz w:val="20"/>
                <w:szCs w:val="20"/>
              </w:rPr>
            </w:pPr>
            <w:r w:rsidRPr="00C50854">
              <w:rPr>
                <w:sz w:val="20"/>
                <w:szCs w:val="20"/>
              </w:rPr>
              <w:t>...*%</w:t>
            </w:r>
          </w:p>
        </w:tc>
        <w:tc>
          <w:tcPr>
            <w:tcW w:w="1973" w:type="dxa"/>
            <w:shd w:val="clear" w:color="auto" w:fill="auto"/>
            <w:noWrap/>
            <w:hideMark/>
          </w:tcPr>
          <w:p w14:paraId="7AEA05A9" w14:textId="2CE0E006" w:rsidR="00AF3E4B" w:rsidRPr="00C50854" w:rsidRDefault="00AF3E4B" w:rsidP="00AF3E4B">
            <w:pPr>
              <w:jc w:val="right"/>
              <w:rPr>
                <w:sz w:val="20"/>
                <w:szCs w:val="20"/>
              </w:rPr>
            </w:pPr>
            <w:r w:rsidRPr="00C50854">
              <w:rPr>
                <w:sz w:val="20"/>
                <w:szCs w:val="20"/>
              </w:rPr>
              <w:t>...*%</w:t>
            </w:r>
          </w:p>
        </w:tc>
        <w:tc>
          <w:tcPr>
            <w:tcW w:w="1973" w:type="dxa"/>
            <w:shd w:val="clear" w:color="auto" w:fill="auto"/>
            <w:noWrap/>
            <w:hideMark/>
          </w:tcPr>
          <w:p w14:paraId="7EE80C9E" w14:textId="083039AF" w:rsidR="00AF3E4B" w:rsidRPr="00C50854" w:rsidRDefault="00AF3E4B" w:rsidP="00AF3E4B">
            <w:pPr>
              <w:jc w:val="right"/>
              <w:rPr>
                <w:sz w:val="20"/>
                <w:szCs w:val="20"/>
              </w:rPr>
            </w:pPr>
            <w:r w:rsidRPr="00C50854">
              <w:rPr>
                <w:sz w:val="20"/>
                <w:szCs w:val="20"/>
              </w:rPr>
              <w:t>...*%</w:t>
            </w:r>
          </w:p>
        </w:tc>
      </w:tr>
      <w:tr w:rsidR="00AF3E4B" w:rsidRPr="00C50854" w14:paraId="12CED40B" w14:textId="77777777" w:rsidTr="00754016">
        <w:trPr>
          <w:trHeight w:val="248"/>
        </w:trPr>
        <w:tc>
          <w:tcPr>
            <w:tcW w:w="3459" w:type="dxa"/>
            <w:shd w:val="clear" w:color="auto" w:fill="auto"/>
            <w:noWrap/>
            <w:vAlign w:val="bottom"/>
            <w:hideMark/>
          </w:tcPr>
          <w:p w14:paraId="5043C0EF" w14:textId="3421E4F7" w:rsidR="00AF3E4B" w:rsidRPr="00C50854" w:rsidRDefault="00AF3E4B" w:rsidP="00AF3E4B">
            <w:pPr>
              <w:rPr>
                <w:b/>
                <w:sz w:val="20"/>
                <w:szCs w:val="20"/>
              </w:rPr>
            </w:pPr>
            <w:r w:rsidRPr="00C50854">
              <w:rPr>
                <w:b/>
                <w:sz w:val="20"/>
                <w:szCs w:val="20"/>
              </w:rPr>
              <w:t>Teleteenused</w:t>
            </w:r>
          </w:p>
        </w:tc>
        <w:tc>
          <w:tcPr>
            <w:tcW w:w="1973" w:type="dxa"/>
            <w:shd w:val="clear" w:color="auto" w:fill="auto"/>
            <w:noWrap/>
            <w:hideMark/>
          </w:tcPr>
          <w:p w14:paraId="524D8377" w14:textId="6D9A3F7E" w:rsidR="00AF3E4B" w:rsidRPr="00C50854" w:rsidRDefault="00AF3E4B" w:rsidP="00AF3E4B">
            <w:pPr>
              <w:jc w:val="right"/>
              <w:rPr>
                <w:sz w:val="20"/>
                <w:szCs w:val="20"/>
              </w:rPr>
            </w:pPr>
            <w:r w:rsidRPr="00C50854">
              <w:rPr>
                <w:sz w:val="20"/>
                <w:szCs w:val="20"/>
              </w:rPr>
              <w:t>...*%</w:t>
            </w:r>
          </w:p>
        </w:tc>
        <w:tc>
          <w:tcPr>
            <w:tcW w:w="1973" w:type="dxa"/>
            <w:shd w:val="clear" w:color="auto" w:fill="auto"/>
            <w:noWrap/>
            <w:hideMark/>
          </w:tcPr>
          <w:p w14:paraId="02B942A0" w14:textId="5C1A4A60" w:rsidR="00AF3E4B" w:rsidRPr="00C50854" w:rsidRDefault="00AF3E4B" w:rsidP="00AF3E4B">
            <w:pPr>
              <w:jc w:val="right"/>
              <w:rPr>
                <w:sz w:val="20"/>
                <w:szCs w:val="20"/>
              </w:rPr>
            </w:pPr>
            <w:r w:rsidRPr="00C50854">
              <w:rPr>
                <w:sz w:val="20"/>
                <w:szCs w:val="20"/>
              </w:rPr>
              <w:t>...*%</w:t>
            </w:r>
          </w:p>
        </w:tc>
        <w:tc>
          <w:tcPr>
            <w:tcW w:w="1973" w:type="dxa"/>
            <w:shd w:val="clear" w:color="auto" w:fill="auto"/>
            <w:noWrap/>
            <w:hideMark/>
          </w:tcPr>
          <w:p w14:paraId="183DB82A" w14:textId="4EEAF78A" w:rsidR="00AF3E4B" w:rsidRPr="00C50854" w:rsidRDefault="00AF3E4B" w:rsidP="00AF3E4B">
            <w:pPr>
              <w:jc w:val="right"/>
              <w:rPr>
                <w:sz w:val="20"/>
                <w:szCs w:val="20"/>
              </w:rPr>
            </w:pPr>
            <w:r w:rsidRPr="00C50854">
              <w:rPr>
                <w:sz w:val="20"/>
                <w:szCs w:val="20"/>
              </w:rPr>
              <w:t>...*%</w:t>
            </w:r>
          </w:p>
        </w:tc>
      </w:tr>
      <w:tr w:rsidR="00AF3E4B" w:rsidRPr="00C50854" w14:paraId="20D3AEB4" w14:textId="77777777" w:rsidTr="00754016">
        <w:trPr>
          <w:trHeight w:val="248"/>
        </w:trPr>
        <w:tc>
          <w:tcPr>
            <w:tcW w:w="3459" w:type="dxa"/>
            <w:shd w:val="clear" w:color="auto" w:fill="auto"/>
            <w:noWrap/>
            <w:vAlign w:val="bottom"/>
            <w:hideMark/>
          </w:tcPr>
          <w:p w14:paraId="23A957A1" w14:textId="77777777" w:rsidR="00AF3E4B" w:rsidRPr="00C50854" w:rsidRDefault="00AF3E4B" w:rsidP="00AF3E4B">
            <w:pPr>
              <w:rPr>
                <w:b/>
                <w:sz w:val="20"/>
                <w:szCs w:val="20"/>
              </w:rPr>
            </w:pPr>
            <w:r w:rsidRPr="00C50854">
              <w:rPr>
                <w:b/>
                <w:sz w:val="20"/>
                <w:szCs w:val="20"/>
              </w:rPr>
              <w:t>STV</w:t>
            </w:r>
          </w:p>
        </w:tc>
        <w:tc>
          <w:tcPr>
            <w:tcW w:w="1973" w:type="dxa"/>
            <w:shd w:val="clear" w:color="auto" w:fill="auto"/>
            <w:noWrap/>
            <w:hideMark/>
          </w:tcPr>
          <w:p w14:paraId="329386B8" w14:textId="2055A1F2" w:rsidR="00AF3E4B" w:rsidRPr="00C50854" w:rsidRDefault="00AF3E4B" w:rsidP="00AF3E4B">
            <w:pPr>
              <w:jc w:val="right"/>
              <w:rPr>
                <w:sz w:val="20"/>
                <w:szCs w:val="20"/>
              </w:rPr>
            </w:pPr>
            <w:r w:rsidRPr="00C50854">
              <w:rPr>
                <w:sz w:val="20"/>
                <w:szCs w:val="20"/>
              </w:rPr>
              <w:t>...*%</w:t>
            </w:r>
          </w:p>
        </w:tc>
        <w:tc>
          <w:tcPr>
            <w:tcW w:w="1973" w:type="dxa"/>
            <w:shd w:val="clear" w:color="auto" w:fill="auto"/>
            <w:noWrap/>
            <w:hideMark/>
          </w:tcPr>
          <w:p w14:paraId="60A40268" w14:textId="6EB0FED9" w:rsidR="00AF3E4B" w:rsidRPr="00C50854" w:rsidRDefault="00AF3E4B" w:rsidP="00AF3E4B">
            <w:pPr>
              <w:jc w:val="right"/>
              <w:rPr>
                <w:sz w:val="20"/>
                <w:szCs w:val="20"/>
              </w:rPr>
            </w:pPr>
            <w:r w:rsidRPr="00C50854">
              <w:rPr>
                <w:sz w:val="20"/>
                <w:szCs w:val="20"/>
              </w:rPr>
              <w:t>...*%</w:t>
            </w:r>
          </w:p>
        </w:tc>
        <w:tc>
          <w:tcPr>
            <w:tcW w:w="1973" w:type="dxa"/>
            <w:shd w:val="clear" w:color="auto" w:fill="auto"/>
            <w:noWrap/>
            <w:hideMark/>
          </w:tcPr>
          <w:p w14:paraId="0EFD2727" w14:textId="29F3289A" w:rsidR="00AF3E4B" w:rsidRPr="00C50854" w:rsidRDefault="00AF3E4B" w:rsidP="00AF3E4B">
            <w:pPr>
              <w:jc w:val="right"/>
              <w:rPr>
                <w:sz w:val="20"/>
                <w:szCs w:val="20"/>
              </w:rPr>
            </w:pPr>
            <w:r w:rsidRPr="00C50854">
              <w:rPr>
                <w:sz w:val="20"/>
                <w:szCs w:val="20"/>
              </w:rPr>
              <w:t>...*%</w:t>
            </w:r>
          </w:p>
        </w:tc>
      </w:tr>
      <w:tr w:rsidR="00AF3E4B" w:rsidRPr="00C50854" w14:paraId="3891ED91" w14:textId="77777777" w:rsidTr="00754016">
        <w:trPr>
          <w:trHeight w:val="248"/>
        </w:trPr>
        <w:tc>
          <w:tcPr>
            <w:tcW w:w="3459" w:type="dxa"/>
            <w:shd w:val="clear" w:color="auto" w:fill="auto"/>
            <w:noWrap/>
            <w:vAlign w:val="bottom"/>
            <w:hideMark/>
          </w:tcPr>
          <w:p w14:paraId="73E1F752" w14:textId="773EF92C" w:rsidR="00AF3E4B" w:rsidRPr="00C50854" w:rsidRDefault="00AF3E4B" w:rsidP="00AF3E4B">
            <w:pPr>
              <w:rPr>
                <w:b/>
                <w:sz w:val="20"/>
                <w:szCs w:val="20"/>
              </w:rPr>
            </w:pPr>
            <w:r w:rsidRPr="00C50854">
              <w:rPr>
                <w:b/>
                <w:sz w:val="20"/>
                <w:szCs w:val="20"/>
              </w:rPr>
              <w:t>Teised</w:t>
            </w:r>
          </w:p>
        </w:tc>
        <w:tc>
          <w:tcPr>
            <w:tcW w:w="1973" w:type="dxa"/>
            <w:shd w:val="clear" w:color="auto" w:fill="auto"/>
            <w:noWrap/>
            <w:hideMark/>
          </w:tcPr>
          <w:p w14:paraId="3ED9ED04" w14:textId="7F005FF3" w:rsidR="00AF3E4B" w:rsidRPr="00C50854" w:rsidRDefault="00AF3E4B" w:rsidP="00AF3E4B">
            <w:pPr>
              <w:jc w:val="right"/>
              <w:rPr>
                <w:sz w:val="20"/>
                <w:szCs w:val="20"/>
              </w:rPr>
            </w:pPr>
            <w:r w:rsidRPr="00C50854">
              <w:rPr>
                <w:sz w:val="20"/>
                <w:szCs w:val="20"/>
              </w:rPr>
              <w:t>...*%</w:t>
            </w:r>
          </w:p>
        </w:tc>
        <w:tc>
          <w:tcPr>
            <w:tcW w:w="1973" w:type="dxa"/>
            <w:shd w:val="clear" w:color="auto" w:fill="auto"/>
            <w:noWrap/>
            <w:hideMark/>
          </w:tcPr>
          <w:p w14:paraId="49667F67" w14:textId="5071856F" w:rsidR="00AF3E4B" w:rsidRPr="00C50854" w:rsidRDefault="00AF3E4B" w:rsidP="00AF3E4B">
            <w:pPr>
              <w:jc w:val="right"/>
              <w:rPr>
                <w:sz w:val="20"/>
                <w:szCs w:val="20"/>
              </w:rPr>
            </w:pPr>
            <w:r w:rsidRPr="00C50854">
              <w:rPr>
                <w:sz w:val="20"/>
                <w:szCs w:val="20"/>
              </w:rPr>
              <w:t>...*%</w:t>
            </w:r>
          </w:p>
        </w:tc>
        <w:tc>
          <w:tcPr>
            <w:tcW w:w="1973" w:type="dxa"/>
            <w:shd w:val="clear" w:color="auto" w:fill="auto"/>
            <w:noWrap/>
            <w:hideMark/>
          </w:tcPr>
          <w:p w14:paraId="7C328129" w14:textId="17826115" w:rsidR="00AF3E4B" w:rsidRPr="00C50854" w:rsidRDefault="00AF3E4B" w:rsidP="00AF3E4B">
            <w:pPr>
              <w:jc w:val="right"/>
              <w:rPr>
                <w:sz w:val="20"/>
                <w:szCs w:val="20"/>
              </w:rPr>
            </w:pPr>
            <w:r w:rsidRPr="00C50854">
              <w:rPr>
                <w:sz w:val="20"/>
                <w:szCs w:val="20"/>
              </w:rPr>
              <w:t>...*%</w:t>
            </w:r>
          </w:p>
        </w:tc>
      </w:tr>
      <w:tr w:rsidR="004F5DE4" w:rsidRPr="00C50854" w14:paraId="49375478" w14:textId="77777777" w:rsidTr="004F5DE4">
        <w:trPr>
          <w:trHeight w:val="248"/>
        </w:trPr>
        <w:tc>
          <w:tcPr>
            <w:tcW w:w="3459" w:type="dxa"/>
            <w:shd w:val="clear" w:color="auto" w:fill="auto"/>
            <w:noWrap/>
            <w:vAlign w:val="bottom"/>
            <w:hideMark/>
          </w:tcPr>
          <w:p w14:paraId="3B67FABD" w14:textId="77777777" w:rsidR="004F5DE4" w:rsidRPr="00C50854" w:rsidRDefault="004F5DE4" w:rsidP="004F5DE4">
            <w:pPr>
              <w:rPr>
                <w:b/>
                <w:sz w:val="20"/>
                <w:szCs w:val="20"/>
              </w:rPr>
            </w:pPr>
            <w:r w:rsidRPr="00C50854">
              <w:rPr>
                <w:b/>
                <w:sz w:val="20"/>
                <w:szCs w:val="20"/>
              </w:rPr>
              <w:t>Kokku</w:t>
            </w:r>
          </w:p>
        </w:tc>
        <w:tc>
          <w:tcPr>
            <w:tcW w:w="1973" w:type="dxa"/>
            <w:shd w:val="clear" w:color="auto" w:fill="auto"/>
            <w:noWrap/>
            <w:vAlign w:val="bottom"/>
            <w:hideMark/>
          </w:tcPr>
          <w:p w14:paraId="1F0AF2D0" w14:textId="77777777" w:rsidR="004F5DE4" w:rsidRPr="00C50854" w:rsidRDefault="004F5DE4" w:rsidP="004F5DE4">
            <w:pPr>
              <w:jc w:val="right"/>
              <w:rPr>
                <w:b/>
                <w:sz w:val="20"/>
                <w:szCs w:val="20"/>
              </w:rPr>
            </w:pPr>
            <w:r w:rsidRPr="00C50854">
              <w:rPr>
                <w:b/>
                <w:sz w:val="20"/>
                <w:szCs w:val="20"/>
              </w:rPr>
              <w:t>100%</w:t>
            </w:r>
          </w:p>
        </w:tc>
        <w:tc>
          <w:tcPr>
            <w:tcW w:w="1973" w:type="dxa"/>
            <w:shd w:val="clear" w:color="auto" w:fill="auto"/>
            <w:noWrap/>
            <w:vAlign w:val="bottom"/>
            <w:hideMark/>
          </w:tcPr>
          <w:p w14:paraId="0211DA5A" w14:textId="77777777" w:rsidR="004F5DE4" w:rsidRPr="00C50854" w:rsidRDefault="004F5DE4" w:rsidP="004F5DE4">
            <w:pPr>
              <w:jc w:val="right"/>
              <w:rPr>
                <w:b/>
                <w:sz w:val="20"/>
                <w:szCs w:val="20"/>
              </w:rPr>
            </w:pPr>
            <w:r w:rsidRPr="00C50854">
              <w:rPr>
                <w:b/>
                <w:sz w:val="20"/>
                <w:szCs w:val="20"/>
              </w:rPr>
              <w:t>100%</w:t>
            </w:r>
          </w:p>
        </w:tc>
        <w:tc>
          <w:tcPr>
            <w:tcW w:w="1973" w:type="dxa"/>
            <w:shd w:val="clear" w:color="auto" w:fill="auto"/>
            <w:noWrap/>
            <w:vAlign w:val="bottom"/>
            <w:hideMark/>
          </w:tcPr>
          <w:p w14:paraId="01F2586F" w14:textId="77777777" w:rsidR="004F5DE4" w:rsidRPr="00C50854" w:rsidRDefault="004F5DE4" w:rsidP="004F5DE4">
            <w:pPr>
              <w:jc w:val="right"/>
              <w:rPr>
                <w:b/>
                <w:sz w:val="20"/>
                <w:szCs w:val="20"/>
              </w:rPr>
            </w:pPr>
            <w:r w:rsidRPr="00C50854">
              <w:rPr>
                <w:b/>
                <w:sz w:val="20"/>
                <w:szCs w:val="20"/>
              </w:rPr>
              <w:t>100%</w:t>
            </w:r>
          </w:p>
        </w:tc>
      </w:tr>
    </w:tbl>
    <w:p w14:paraId="55C99D7C" w14:textId="484CD990" w:rsidR="00F702CE" w:rsidRPr="00C50854" w:rsidRDefault="00F702CE" w:rsidP="00F702CE">
      <w:pPr>
        <w:keepNext/>
        <w:suppressAutoHyphens w:val="0"/>
        <w:spacing w:before="120" w:after="120"/>
        <w:rPr>
          <w:bCs/>
          <w:sz w:val="20"/>
          <w:szCs w:val="20"/>
          <w:lang w:eastAsia="et-EE"/>
        </w:rPr>
      </w:pPr>
      <w:bookmarkStart w:id="216" w:name="_Ref346267956"/>
      <w:r w:rsidRPr="00C50854">
        <w:rPr>
          <w:b/>
          <w:bCs/>
          <w:sz w:val="20"/>
          <w:szCs w:val="20"/>
          <w:lang w:eastAsia="et-EE"/>
        </w:rPr>
        <w:t xml:space="preserve">Tabel </w:t>
      </w:r>
      <w:r w:rsidR="00341D2F" w:rsidRPr="00C50854">
        <w:rPr>
          <w:b/>
          <w:bCs/>
          <w:sz w:val="20"/>
          <w:szCs w:val="20"/>
          <w:lang w:eastAsia="et-EE"/>
        </w:rPr>
        <w:fldChar w:fldCharType="begin"/>
      </w:r>
      <w:r w:rsidR="00341D2F" w:rsidRPr="00C50854">
        <w:rPr>
          <w:b/>
          <w:bCs/>
          <w:sz w:val="20"/>
          <w:szCs w:val="20"/>
          <w:lang w:eastAsia="et-EE"/>
        </w:rPr>
        <w:instrText xml:space="preserve"> SEQ Tabel \* ARABIC </w:instrText>
      </w:r>
      <w:r w:rsidR="00341D2F" w:rsidRPr="00C50854">
        <w:rPr>
          <w:b/>
          <w:bCs/>
          <w:sz w:val="20"/>
          <w:szCs w:val="20"/>
          <w:lang w:eastAsia="et-EE"/>
        </w:rPr>
        <w:fldChar w:fldCharType="separate"/>
      </w:r>
      <w:r w:rsidR="00D24389" w:rsidRPr="00C50854">
        <w:rPr>
          <w:b/>
          <w:bCs/>
          <w:noProof/>
          <w:sz w:val="20"/>
          <w:szCs w:val="20"/>
          <w:lang w:eastAsia="et-EE"/>
        </w:rPr>
        <w:t>10</w:t>
      </w:r>
      <w:r w:rsidR="00341D2F" w:rsidRPr="00C50854">
        <w:rPr>
          <w:b/>
          <w:bCs/>
          <w:sz w:val="20"/>
          <w:szCs w:val="20"/>
          <w:lang w:eastAsia="et-EE"/>
        </w:rPr>
        <w:fldChar w:fldCharType="end"/>
      </w:r>
      <w:bookmarkEnd w:id="216"/>
      <w:r w:rsidRPr="00C50854">
        <w:rPr>
          <w:b/>
          <w:bCs/>
          <w:sz w:val="20"/>
          <w:szCs w:val="20"/>
          <w:lang w:eastAsia="et-EE"/>
        </w:rPr>
        <w:t xml:space="preserve">. </w:t>
      </w:r>
      <w:r w:rsidRPr="00C50854">
        <w:rPr>
          <w:bCs/>
          <w:sz w:val="20"/>
          <w:szCs w:val="20"/>
          <w:lang w:eastAsia="et-EE"/>
        </w:rPr>
        <w:t>Lairibateenuse osutajate turuosa jagunemine lairibateenuse tulude alusel 20</w:t>
      </w:r>
      <w:r w:rsidR="0002098E" w:rsidRPr="00C50854">
        <w:rPr>
          <w:bCs/>
          <w:sz w:val="20"/>
          <w:szCs w:val="20"/>
          <w:lang w:eastAsia="et-EE"/>
        </w:rPr>
        <w:t>1</w:t>
      </w:r>
      <w:r w:rsidR="004F5DE4" w:rsidRPr="00C50854">
        <w:rPr>
          <w:bCs/>
          <w:sz w:val="20"/>
          <w:szCs w:val="20"/>
          <w:lang w:eastAsia="et-EE"/>
        </w:rPr>
        <w:t>6</w:t>
      </w:r>
      <w:r w:rsidRPr="00C50854">
        <w:rPr>
          <w:bCs/>
          <w:sz w:val="20"/>
          <w:szCs w:val="20"/>
          <w:lang w:eastAsia="et-EE"/>
        </w:rPr>
        <w:t xml:space="preserve"> - 201</w:t>
      </w:r>
      <w:r w:rsidR="004F5DE4" w:rsidRPr="00C50854">
        <w:rPr>
          <w:bCs/>
          <w:sz w:val="20"/>
          <w:szCs w:val="20"/>
          <w:lang w:eastAsia="et-EE"/>
        </w:rPr>
        <w:t>8</w:t>
      </w:r>
    </w:p>
    <w:p w14:paraId="32AB8D64" w14:textId="0A1913EB" w:rsidR="00F702CE" w:rsidRPr="00C50854" w:rsidRDefault="00F702CE"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Konkurentsiolukorra muudatusena võib esile tuua tarbijaharjumuste olulise muutuse. Sideteenuste lõppkasutajad tarbivad üha enam erinevaid teenuseid paketina (lairibateenus, telefoniteenus, </w:t>
      </w:r>
      <w:r w:rsidR="005D6264" w:rsidRPr="00C50854">
        <w:rPr>
          <w:lang w:eastAsia="et-EE"/>
        </w:rPr>
        <w:t>TV-</w:t>
      </w:r>
      <w:r w:rsidRPr="00C50854">
        <w:rPr>
          <w:lang w:eastAsia="et-EE"/>
        </w:rPr>
        <w:t>teenus, mobiiltelefoniteenus), mistõttu on üha populaarsemad sideteenuste komplekslahendused, kus ühe kuutasu eest tarbitakse vähemalt kahte</w:t>
      </w:r>
      <w:r w:rsidR="00460B6E" w:rsidRPr="00C50854">
        <w:rPr>
          <w:lang w:eastAsia="et-EE"/>
        </w:rPr>
        <w:t xml:space="preserve">  või enamat</w:t>
      </w:r>
      <w:r w:rsidRPr="00C50854">
        <w:rPr>
          <w:lang w:eastAsia="et-EE"/>
        </w:rPr>
        <w:t xml:space="preserve"> sideteenust.</w:t>
      </w:r>
    </w:p>
    <w:p w14:paraId="7A5C0C04" w14:textId="11A9F0E3" w:rsidR="00F702CE" w:rsidRPr="00C50854" w:rsidRDefault="00F702CE" w:rsidP="00311E1F">
      <w:pPr>
        <w:numPr>
          <w:ilvl w:val="0"/>
          <w:numId w:val="13"/>
        </w:numPr>
        <w:suppressAutoHyphens w:val="0"/>
        <w:autoSpaceDE w:val="0"/>
        <w:autoSpaceDN w:val="0"/>
        <w:adjustRightInd w:val="0"/>
        <w:spacing w:before="120" w:after="120"/>
        <w:jc w:val="both"/>
        <w:rPr>
          <w:lang w:eastAsia="et-EE"/>
        </w:rPr>
      </w:pPr>
      <w:r w:rsidRPr="00C50854">
        <w:rPr>
          <w:lang w:eastAsia="et-EE"/>
        </w:rPr>
        <w:t>201</w:t>
      </w:r>
      <w:r w:rsidR="009E16E8" w:rsidRPr="00C50854">
        <w:rPr>
          <w:lang w:eastAsia="et-EE"/>
        </w:rPr>
        <w:t>9</w:t>
      </w:r>
      <w:r w:rsidRPr="00C50854">
        <w:rPr>
          <w:lang w:eastAsia="et-EE"/>
        </w:rPr>
        <w:t xml:space="preserve">. aasta I </w:t>
      </w:r>
      <w:r w:rsidR="009E16E8" w:rsidRPr="00C50854">
        <w:rPr>
          <w:lang w:eastAsia="et-EE"/>
        </w:rPr>
        <w:t>poolaasta</w:t>
      </w:r>
      <w:r w:rsidRPr="00C50854">
        <w:rPr>
          <w:lang w:eastAsia="et-EE"/>
        </w:rPr>
        <w:t xml:space="preserve"> seisuga kasutas ligi </w:t>
      </w:r>
      <w:r w:rsidR="00732839" w:rsidRPr="00C50854">
        <w:rPr>
          <w:lang w:eastAsia="et-EE"/>
        </w:rPr>
        <w:t>95</w:t>
      </w:r>
      <w:r w:rsidRPr="00C50854">
        <w:rPr>
          <w:lang w:eastAsia="et-EE"/>
        </w:rPr>
        <w:t>% lairibateenuse lõppk</w:t>
      </w:r>
      <w:r w:rsidR="005D6264" w:rsidRPr="00C50854">
        <w:rPr>
          <w:lang w:eastAsia="et-EE"/>
        </w:rPr>
        <w:t xml:space="preserve">asutajatest komplekslahendust, mis </w:t>
      </w:r>
      <w:r w:rsidRPr="00C50854">
        <w:rPr>
          <w:lang w:eastAsia="et-EE"/>
        </w:rPr>
        <w:t>võrreldes üksiklahendustega on üldjuhul oma hinna ja tingimuste poolest atraktiivsemad.</w:t>
      </w:r>
    </w:p>
    <w:p w14:paraId="3845FBBA" w14:textId="68ACC44E" w:rsidR="00F702CE" w:rsidRPr="00C50854" w:rsidRDefault="00F702CE" w:rsidP="00311E1F">
      <w:pPr>
        <w:numPr>
          <w:ilvl w:val="0"/>
          <w:numId w:val="13"/>
        </w:numPr>
        <w:suppressAutoHyphens w:val="0"/>
        <w:autoSpaceDE w:val="0"/>
        <w:autoSpaceDN w:val="0"/>
        <w:adjustRightInd w:val="0"/>
        <w:spacing w:before="120" w:after="120"/>
        <w:jc w:val="both"/>
        <w:rPr>
          <w:lang w:eastAsia="et-EE"/>
        </w:rPr>
      </w:pPr>
      <w:r w:rsidRPr="00C50854">
        <w:rPr>
          <w:lang w:eastAsia="et-EE"/>
        </w:rPr>
        <w:t>Suuremad elektroonilis</w:t>
      </w:r>
      <w:r w:rsidR="002F1C71" w:rsidRPr="00C50854">
        <w:rPr>
          <w:lang w:eastAsia="et-EE"/>
        </w:rPr>
        <w:t>e</w:t>
      </w:r>
      <w:r w:rsidRPr="00C50854">
        <w:rPr>
          <w:lang w:eastAsia="et-EE"/>
        </w:rPr>
        <w:t xml:space="preserve"> side</w:t>
      </w:r>
      <w:r w:rsidR="002F1C71" w:rsidRPr="00C50854">
        <w:rPr>
          <w:lang w:eastAsia="et-EE"/>
        </w:rPr>
        <w:t xml:space="preserve"> </w:t>
      </w:r>
      <w:r w:rsidRPr="00C50854">
        <w:rPr>
          <w:lang w:eastAsia="et-EE"/>
        </w:rPr>
        <w:t xml:space="preserve">teenuseid pakkuvad teenuseosutajad võimaldavad </w:t>
      </w:r>
      <w:r w:rsidR="002A5D20" w:rsidRPr="00C50854">
        <w:rPr>
          <w:lang w:eastAsia="et-EE"/>
        </w:rPr>
        <w:t>lõppkasutaja</w:t>
      </w:r>
      <w:r w:rsidRPr="00C50854">
        <w:rPr>
          <w:lang w:eastAsia="et-EE"/>
        </w:rPr>
        <w:t xml:space="preserve">l vastavalt </w:t>
      </w:r>
      <w:r w:rsidR="002A5D20" w:rsidRPr="00C50854">
        <w:rPr>
          <w:lang w:eastAsia="et-EE"/>
        </w:rPr>
        <w:t>lõppkasutaja</w:t>
      </w:r>
      <w:r w:rsidR="00CE6D2D" w:rsidRPr="00C50854">
        <w:rPr>
          <w:lang w:eastAsia="et-EE"/>
        </w:rPr>
        <w:t xml:space="preserve"> </w:t>
      </w:r>
      <w:r w:rsidRPr="00C50854">
        <w:rPr>
          <w:lang w:eastAsia="et-EE"/>
        </w:rPr>
        <w:t xml:space="preserve">vajadustele </w:t>
      </w:r>
      <w:r w:rsidR="00CE6D2D" w:rsidRPr="00C50854">
        <w:rPr>
          <w:lang w:eastAsia="et-EE"/>
        </w:rPr>
        <w:t>koostada neile sobiva</w:t>
      </w:r>
      <w:r w:rsidR="004F0BBF" w:rsidRPr="00C50854">
        <w:rPr>
          <w:lang w:eastAsia="et-EE"/>
        </w:rPr>
        <w:t>i</w:t>
      </w:r>
      <w:r w:rsidR="00CE6D2D" w:rsidRPr="00C50854">
        <w:rPr>
          <w:lang w:eastAsia="et-EE"/>
        </w:rPr>
        <w:t>d</w:t>
      </w:r>
      <w:r w:rsidRPr="00C50854">
        <w:rPr>
          <w:lang w:eastAsia="et-EE"/>
        </w:rPr>
        <w:t xml:space="preserve"> kompleksteenuse </w:t>
      </w:r>
      <w:r w:rsidR="004F0BBF" w:rsidRPr="00C50854">
        <w:rPr>
          <w:lang w:eastAsia="et-EE"/>
        </w:rPr>
        <w:t>pakette</w:t>
      </w:r>
      <w:r w:rsidRPr="00C50854">
        <w:rPr>
          <w:lang w:eastAsia="et-EE"/>
        </w:rPr>
        <w:t xml:space="preserve">. </w:t>
      </w:r>
      <w:r w:rsidR="002A5D20" w:rsidRPr="00C50854">
        <w:rPr>
          <w:lang w:eastAsia="et-EE"/>
        </w:rPr>
        <w:t>Lõppkasutaja</w:t>
      </w:r>
      <w:r w:rsidRPr="00C50854">
        <w:rPr>
          <w:lang w:eastAsia="et-EE"/>
        </w:rPr>
        <w:t xml:space="preserve">l on võimalik valida erinevate lairibateenuse kiiruste ja </w:t>
      </w:r>
      <w:r w:rsidR="00967584" w:rsidRPr="00C50854">
        <w:rPr>
          <w:lang w:eastAsia="et-EE"/>
        </w:rPr>
        <w:t>TV</w:t>
      </w:r>
      <w:r w:rsidRPr="00C50854">
        <w:rPr>
          <w:lang w:eastAsia="et-EE"/>
        </w:rPr>
        <w:t xml:space="preserve"> kanalite arvu </w:t>
      </w:r>
      <w:r w:rsidR="00967584" w:rsidRPr="00C50854">
        <w:rPr>
          <w:lang w:eastAsia="et-EE"/>
        </w:rPr>
        <w:t>ning teiste lisateenuste (sh kõnete</w:t>
      </w:r>
      <w:r w:rsidR="004F0BBF" w:rsidRPr="00C50854">
        <w:rPr>
          <w:lang w:eastAsia="et-EE"/>
        </w:rPr>
        <w:t>e</w:t>
      </w:r>
      <w:r w:rsidR="00967584" w:rsidRPr="00C50854">
        <w:rPr>
          <w:lang w:eastAsia="et-EE"/>
        </w:rPr>
        <w:t xml:space="preserve">nuste) </w:t>
      </w:r>
      <w:r w:rsidRPr="00C50854">
        <w:rPr>
          <w:lang w:eastAsia="et-EE"/>
        </w:rPr>
        <w:t>vahel.</w:t>
      </w:r>
    </w:p>
    <w:p w14:paraId="6FD6D53A" w14:textId="618814FD" w:rsidR="00F702CE" w:rsidRPr="00C50854" w:rsidRDefault="00F702CE"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Kuna väikesed teenuseosutajad osutavad üldjuhul ainult lairibateenust ning </w:t>
      </w:r>
      <w:r w:rsidR="00967584" w:rsidRPr="00C50854">
        <w:rPr>
          <w:lang w:eastAsia="et-EE"/>
        </w:rPr>
        <w:t xml:space="preserve">ei </w:t>
      </w:r>
      <w:r w:rsidRPr="00C50854">
        <w:rPr>
          <w:lang w:eastAsia="et-EE"/>
        </w:rPr>
        <w:t>suu</w:t>
      </w:r>
      <w:r w:rsidR="00967584" w:rsidRPr="00C50854">
        <w:rPr>
          <w:lang w:eastAsia="et-EE"/>
        </w:rPr>
        <w:t>da</w:t>
      </w:r>
      <w:r w:rsidRPr="00C50854">
        <w:rPr>
          <w:lang w:eastAsia="et-EE"/>
        </w:rPr>
        <w:t xml:space="preserve"> </w:t>
      </w:r>
      <w:r w:rsidR="002A5D20" w:rsidRPr="00C50854">
        <w:rPr>
          <w:lang w:eastAsia="et-EE"/>
        </w:rPr>
        <w:t>lõppkasutaja</w:t>
      </w:r>
      <w:r w:rsidR="005C32EE" w:rsidRPr="00C50854">
        <w:rPr>
          <w:lang w:eastAsia="et-EE"/>
        </w:rPr>
        <w:t xml:space="preserve">tele </w:t>
      </w:r>
      <w:r w:rsidR="00967584" w:rsidRPr="00C50854">
        <w:rPr>
          <w:lang w:eastAsia="et-EE"/>
        </w:rPr>
        <w:t xml:space="preserve">pakkuda </w:t>
      </w:r>
      <w:r w:rsidRPr="00C50854">
        <w:rPr>
          <w:lang w:eastAsia="et-EE"/>
        </w:rPr>
        <w:t>sideteenuseid paketina,</w:t>
      </w:r>
      <w:r w:rsidR="00967584" w:rsidRPr="00C50854">
        <w:rPr>
          <w:lang w:eastAsia="et-EE"/>
        </w:rPr>
        <w:t xml:space="preserve"> siis</w:t>
      </w:r>
      <w:r w:rsidRPr="00C50854">
        <w:rPr>
          <w:lang w:eastAsia="et-EE"/>
        </w:rPr>
        <w:t xml:space="preserve"> nende konkurentsivõime turul langeb ning nad kaotavad oma turuosa (st </w:t>
      </w:r>
      <w:r w:rsidR="00F57059" w:rsidRPr="00C50854">
        <w:rPr>
          <w:lang w:eastAsia="et-EE"/>
        </w:rPr>
        <w:t>lõppkasutaja</w:t>
      </w:r>
      <w:r w:rsidRPr="00C50854">
        <w:rPr>
          <w:lang w:eastAsia="et-EE"/>
        </w:rPr>
        <w:t>id) s</w:t>
      </w:r>
      <w:r w:rsidR="005C32EE" w:rsidRPr="00C50854">
        <w:rPr>
          <w:lang w:eastAsia="et-EE"/>
        </w:rPr>
        <w:t>uurematele ettevõtjatele. Tarbijaharjumuste muutuste tõttu</w:t>
      </w:r>
      <w:r w:rsidRPr="00C50854">
        <w:rPr>
          <w:lang w:eastAsia="et-EE"/>
        </w:rPr>
        <w:t xml:space="preserve"> kasutab üha rohkem </w:t>
      </w:r>
      <w:r w:rsidR="00F57059" w:rsidRPr="00C50854">
        <w:rPr>
          <w:lang w:eastAsia="et-EE"/>
        </w:rPr>
        <w:t>lõppkasutaja</w:t>
      </w:r>
      <w:r w:rsidRPr="00C50854">
        <w:rPr>
          <w:lang w:eastAsia="et-EE"/>
        </w:rPr>
        <w:t>id suure</w:t>
      </w:r>
      <w:r w:rsidR="005C32EE" w:rsidRPr="00C50854">
        <w:rPr>
          <w:lang w:eastAsia="et-EE"/>
        </w:rPr>
        <w:t xml:space="preserve">mate sideettevõtjate teenuseid ning </w:t>
      </w:r>
      <w:r w:rsidRPr="00C50854">
        <w:rPr>
          <w:lang w:eastAsia="et-EE"/>
        </w:rPr>
        <w:t>väiksemad sideettevõtjad kas lahkuvad turult või muutuvad marginaalseteks teenuseosutajateks.</w:t>
      </w:r>
    </w:p>
    <w:p w14:paraId="0E16807C" w14:textId="4360C1C2" w:rsidR="00AE692A" w:rsidRPr="00C50854" w:rsidRDefault="002C0C92" w:rsidP="00311E1F">
      <w:pPr>
        <w:pStyle w:val="Loendilik"/>
        <w:numPr>
          <w:ilvl w:val="0"/>
          <w:numId w:val="13"/>
        </w:numPr>
        <w:jc w:val="both"/>
        <w:rPr>
          <w:lang w:eastAsia="et-EE"/>
        </w:rPr>
      </w:pPr>
      <w:bookmarkStart w:id="217" w:name="_Ref463610038"/>
      <w:bookmarkStart w:id="218" w:name="_Ref463535930"/>
      <w:r w:rsidRPr="00C50854">
        <w:rPr>
          <w:lang w:eastAsia="et-EE"/>
        </w:rPr>
        <w:t xml:space="preserve">Telia omab turuanalüüsi kaasatud ettevõtjatest ainsana suuremat osa Eestit katvast ülekande- ja juurdepääsuvõrgust. Teised turuanalüüsi kaasatud teenuseosutajad omavad kaabellevivõrgul, </w:t>
      </w:r>
      <w:r w:rsidR="000226E1" w:rsidRPr="00C50854">
        <w:rPr>
          <w:lang w:eastAsia="et-EE"/>
        </w:rPr>
        <w:t xml:space="preserve">vaskkaablil </w:t>
      </w:r>
      <w:r w:rsidRPr="00C50854">
        <w:rPr>
          <w:lang w:eastAsia="et-EE"/>
        </w:rPr>
        <w:t>või valguskaablil põhinevaid ülekande- ja/või juurdepääsuvõrke, kuid need on lokaalse ulatusega.</w:t>
      </w:r>
      <w:bookmarkEnd w:id="217"/>
      <w:r w:rsidRPr="00C50854">
        <w:rPr>
          <w:lang w:eastAsia="et-EE"/>
        </w:rPr>
        <w:t xml:space="preserve"> </w:t>
      </w:r>
    </w:p>
    <w:p w14:paraId="71F603C5" w14:textId="77777777" w:rsidR="00AE692A" w:rsidRPr="00C50854" w:rsidRDefault="00AE692A">
      <w:pPr>
        <w:suppressAutoHyphens w:val="0"/>
        <w:rPr>
          <w:lang w:eastAsia="et-EE"/>
        </w:rPr>
      </w:pPr>
      <w:r w:rsidRPr="00C50854">
        <w:rPr>
          <w:lang w:eastAsia="et-EE"/>
        </w:rPr>
        <w:br w:type="page"/>
      </w:r>
    </w:p>
    <w:tbl>
      <w:tblPr>
        <w:tblW w:w="974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195"/>
        <w:gridCol w:w="1118"/>
        <w:gridCol w:w="955"/>
        <w:gridCol w:w="810"/>
        <w:gridCol w:w="1118"/>
        <w:gridCol w:w="955"/>
        <w:gridCol w:w="810"/>
        <w:gridCol w:w="1118"/>
        <w:gridCol w:w="955"/>
        <w:gridCol w:w="715"/>
      </w:tblGrid>
      <w:tr w:rsidR="00AB27AE" w:rsidRPr="00C50854" w14:paraId="2A79CFB9" w14:textId="77777777" w:rsidTr="00AE692A">
        <w:trPr>
          <w:trHeight w:val="433"/>
          <w:jc w:val="center"/>
        </w:trPr>
        <w:tc>
          <w:tcPr>
            <w:tcW w:w="1195" w:type="dxa"/>
            <w:shd w:val="clear" w:color="auto" w:fill="CCFFCC"/>
            <w:noWrap/>
            <w:vAlign w:val="bottom"/>
            <w:hideMark/>
          </w:tcPr>
          <w:p w14:paraId="7A259D6C" w14:textId="5B8F4799" w:rsidR="00AB27AE" w:rsidRPr="00C50854" w:rsidRDefault="00D24178" w:rsidP="00541AA4">
            <w:pPr>
              <w:suppressAutoHyphens w:val="0"/>
              <w:spacing w:after="240"/>
              <w:rPr>
                <w:b/>
                <w:color w:val="000000"/>
                <w:sz w:val="20"/>
                <w:szCs w:val="20"/>
                <w:lang w:eastAsia="et-EE"/>
              </w:rPr>
            </w:pPr>
            <w:r w:rsidRPr="00C50854">
              <w:rPr>
                <w:lang w:eastAsia="et-EE"/>
              </w:rPr>
              <w:lastRenderedPageBreak/>
              <w:br w:type="page"/>
            </w:r>
            <w:r w:rsidR="00AB27AE" w:rsidRPr="00C50854">
              <w:rPr>
                <w:b/>
                <w:color w:val="000000"/>
                <w:sz w:val="20"/>
                <w:szCs w:val="20"/>
                <w:lang w:eastAsia="et-EE"/>
              </w:rPr>
              <w:t>Ettevõtja</w:t>
            </w:r>
          </w:p>
        </w:tc>
        <w:tc>
          <w:tcPr>
            <w:tcW w:w="2883" w:type="dxa"/>
            <w:gridSpan w:val="3"/>
            <w:shd w:val="clear" w:color="auto" w:fill="CCFFCC"/>
            <w:noWrap/>
            <w:vAlign w:val="bottom"/>
            <w:hideMark/>
          </w:tcPr>
          <w:p w14:paraId="492420EB" w14:textId="18C78910" w:rsidR="00AB27AE" w:rsidRPr="00C50854" w:rsidRDefault="00AB27AE" w:rsidP="00AB27AE">
            <w:pPr>
              <w:suppressAutoHyphens w:val="0"/>
              <w:jc w:val="center"/>
              <w:rPr>
                <w:b/>
                <w:color w:val="000000"/>
                <w:sz w:val="20"/>
                <w:szCs w:val="20"/>
                <w:lang w:eastAsia="et-EE"/>
              </w:rPr>
            </w:pPr>
            <w:r w:rsidRPr="00C50854">
              <w:rPr>
                <w:b/>
                <w:color w:val="000000"/>
                <w:sz w:val="20"/>
                <w:szCs w:val="20"/>
                <w:lang w:eastAsia="et-EE"/>
              </w:rPr>
              <w:t>Kokku suured linnad 201</w:t>
            </w:r>
            <w:r w:rsidR="00261B57" w:rsidRPr="00C50854">
              <w:rPr>
                <w:b/>
                <w:color w:val="000000"/>
                <w:sz w:val="20"/>
                <w:szCs w:val="20"/>
                <w:lang w:eastAsia="et-EE"/>
              </w:rPr>
              <w:t>6</w:t>
            </w:r>
            <w:r w:rsidRPr="00C50854">
              <w:rPr>
                <w:b/>
                <w:color w:val="000000"/>
                <w:sz w:val="20"/>
                <w:szCs w:val="20"/>
                <w:lang w:eastAsia="et-EE"/>
              </w:rPr>
              <w:t>. a</w:t>
            </w:r>
          </w:p>
          <w:p w14:paraId="7B268EF5" w14:textId="2DB4A187" w:rsidR="00AB27AE" w:rsidRPr="00C50854" w:rsidRDefault="00AB27AE" w:rsidP="00541AA4">
            <w:pPr>
              <w:suppressAutoHyphens w:val="0"/>
              <w:rPr>
                <w:b/>
                <w:color w:val="000000"/>
                <w:sz w:val="20"/>
                <w:szCs w:val="20"/>
                <w:lang w:eastAsia="et-EE"/>
              </w:rPr>
            </w:pPr>
          </w:p>
        </w:tc>
        <w:tc>
          <w:tcPr>
            <w:tcW w:w="2883" w:type="dxa"/>
            <w:gridSpan w:val="3"/>
            <w:shd w:val="clear" w:color="auto" w:fill="CCFFCC"/>
            <w:noWrap/>
            <w:vAlign w:val="bottom"/>
            <w:hideMark/>
          </w:tcPr>
          <w:p w14:paraId="6268B7A7" w14:textId="2D0A812A" w:rsidR="00AB27AE" w:rsidRPr="00C50854" w:rsidRDefault="00AB27AE" w:rsidP="00AB27AE">
            <w:pPr>
              <w:suppressAutoHyphens w:val="0"/>
              <w:jc w:val="center"/>
              <w:rPr>
                <w:b/>
                <w:color w:val="000000"/>
                <w:sz w:val="20"/>
                <w:szCs w:val="20"/>
                <w:lang w:eastAsia="et-EE"/>
              </w:rPr>
            </w:pPr>
            <w:r w:rsidRPr="00C50854">
              <w:rPr>
                <w:b/>
                <w:color w:val="000000"/>
                <w:sz w:val="20"/>
                <w:szCs w:val="20"/>
                <w:lang w:eastAsia="et-EE"/>
              </w:rPr>
              <w:t>Kokku suured linnad 201</w:t>
            </w:r>
            <w:r w:rsidR="00261B57" w:rsidRPr="00C50854">
              <w:rPr>
                <w:b/>
                <w:color w:val="000000"/>
                <w:sz w:val="20"/>
                <w:szCs w:val="20"/>
                <w:lang w:eastAsia="et-EE"/>
              </w:rPr>
              <w:t>7</w:t>
            </w:r>
            <w:r w:rsidRPr="00C50854">
              <w:rPr>
                <w:b/>
                <w:color w:val="000000"/>
                <w:sz w:val="20"/>
                <w:szCs w:val="20"/>
                <w:lang w:eastAsia="et-EE"/>
              </w:rPr>
              <w:t>. a</w:t>
            </w:r>
          </w:p>
          <w:p w14:paraId="02D2FB76" w14:textId="650F90CB" w:rsidR="00AB27AE" w:rsidRPr="00C50854" w:rsidRDefault="00AB27AE" w:rsidP="00AB27AE">
            <w:pPr>
              <w:suppressAutoHyphens w:val="0"/>
              <w:jc w:val="center"/>
              <w:rPr>
                <w:b/>
                <w:color w:val="000000"/>
                <w:sz w:val="20"/>
                <w:szCs w:val="20"/>
                <w:lang w:eastAsia="et-EE"/>
              </w:rPr>
            </w:pPr>
          </w:p>
        </w:tc>
        <w:tc>
          <w:tcPr>
            <w:tcW w:w="2788" w:type="dxa"/>
            <w:gridSpan w:val="3"/>
            <w:shd w:val="clear" w:color="auto" w:fill="CCFFCC"/>
            <w:noWrap/>
            <w:vAlign w:val="bottom"/>
            <w:hideMark/>
          </w:tcPr>
          <w:p w14:paraId="3F730BDA" w14:textId="21E05A38" w:rsidR="00AB27AE" w:rsidRPr="00C50854" w:rsidRDefault="00AB27AE" w:rsidP="00AB27AE">
            <w:pPr>
              <w:suppressAutoHyphens w:val="0"/>
              <w:jc w:val="center"/>
              <w:rPr>
                <w:b/>
                <w:color w:val="000000"/>
                <w:sz w:val="20"/>
                <w:szCs w:val="20"/>
                <w:lang w:eastAsia="et-EE"/>
              </w:rPr>
            </w:pPr>
            <w:r w:rsidRPr="00C50854">
              <w:rPr>
                <w:b/>
                <w:color w:val="000000"/>
                <w:sz w:val="20"/>
                <w:szCs w:val="20"/>
                <w:lang w:eastAsia="et-EE"/>
              </w:rPr>
              <w:t>Kokku suured linnad 201</w:t>
            </w:r>
            <w:r w:rsidR="00261B57" w:rsidRPr="00C50854">
              <w:rPr>
                <w:b/>
                <w:color w:val="000000"/>
                <w:sz w:val="20"/>
                <w:szCs w:val="20"/>
                <w:lang w:eastAsia="et-EE"/>
              </w:rPr>
              <w:t>8</w:t>
            </w:r>
            <w:r w:rsidRPr="00C50854">
              <w:rPr>
                <w:b/>
                <w:color w:val="000000"/>
                <w:sz w:val="20"/>
                <w:szCs w:val="20"/>
                <w:lang w:eastAsia="et-EE"/>
              </w:rPr>
              <w:t>. a</w:t>
            </w:r>
          </w:p>
          <w:p w14:paraId="0DDB207B" w14:textId="534F1608" w:rsidR="00AB27AE" w:rsidRPr="00C50854" w:rsidRDefault="00AB27AE" w:rsidP="00AB27AE">
            <w:pPr>
              <w:suppressAutoHyphens w:val="0"/>
              <w:jc w:val="center"/>
              <w:rPr>
                <w:b/>
                <w:color w:val="000000"/>
                <w:sz w:val="20"/>
                <w:szCs w:val="20"/>
                <w:lang w:eastAsia="et-EE"/>
              </w:rPr>
            </w:pPr>
          </w:p>
        </w:tc>
      </w:tr>
      <w:tr w:rsidR="00AB27AE" w:rsidRPr="00C50854" w14:paraId="0F841CB5" w14:textId="77777777" w:rsidTr="00AE692A">
        <w:trPr>
          <w:trHeight w:val="262"/>
          <w:jc w:val="center"/>
        </w:trPr>
        <w:tc>
          <w:tcPr>
            <w:tcW w:w="1195" w:type="dxa"/>
            <w:shd w:val="clear" w:color="auto" w:fill="auto"/>
            <w:noWrap/>
            <w:vAlign w:val="bottom"/>
            <w:hideMark/>
          </w:tcPr>
          <w:p w14:paraId="1E22B929" w14:textId="77777777" w:rsidR="00AB27AE" w:rsidRPr="00C50854" w:rsidRDefault="00AB27AE" w:rsidP="00AB27AE">
            <w:pPr>
              <w:suppressAutoHyphens w:val="0"/>
              <w:rPr>
                <w:color w:val="000000"/>
                <w:sz w:val="20"/>
                <w:szCs w:val="20"/>
                <w:lang w:eastAsia="et-EE"/>
              </w:rPr>
            </w:pPr>
            <w:r w:rsidRPr="00C50854">
              <w:rPr>
                <w:color w:val="000000"/>
                <w:sz w:val="20"/>
                <w:szCs w:val="20"/>
                <w:lang w:eastAsia="et-EE"/>
              </w:rPr>
              <w:t> </w:t>
            </w:r>
          </w:p>
        </w:tc>
        <w:tc>
          <w:tcPr>
            <w:tcW w:w="1118" w:type="dxa"/>
            <w:shd w:val="clear" w:color="auto" w:fill="auto"/>
            <w:noWrap/>
            <w:vAlign w:val="bottom"/>
            <w:hideMark/>
          </w:tcPr>
          <w:p w14:paraId="35262247"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Ühenduste arv</w:t>
            </w:r>
          </w:p>
        </w:tc>
        <w:tc>
          <w:tcPr>
            <w:tcW w:w="955" w:type="dxa"/>
            <w:shd w:val="clear" w:color="auto" w:fill="auto"/>
            <w:noWrap/>
            <w:vAlign w:val="bottom"/>
            <w:hideMark/>
          </w:tcPr>
          <w:p w14:paraId="12FDC31B"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Klientide arv</w:t>
            </w:r>
          </w:p>
        </w:tc>
        <w:tc>
          <w:tcPr>
            <w:tcW w:w="810" w:type="dxa"/>
            <w:shd w:val="clear" w:color="auto" w:fill="auto"/>
            <w:noWrap/>
            <w:vAlign w:val="bottom"/>
            <w:hideMark/>
          </w:tcPr>
          <w:p w14:paraId="2C3296F6"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Tulud</w:t>
            </w:r>
          </w:p>
        </w:tc>
        <w:tc>
          <w:tcPr>
            <w:tcW w:w="1118" w:type="dxa"/>
            <w:shd w:val="clear" w:color="auto" w:fill="auto"/>
            <w:noWrap/>
            <w:vAlign w:val="bottom"/>
            <w:hideMark/>
          </w:tcPr>
          <w:p w14:paraId="2BD61F07"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Ühenduste arv</w:t>
            </w:r>
          </w:p>
        </w:tc>
        <w:tc>
          <w:tcPr>
            <w:tcW w:w="955" w:type="dxa"/>
            <w:shd w:val="clear" w:color="auto" w:fill="auto"/>
            <w:noWrap/>
            <w:vAlign w:val="bottom"/>
            <w:hideMark/>
          </w:tcPr>
          <w:p w14:paraId="50712A35"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Klientide arv</w:t>
            </w:r>
          </w:p>
        </w:tc>
        <w:tc>
          <w:tcPr>
            <w:tcW w:w="810" w:type="dxa"/>
            <w:shd w:val="clear" w:color="auto" w:fill="auto"/>
            <w:noWrap/>
            <w:vAlign w:val="bottom"/>
            <w:hideMark/>
          </w:tcPr>
          <w:p w14:paraId="206D04DA"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Tulud</w:t>
            </w:r>
          </w:p>
        </w:tc>
        <w:tc>
          <w:tcPr>
            <w:tcW w:w="1118" w:type="dxa"/>
            <w:shd w:val="clear" w:color="auto" w:fill="auto"/>
            <w:noWrap/>
            <w:vAlign w:val="bottom"/>
            <w:hideMark/>
          </w:tcPr>
          <w:p w14:paraId="115FF19F"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Ühenduste arv</w:t>
            </w:r>
          </w:p>
        </w:tc>
        <w:tc>
          <w:tcPr>
            <w:tcW w:w="955" w:type="dxa"/>
            <w:shd w:val="clear" w:color="auto" w:fill="auto"/>
            <w:noWrap/>
            <w:vAlign w:val="bottom"/>
            <w:hideMark/>
          </w:tcPr>
          <w:p w14:paraId="28C50CBF"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Klientide arv</w:t>
            </w:r>
          </w:p>
        </w:tc>
        <w:tc>
          <w:tcPr>
            <w:tcW w:w="715" w:type="dxa"/>
            <w:shd w:val="clear" w:color="auto" w:fill="auto"/>
            <w:noWrap/>
            <w:vAlign w:val="bottom"/>
            <w:hideMark/>
          </w:tcPr>
          <w:p w14:paraId="2A86C6C4"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Tulud</w:t>
            </w:r>
          </w:p>
        </w:tc>
      </w:tr>
      <w:tr w:rsidR="00AF3E4B" w:rsidRPr="00C50854" w14:paraId="585E9D01" w14:textId="77777777" w:rsidTr="00AE692A">
        <w:trPr>
          <w:trHeight w:val="262"/>
          <w:jc w:val="center"/>
        </w:trPr>
        <w:tc>
          <w:tcPr>
            <w:tcW w:w="1195" w:type="dxa"/>
            <w:shd w:val="clear" w:color="auto" w:fill="auto"/>
            <w:noWrap/>
            <w:vAlign w:val="bottom"/>
            <w:hideMark/>
          </w:tcPr>
          <w:p w14:paraId="5A4DF483" w14:textId="77777777" w:rsidR="00AF3E4B" w:rsidRPr="00C50854" w:rsidRDefault="00AF3E4B" w:rsidP="00AF3E4B">
            <w:pPr>
              <w:suppressAutoHyphens w:val="0"/>
              <w:rPr>
                <w:color w:val="000000"/>
                <w:sz w:val="20"/>
                <w:szCs w:val="20"/>
                <w:lang w:eastAsia="et-EE"/>
              </w:rPr>
            </w:pPr>
            <w:r w:rsidRPr="00C50854">
              <w:rPr>
                <w:color w:val="000000"/>
                <w:sz w:val="20"/>
                <w:szCs w:val="20"/>
                <w:lang w:eastAsia="et-EE"/>
              </w:rPr>
              <w:t>Telia</w:t>
            </w:r>
          </w:p>
        </w:tc>
        <w:tc>
          <w:tcPr>
            <w:tcW w:w="1118" w:type="dxa"/>
            <w:shd w:val="clear" w:color="auto" w:fill="auto"/>
            <w:noWrap/>
            <w:hideMark/>
          </w:tcPr>
          <w:p w14:paraId="7BAA3E99" w14:textId="54E4922A" w:rsidR="00AF3E4B" w:rsidRPr="00C50854" w:rsidRDefault="00AF3E4B" w:rsidP="00AF3E4B">
            <w:pPr>
              <w:suppressAutoHyphens w:val="0"/>
              <w:jc w:val="center"/>
              <w:rPr>
                <w:color w:val="000000"/>
                <w:sz w:val="20"/>
                <w:szCs w:val="20"/>
              </w:rPr>
            </w:pPr>
            <w:r w:rsidRPr="00C50854">
              <w:rPr>
                <w:sz w:val="20"/>
                <w:szCs w:val="20"/>
              </w:rPr>
              <w:t>...*%</w:t>
            </w:r>
          </w:p>
        </w:tc>
        <w:tc>
          <w:tcPr>
            <w:tcW w:w="955" w:type="dxa"/>
            <w:shd w:val="clear" w:color="auto" w:fill="auto"/>
            <w:noWrap/>
            <w:hideMark/>
          </w:tcPr>
          <w:p w14:paraId="4D305AD5" w14:textId="595DEC20" w:rsidR="00AF3E4B" w:rsidRPr="00C50854" w:rsidRDefault="00AF3E4B" w:rsidP="00AF3E4B">
            <w:pPr>
              <w:suppressAutoHyphens w:val="0"/>
              <w:jc w:val="center"/>
              <w:rPr>
                <w:color w:val="000000"/>
                <w:sz w:val="20"/>
                <w:szCs w:val="20"/>
              </w:rPr>
            </w:pPr>
            <w:r w:rsidRPr="00C50854">
              <w:rPr>
                <w:sz w:val="20"/>
                <w:szCs w:val="20"/>
              </w:rPr>
              <w:t>45%</w:t>
            </w:r>
          </w:p>
        </w:tc>
        <w:tc>
          <w:tcPr>
            <w:tcW w:w="810" w:type="dxa"/>
            <w:shd w:val="clear" w:color="auto" w:fill="auto"/>
            <w:noWrap/>
            <w:hideMark/>
          </w:tcPr>
          <w:p w14:paraId="531982E8" w14:textId="7FDDCEA6" w:rsidR="00AF3E4B" w:rsidRPr="00C50854" w:rsidRDefault="00AF3E4B" w:rsidP="00AF3E4B">
            <w:pPr>
              <w:suppressAutoHyphens w:val="0"/>
              <w:jc w:val="center"/>
              <w:rPr>
                <w:color w:val="000000"/>
                <w:sz w:val="20"/>
                <w:szCs w:val="20"/>
              </w:rPr>
            </w:pPr>
            <w:r w:rsidRPr="00C50854">
              <w:rPr>
                <w:sz w:val="20"/>
                <w:szCs w:val="20"/>
              </w:rPr>
              <w:t>...*%</w:t>
            </w:r>
          </w:p>
        </w:tc>
        <w:tc>
          <w:tcPr>
            <w:tcW w:w="1118" w:type="dxa"/>
            <w:shd w:val="clear" w:color="auto" w:fill="auto"/>
            <w:noWrap/>
            <w:hideMark/>
          </w:tcPr>
          <w:p w14:paraId="14BFDCD8" w14:textId="27A528F7" w:rsidR="00AF3E4B" w:rsidRPr="00C50854" w:rsidRDefault="00AF3E4B" w:rsidP="00AF3E4B">
            <w:pPr>
              <w:suppressAutoHyphens w:val="0"/>
              <w:rPr>
                <w:color w:val="000000"/>
                <w:sz w:val="20"/>
                <w:szCs w:val="20"/>
              </w:rPr>
            </w:pPr>
            <w:r w:rsidRPr="00C50854">
              <w:rPr>
                <w:sz w:val="20"/>
                <w:szCs w:val="20"/>
              </w:rPr>
              <w:t>...*%</w:t>
            </w:r>
          </w:p>
        </w:tc>
        <w:tc>
          <w:tcPr>
            <w:tcW w:w="955" w:type="dxa"/>
            <w:shd w:val="clear" w:color="auto" w:fill="auto"/>
            <w:noWrap/>
            <w:hideMark/>
          </w:tcPr>
          <w:p w14:paraId="1F8806CA" w14:textId="32461E44" w:rsidR="00AF3E4B" w:rsidRPr="00C50854" w:rsidRDefault="00AF3E4B" w:rsidP="00AF3E4B">
            <w:pPr>
              <w:suppressAutoHyphens w:val="0"/>
              <w:jc w:val="center"/>
              <w:rPr>
                <w:color w:val="000000"/>
                <w:sz w:val="20"/>
                <w:szCs w:val="20"/>
              </w:rPr>
            </w:pPr>
            <w:r w:rsidRPr="00C50854">
              <w:rPr>
                <w:sz w:val="20"/>
                <w:szCs w:val="20"/>
              </w:rPr>
              <w:t>45%</w:t>
            </w:r>
          </w:p>
        </w:tc>
        <w:tc>
          <w:tcPr>
            <w:tcW w:w="810" w:type="dxa"/>
            <w:shd w:val="clear" w:color="auto" w:fill="auto"/>
            <w:noWrap/>
            <w:hideMark/>
          </w:tcPr>
          <w:p w14:paraId="40792F53" w14:textId="50FFFB36" w:rsidR="00AF3E4B" w:rsidRPr="00C50854" w:rsidRDefault="00AF3E4B" w:rsidP="00AF3E4B">
            <w:pPr>
              <w:suppressAutoHyphens w:val="0"/>
              <w:jc w:val="center"/>
              <w:rPr>
                <w:color w:val="000000"/>
                <w:sz w:val="20"/>
                <w:szCs w:val="20"/>
              </w:rPr>
            </w:pPr>
            <w:r w:rsidRPr="00C50854">
              <w:rPr>
                <w:sz w:val="20"/>
                <w:szCs w:val="20"/>
              </w:rPr>
              <w:t>...*%</w:t>
            </w:r>
          </w:p>
        </w:tc>
        <w:tc>
          <w:tcPr>
            <w:tcW w:w="1118" w:type="dxa"/>
            <w:shd w:val="clear" w:color="auto" w:fill="auto"/>
            <w:noWrap/>
            <w:hideMark/>
          </w:tcPr>
          <w:p w14:paraId="041968FC" w14:textId="738E35B4" w:rsidR="00AF3E4B" w:rsidRPr="00C50854" w:rsidRDefault="00AF3E4B" w:rsidP="00AF3E4B">
            <w:pPr>
              <w:suppressAutoHyphens w:val="0"/>
              <w:jc w:val="center"/>
              <w:rPr>
                <w:color w:val="000000"/>
                <w:sz w:val="20"/>
                <w:szCs w:val="20"/>
              </w:rPr>
            </w:pPr>
            <w:r w:rsidRPr="00C50854">
              <w:rPr>
                <w:sz w:val="20"/>
                <w:szCs w:val="20"/>
              </w:rPr>
              <w:t>...*%</w:t>
            </w:r>
          </w:p>
        </w:tc>
        <w:tc>
          <w:tcPr>
            <w:tcW w:w="955" w:type="dxa"/>
            <w:shd w:val="clear" w:color="auto" w:fill="auto"/>
            <w:noWrap/>
            <w:hideMark/>
          </w:tcPr>
          <w:p w14:paraId="5DDD3940" w14:textId="7A2275A8" w:rsidR="00AF3E4B" w:rsidRPr="00C50854" w:rsidRDefault="00AF3E4B" w:rsidP="00AF3E4B">
            <w:pPr>
              <w:suppressAutoHyphens w:val="0"/>
              <w:jc w:val="center"/>
              <w:rPr>
                <w:color w:val="000000"/>
                <w:sz w:val="20"/>
                <w:szCs w:val="20"/>
              </w:rPr>
            </w:pPr>
            <w:r w:rsidRPr="00C50854">
              <w:rPr>
                <w:sz w:val="20"/>
                <w:szCs w:val="20"/>
              </w:rPr>
              <w:t>45%</w:t>
            </w:r>
          </w:p>
        </w:tc>
        <w:tc>
          <w:tcPr>
            <w:tcW w:w="715" w:type="dxa"/>
            <w:shd w:val="clear" w:color="auto" w:fill="auto"/>
            <w:noWrap/>
            <w:hideMark/>
          </w:tcPr>
          <w:p w14:paraId="0AEA44D0" w14:textId="7B4FABFE" w:rsidR="00AF3E4B" w:rsidRPr="00C50854" w:rsidRDefault="00AF3E4B" w:rsidP="00AF3E4B">
            <w:pPr>
              <w:suppressAutoHyphens w:val="0"/>
              <w:jc w:val="center"/>
              <w:rPr>
                <w:color w:val="000000"/>
                <w:sz w:val="20"/>
                <w:szCs w:val="20"/>
              </w:rPr>
            </w:pPr>
            <w:r w:rsidRPr="00C50854">
              <w:rPr>
                <w:sz w:val="20"/>
                <w:szCs w:val="20"/>
              </w:rPr>
              <w:t>...*%</w:t>
            </w:r>
          </w:p>
        </w:tc>
      </w:tr>
      <w:tr w:rsidR="00AF3E4B" w:rsidRPr="00C50854" w14:paraId="5C3C0145" w14:textId="77777777" w:rsidTr="00AE692A">
        <w:trPr>
          <w:trHeight w:val="262"/>
          <w:jc w:val="center"/>
        </w:trPr>
        <w:tc>
          <w:tcPr>
            <w:tcW w:w="1195" w:type="dxa"/>
            <w:shd w:val="clear" w:color="auto" w:fill="auto"/>
            <w:noWrap/>
            <w:vAlign w:val="bottom"/>
            <w:hideMark/>
          </w:tcPr>
          <w:p w14:paraId="40BA071B" w14:textId="194DA92C" w:rsidR="00AF3E4B" w:rsidRPr="00C50854" w:rsidRDefault="00AF3E4B" w:rsidP="00AF3E4B">
            <w:pPr>
              <w:suppressAutoHyphens w:val="0"/>
              <w:rPr>
                <w:color w:val="000000"/>
                <w:sz w:val="20"/>
                <w:szCs w:val="20"/>
                <w:lang w:eastAsia="et-EE"/>
              </w:rPr>
            </w:pPr>
            <w:r w:rsidRPr="00C50854">
              <w:rPr>
                <w:color w:val="000000"/>
                <w:sz w:val="20"/>
                <w:szCs w:val="20"/>
                <w:lang w:eastAsia="et-EE"/>
              </w:rPr>
              <w:t>Teleteenused</w:t>
            </w:r>
          </w:p>
        </w:tc>
        <w:tc>
          <w:tcPr>
            <w:tcW w:w="1118" w:type="dxa"/>
            <w:shd w:val="clear" w:color="auto" w:fill="auto"/>
            <w:noWrap/>
            <w:hideMark/>
          </w:tcPr>
          <w:p w14:paraId="3BAF652F" w14:textId="0AF5966F" w:rsidR="00AF3E4B" w:rsidRPr="00C50854" w:rsidRDefault="00AF3E4B" w:rsidP="00AF3E4B">
            <w:pPr>
              <w:suppressAutoHyphens w:val="0"/>
              <w:jc w:val="center"/>
              <w:rPr>
                <w:color w:val="000000"/>
                <w:sz w:val="20"/>
                <w:szCs w:val="20"/>
              </w:rPr>
            </w:pPr>
            <w:r w:rsidRPr="00C50854">
              <w:rPr>
                <w:sz w:val="20"/>
                <w:szCs w:val="20"/>
              </w:rPr>
              <w:t>...*%</w:t>
            </w:r>
          </w:p>
        </w:tc>
        <w:tc>
          <w:tcPr>
            <w:tcW w:w="955" w:type="dxa"/>
            <w:shd w:val="clear" w:color="auto" w:fill="auto"/>
            <w:noWrap/>
            <w:hideMark/>
          </w:tcPr>
          <w:p w14:paraId="52C995C3" w14:textId="3CA641A4" w:rsidR="00AF3E4B" w:rsidRPr="00C50854" w:rsidRDefault="00AF3E4B" w:rsidP="00AF3E4B">
            <w:pPr>
              <w:suppressAutoHyphens w:val="0"/>
              <w:jc w:val="center"/>
              <w:rPr>
                <w:color w:val="000000"/>
                <w:sz w:val="20"/>
                <w:szCs w:val="20"/>
              </w:rPr>
            </w:pPr>
            <w:r w:rsidRPr="00C50854">
              <w:rPr>
                <w:sz w:val="20"/>
                <w:szCs w:val="20"/>
              </w:rPr>
              <w:t>28%</w:t>
            </w:r>
          </w:p>
        </w:tc>
        <w:tc>
          <w:tcPr>
            <w:tcW w:w="810" w:type="dxa"/>
            <w:shd w:val="clear" w:color="auto" w:fill="auto"/>
            <w:noWrap/>
            <w:hideMark/>
          </w:tcPr>
          <w:p w14:paraId="1A8343F1" w14:textId="6D937FAA" w:rsidR="00AF3E4B" w:rsidRPr="00C50854" w:rsidRDefault="00AF3E4B" w:rsidP="00AF3E4B">
            <w:pPr>
              <w:suppressAutoHyphens w:val="0"/>
              <w:jc w:val="center"/>
              <w:rPr>
                <w:color w:val="000000"/>
                <w:sz w:val="20"/>
                <w:szCs w:val="20"/>
              </w:rPr>
            </w:pPr>
            <w:r w:rsidRPr="00C50854">
              <w:rPr>
                <w:sz w:val="20"/>
                <w:szCs w:val="20"/>
              </w:rPr>
              <w:t>...*%</w:t>
            </w:r>
          </w:p>
        </w:tc>
        <w:tc>
          <w:tcPr>
            <w:tcW w:w="1118" w:type="dxa"/>
            <w:shd w:val="clear" w:color="auto" w:fill="auto"/>
            <w:noWrap/>
            <w:hideMark/>
          </w:tcPr>
          <w:p w14:paraId="38D22FD2" w14:textId="462EF2A8" w:rsidR="00AF3E4B" w:rsidRPr="00C50854" w:rsidRDefault="00AF3E4B" w:rsidP="00AF3E4B">
            <w:pPr>
              <w:suppressAutoHyphens w:val="0"/>
              <w:rPr>
                <w:color w:val="000000"/>
                <w:sz w:val="20"/>
                <w:szCs w:val="20"/>
              </w:rPr>
            </w:pPr>
            <w:r w:rsidRPr="00C50854">
              <w:rPr>
                <w:sz w:val="20"/>
                <w:szCs w:val="20"/>
              </w:rPr>
              <w:t>...*%</w:t>
            </w:r>
          </w:p>
        </w:tc>
        <w:tc>
          <w:tcPr>
            <w:tcW w:w="955" w:type="dxa"/>
            <w:shd w:val="clear" w:color="auto" w:fill="auto"/>
            <w:noWrap/>
            <w:hideMark/>
          </w:tcPr>
          <w:p w14:paraId="728158C3" w14:textId="314AB1BB" w:rsidR="00AF3E4B" w:rsidRPr="00C50854" w:rsidRDefault="00AF3E4B" w:rsidP="00AF3E4B">
            <w:pPr>
              <w:suppressAutoHyphens w:val="0"/>
              <w:jc w:val="center"/>
              <w:rPr>
                <w:color w:val="000000"/>
                <w:sz w:val="20"/>
                <w:szCs w:val="20"/>
              </w:rPr>
            </w:pPr>
            <w:r w:rsidRPr="00C50854">
              <w:rPr>
                <w:sz w:val="20"/>
                <w:szCs w:val="20"/>
              </w:rPr>
              <w:t>28%</w:t>
            </w:r>
          </w:p>
        </w:tc>
        <w:tc>
          <w:tcPr>
            <w:tcW w:w="810" w:type="dxa"/>
            <w:shd w:val="clear" w:color="auto" w:fill="auto"/>
            <w:noWrap/>
            <w:hideMark/>
          </w:tcPr>
          <w:p w14:paraId="673729FF" w14:textId="68DC0DE3" w:rsidR="00AF3E4B" w:rsidRPr="00C50854" w:rsidRDefault="00AF3E4B" w:rsidP="00AF3E4B">
            <w:pPr>
              <w:suppressAutoHyphens w:val="0"/>
              <w:jc w:val="center"/>
              <w:rPr>
                <w:color w:val="000000"/>
                <w:sz w:val="20"/>
                <w:szCs w:val="20"/>
              </w:rPr>
            </w:pPr>
            <w:r w:rsidRPr="00C50854">
              <w:rPr>
                <w:sz w:val="20"/>
                <w:szCs w:val="20"/>
              </w:rPr>
              <w:t>...*%</w:t>
            </w:r>
          </w:p>
        </w:tc>
        <w:tc>
          <w:tcPr>
            <w:tcW w:w="1118" w:type="dxa"/>
            <w:shd w:val="clear" w:color="auto" w:fill="auto"/>
            <w:noWrap/>
            <w:hideMark/>
          </w:tcPr>
          <w:p w14:paraId="4A5310E6" w14:textId="29E650DD" w:rsidR="00AF3E4B" w:rsidRPr="00C50854" w:rsidRDefault="00AF3E4B" w:rsidP="00AF3E4B">
            <w:pPr>
              <w:suppressAutoHyphens w:val="0"/>
              <w:jc w:val="center"/>
              <w:rPr>
                <w:color w:val="000000"/>
                <w:sz w:val="20"/>
                <w:szCs w:val="20"/>
              </w:rPr>
            </w:pPr>
            <w:r w:rsidRPr="00C50854">
              <w:rPr>
                <w:sz w:val="20"/>
                <w:szCs w:val="20"/>
              </w:rPr>
              <w:t>...*%</w:t>
            </w:r>
          </w:p>
        </w:tc>
        <w:tc>
          <w:tcPr>
            <w:tcW w:w="955" w:type="dxa"/>
            <w:shd w:val="clear" w:color="auto" w:fill="auto"/>
            <w:noWrap/>
            <w:hideMark/>
          </w:tcPr>
          <w:p w14:paraId="6FBC2BA8" w14:textId="28F8A22D" w:rsidR="00AF3E4B" w:rsidRPr="00C50854" w:rsidRDefault="00AF3E4B" w:rsidP="00AF3E4B">
            <w:pPr>
              <w:suppressAutoHyphens w:val="0"/>
              <w:jc w:val="center"/>
              <w:rPr>
                <w:color w:val="000000"/>
                <w:sz w:val="20"/>
                <w:szCs w:val="20"/>
              </w:rPr>
            </w:pPr>
            <w:r w:rsidRPr="00C50854">
              <w:rPr>
                <w:sz w:val="20"/>
                <w:szCs w:val="20"/>
              </w:rPr>
              <w:t>28%</w:t>
            </w:r>
          </w:p>
        </w:tc>
        <w:tc>
          <w:tcPr>
            <w:tcW w:w="715" w:type="dxa"/>
            <w:shd w:val="clear" w:color="auto" w:fill="auto"/>
            <w:noWrap/>
            <w:hideMark/>
          </w:tcPr>
          <w:p w14:paraId="20E3BFA6" w14:textId="485F7280" w:rsidR="00AF3E4B" w:rsidRPr="00C50854" w:rsidRDefault="00AF3E4B" w:rsidP="00AF3E4B">
            <w:pPr>
              <w:suppressAutoHyphens w:val="0"/>
              <w:jc w:val="center"/>
              <w:rPr>
                <w:color w:val="000000"/>
                <w:sz w:val="20"/>
                <w:szCs w:val="20"/>
              </w:rPr>
            </w:pPr>
            <w:r w:rsidRPr="00C50854">
              <w:rPr>
                <w:sz w:val="20"/>
                <w:szCs w:val="20"/>
              </w:rPr>
              <w:t>...*%</w:t>
            </w:r>
          </w:p>
        </w:tc>
      </w:tr>
      <w:tr w:rsidR="00AF3E4B" w:rsidRPr="00C50854" w14:paraId="18454EAD" w14:textId="77777777" w:rsidTr="00AE692A">
        <w:trPr>
          <w:trHeight w:val="262"/>
          <w:jc w:val="center"/>
        </w:trPr>
        <w:tc>
          <w:tcPr>
            <w:tcW w:w="1195" w:type="dxa"/>
            <w:shd w:val="clear" w:color="auto" w:fill="auto"/>
            <w:noWrap/>
            <w:vAlign w:val="bottom"/>
            <w:hideMark/>
          </w:tcPr>
          <w:p w14:paraId="0509963A" w14:textId="263C3DFF" w:rsidR="00AF3E4B" w:rsidRPr="00C50854" w:rsidRDefault="00AF3E4B" w:rsidP="00AF3E4B">
            <w:pPr>
              <w:suppressAutoHyphens w:val="0"/>
              <w:rPr>
                <w:color w:val="000000"/>
                <w:sz w:val="20"/>
                <w:szCs w:val="20"/>
                <w:lang w:eastAsia="et-EE"/>
              </w:rPr>
            </w:pPr>
            <w:r w:rsidRPr="00C50854">
              <w:rPr>
                <w:color w:val="000000"/>
                <w:sz w:val="20"/>
                <w:szCs w:val="20"/>
                <w:lang w:eastAsia="et-EE"/>
              </w:rPr>
              <w:t>STV</w:t>
            </w:r>
          </w:p>
        </w:tc>
        <w:tc>
          <w:tcPr>
            <w:tcW w:w="1118" w:type="dxa"/>
            <w:shd w:val="clear" w:color="auto" w:fill="auto"/>
            <w:noWrap/>
            <w:hideMark/>
          </w:tcPr>
          <w:p w14:paraId="5BD4E099" w14:textId="224A64EF" w:rsidR="00AF3E4B" w:rsidRPr="00C50854" w:rsidRDefault="00AF3E4B" w:rsidP="00AF3E4B">
            <w:pPr>
              <w:suppressAutoHyphens w:val="0"/>
              <w:jc w:val="center"/>
              <w:rPr>
                <w:color w:val="000000"/>
                <w:sz w:val="20"/>
                <w:szCs w:val="20"/>
              </w:rPr>
            </w:pPr>
            <w:r w:rsidRPr="00C50854">
              <w:rPr>
                <w:sz w:val="20"/>
                <w:szCs w:val="20"/>
              </w:rPr>
              <w:t>...*%</w:t>
            </w:r>
          </w:p>
        </w:tc>
        <w:tc>
          <w:tcPr>
            <w:tcW w:w="955" w:type="dxa"/>
            <w:shd w:val="clear" w:color="auto" w:fill="auto"/>
            <w:noWrap/>
            <w:hideMark/>
          </w:tcPr>
          <w:p w14:paraId="10B929E6" w14:textId="6F623F3D" w:rsidR="00AF3E4B" w:rsidRPr="00C50854" w:rsidRDefault="00AF3E4B" w:rsidP="00AF3E4B">
            <w:pPr>
              <w:suppressAutoHyphens w:val="0"/>
              <w:jc w:val="center"/>
              <w:rPr>
                <w:color w:val="000000"/>
                <w:sz w:val="20"/>
                <w:szCs w:val="20"/>
              </w:rPr>
            </w:pPr>
            <w:r w:rsidRPr="00C50854">
              <w:rPr>
                <w:sz w:val="20"/>
                <w:szCs w:val="20"/>
              </w:rPr>
              <w:t>19%</w:t>
            </w:r>
          </w:p>
        </w:tc>
        <w:tc>
          <w:tcPr>
            <w:tcW w:w="810" w:type="dxa"/>
            <w:shd w:val="clear" w:color="auto" w:fill="auto"/>
            <w:noWrap/>
            <w:hideMark/>
          </w:tcPr>
          <w:p w14:paraId="2A8907A4" w14:textId="59048588" w:rsidR="00AF3E4B" w:rsidRPr="00C50854" w:rsidRDefault="00AF3E4B" w:rsidP="00AF3E4B">
            <w:pPr>
              <w:suppressAutoHyphens w:val="0"/>
              <w:jc w:val="center"/>
              <w:rPr>
                <w:color w:val="000000"/>
                <w:sz w:val="20"/>
                <w:szCs w:val="20"/>
              </w:rPr>
            </w:pPr>
            <w:r w:rsidRPr="00C50854">
              <w:rPr>
                <w:sz w:val="20"/>
                <w:szCs w:val="20"/>
              </w:rPr>
              <w:t>...*%</w:t>
            </w:r>
          </w:p>
        </w:tc>
        <w:tc>
          <w:tcPr>
            <w:tcW w:w="1118" w:type="dxa"/>
            <w:shd w:val="clear" w:color="auto" w:fill="auto"/>
            <w:noWrap/>
            <w:hideMark/>
          </w:tcPr>
          <w:p w14:paraId="65F6E310" w14:textId="6E4E8DD8" w:rsidR="00AF3E4B" w:rsidRPr="00C50854" w:rsidRDefault="00AF3E4B" w:rsidP="00AF3E4B">
            <w:pPr>
              <w:suppressAutoHyphens w:val="0"/>
              <w:rPr>
                <w:color w:val="000000"/>
                <w:sz w:val="20"/>
                <w:szCs w:val="20"/>
              </w:rPr>
            </w:pPr>
            <w:r w:rsidRPr="00C50854">
              <w:rPr>
                <w:sz w:val="20"/>
                <w:szCs w:val="20"/>
              </w:rPr>
              <w:t>...*%</w:t>
            </w:r>
          </w:p>
        </w:tc>
        <w:tc>
          <w:tcPr>
            <w:tcW w:w="955" w:type="dxa"/>
            <w:shd w:val="clear" w:color="auto" w:fill="auto"/>
            <w:noWrap/>
            <w:hideMark/>
          </w:tcPr>
          <w:p w14:paraId="4B71B767" w14:textId="2558818B" w:rsidR="00AF3E4B" w:rsidRPr="00C50854" w:rsidRDefault="00AF3E4B" w:rsidP="00AF3E4B">
            <w:pPr>
              <w:suppressAutoHyphens w:val="0"/>
              <w:jc w:val="center"/>
              <w:rPr>
                <w:color w:val="000000"/>
                <w:sz w:val="20"/>
                <w:szCs w:val="20"/>
              </w:rPr>
            </w:pPr>
            <w:r w:rsidRPr="00C50854">
              <w:rPr>
                <w:sz w:val="20"/>
                <w:szCs w:val="20"/>
              </w:rPr>
              <w:t>19%</w:t>
            </w:r>
          </w:p>
        </w:tc>
        <w:tc>
          <w:tcPr>
            <w:tcW w:w="810" w:type="dxa"/>
            <w:shd w:val="clear" w:color="auto" w:fill="auto"/>
            <w:noWrap/>
            <w:hideMark/>
          </w:tcPr>
          <w:p w14:paraId="6495B50B" w14:textId="71F30925" w:rsidR="00AF3E4B" w:rsidRPr="00C50854" w:rsidRDefault="00AF3E4B" w:rsidP="00AF3E4B">
            <w:pPr>
              <w:suppressAutoHyphens w:val="0"/>
              <w:jc w:val="center"/>
              <w:rPr>
                <w:color w:val="000000"/>
                <w:sz w:val="20"/>
                <w:szCs w:val="20"/>
              </w:rPr>
            </w:pPr>
            <w:r w:rsidRPr="00C50854">
              <w:rPr>
                <w:sz w:val="20"/>
                <w:szCs w:val="20"/>
              </w:rPr>
              <w:t>...*%</w:t>
            </w:r>
          </w:p>
        </w:tc>
        <w:tc>
          <w:tcPr>
            <w:tcW w:w="1118" w:type="dxa"/>
            <w:shd w:val="clear" w:color="auto" w:fill="auto"/>
            <w:noWrap/>
            <w:hideMark/>
          </w:tcPr>
          <w:p w14:paraId="5E4F63E6" w14:textId="67CADB39" w:rsidR="00AF3E4B" w:rsidRPr="00C50854" w:rsidRDefault="00AF3E4B" w:rsidP="00AF3E4B">
            <w:pPr>
              <w:suppressAutoHyphens w:val="0"/>
              <w:jc w:val="center"/>
              <w:rPr>
                <w:color w:val="000000"/>
                <w:sz w:val="20"/>
                <w:szCs w:val="20"/>
              </w:rPr>
            </w:pPr>
            <w:r w:rsidRPr="00C50854">
              <w:rPr>
                <w:sz w:val="20"/>
                <w:szCs w:val="20"/>
              </w:rPr>
              <w:t>...*%</w:t>
            </w:r>
          </w:p>
        </w:tc>
        <w:tc>
          <w:tcPr>
            <w:tcW w:w="955" w:type="dxa"/>
            <w:shd w:val="clear" w:color="auto" w:fill="auto"/>
            <w:noWrap/>
            <w:hideMark/>
          </w:tcPr>
          <w:p w14:paraId="26B866E4" w14:textId="52F44B86" w:rsidR="00AF3E4B" w:rsidRPr="00C50854" w:rsidRDefault="00AF3E4B" w:rsidP="00AF3E4B">
            <w:pPr>
              <w:suppressAutoHyphens w:val="0"/>
              <w:jc w:val="center"/>
              <w:rPr>
                <w:color w:val="000000"/>
                <w:sz w:val="20"/>
                <w:szCs w:val="20"/>
              </w:rPr>
            </w:pPr>
            <w:r w:rsidRPr="00C50854">
              <w:rPr>
                <w:sz w:val="20"/>
                <w:szCs w:val="20"/>
              </w:rPr>
              <w:t>18%</w:t>
            </w:r>
          </w:p>
        </w:tc>
        <w:tc>
          <w:tcPr>
            <w:tcW w:w="715" w:type="dxa"/>
            <w:shd w:val="clear" w:color="auto" w:fill="auto"/>
            <w:noWrap/>
            <w:hideMark/>
          </w:tcPr>
          <w:p w14:paraId="0B5007BB" w14:textId="0D32BA5C" w:rsidR="00AF3E4B" w:rsidRPr="00C50854" w:rsidRDefault="00AF3E4B" w:rsidP="00AF3E4B">
            <w:pPr>
              <w:suppressAutoHyphens w:val="0"/>
              <w:jc w:val="center"/>
              <w:rPr>
                <w:color w:val="000000"/>
                <w:sz w:val="20"/>
                <w:szCs w:val="20"/>
              </w:rPr>
            </w:pPr>
            <w:r w:rsidRPr="00C50854">
              <w:rPr>
                <w:sz w:val="20"/>
                <w:szCs w:val="20"/>
              </w:rPr>
              <w:t>...*%</w:t>
            </w:r>
          </w:p>
        </w:tc>
      </w:tr>
      <w:tr w:rsidR="00AF3E4B" w:rsidRPr="00C50854" w14:paraId="3345F8FA" w14:textId="77777777" w:rsidTr="00AE692A">
        <w:trPr>
          <w:trHeight w:val="262"/>
          <w:jc w:val="center"/>
        </w:trPr>
        <w:tc>
          <w:tcPr>
            <w:tcW w:w="1195" w:type="dxa"/>
            <w:shd w:val="clear" w:color="auto" w:fill="auto"/>
            <w:noWrap/>
            <w:vAlign w:val="bottom"/>
            <w:hideMark/>
          </w:tcPr>
          <w:p w14:paraId="35E8101A" w14:textId="7FE021E9" w:rsidR="00AF3E4B" w:rsidRPr="00C50854" w:rsidRDefault="00AF3E4B" w:rsidP="00AF3E4B">
            <w:pPr>
              <w:suppressAutoHyphens w:val="0"/>
              <w:rPr>
                <w:color w:val="000000"/>
                <w:sz w:val="20"/>
                <w:szCs w:val="20"/>
                <w:lang w:eastAsia="et-EE"/>
              </w:rPr>
            </w:pPr>
            <w:r w:rsidRPr="00C50854">
              <w:rPr>
                <w:color w:val="000000"/>
                <w:sz w:val="20"/>
                <w:szCs w:val="20"/>
                <w:lang w:eastAsia="et-EE"/>
              </w:rPr>
              <w:t>Telset</w:t>
            </w:r>
          </w:p>
        </w:tc>
        <w:tc>
          <w:tcPr>
            <w:tcW w:w="1118" w:type="dxa"/>
            <w:shd w:val="clear" w:color="auto" w:fill="auto"/>
            <w:noWrap/>
            <w:hideMark/>
          </w:tcPr>
          <w:p w14:paraId="22BE7357" w14:textId="25FC9795" w:rsidR="00AF3E4B" w:rsidRPr="00C50854" w:rsidRDefault="00AF3E4B" w:rsidP="00AF3E4B">
            <w:pPr>
              <w:suppressAutoHyphens w:val="0"/>
              <w:jc w:val="center"/>
              <w:rPr>
                <w:color w:val="000000"/>
                <w:sz w:val="20"/>
                <w:szCs w:val="20"/>
              </w:rPr>
            </w:pPr>
            <w:r w:rsidRPr="00C50854">
              <w:rPr>
                <w:sz w:val="20"/>
                <w:szCs w:val="20"/>
              </w:rPr>
              <w:t>...*%</w:t>
            </w:r>
          </w:p>
        </w:tc>
        <w:tc>
          <w:tcPr>
            <w:tcW w:w="955" w:type="dxa"/>
            <w:shd w:val="clear" w:color="auto" w:fill="auto"/>
            <w:noWrap/>
            <w:hideMark/>
          </w:tcPr>
          <w:p w14:paraId="7F5B856D" w14:textId="18D59F9D" w:rsidR="00AF3E4B" w:rsidRPr="00C50854" w:rsidRDefault="00AF3E4B" w:rsidP="00AF3E4B">
            <w:pPr>
              <w:suppressAutoHyphens w:val="0"/>
              <w:jc w:val="center"/>
              <w:rPr>
                <w:color w:val="000000"/>
                <w:sz w:val="20"/>
                <w:szCs w:val="20"/>
              </w:rPr>
            </w:pPr>
            <w:r w:rsidRPr="00C50854">
              <w:rPr>
                <w:sz w:val="20"/>
                <w:szCs w:val="20"/>
              </w:rPr>
              <w:t>1%</w:t>
            </w:r>
          </w:p>
        </w:tc>
        <w:tc>
          <w:tcPr>
            <w:tcW w:w="810" w:type="dxa"/>
            <w:shd w:val="clear" w:color="auto" w:fill="auto"/>
            <w:noWrap/>
            <w:hideMark/>
          </w:tcPr>
          <w:p w14:paraId="751AA8F8" w14:textId="5CFB23C9" w:rsidR="00AF3E4B" w:rsidRPr="00C50854" w:rsidRDefault="00AF3E4B" w:rsidP="00AF3E4B">
            <w:pPr>
              <w:suppressAutoHyphens w:val="0"/>
              <w:jc w:val="center"/>
              <w:rPr>
                <w:color w:val="000000"/>
                <w:sz w:val="20"/>
                <w:szCs w:val="20"/>
              </w:rPr>
            </w:pPr>
            <w:r w:rsidRPr="00C50854">
              <w:rPr>
                <w:sz w:val="20"/>
                <w:szCs w:val="20"/>
              </w:rPr>
              <w:t>...*%</w:t>
            </w:r>
          </w:p>
        </w:tc>
        <w:tc>
          <w:tcPr>
            <w:tcW w:w="1118" w:type="dxa"/>
            <w:shd w:val="clear" w:color="auto" w:fill="auto"/>
            <w:noWrap/>
            <w:hideMark/>
          </w:tcPr>
          <w:p w14:paraId="1AD13466" w14:textId="03195622" w:rsidR="00AF3E4B" w:rsidRPr="00C50854" w:rsidRDefault="00AF3E4B" w:rsidP="00AF3E4B">
            <w:pPr>
              <w:suppressAutoHyphens w:val="0"/>
              <w:rPr>
                <w:color w:val="000000"/>
                <w:sz w:val="20"/>
                <w:szCs w:val="20"/>
              </w:rPr>
            </w:pPr>
            <w:r w:rsidRPr="00C50854">
              <w:rPr>
                <w:sz w:val="20"/>
                <w:szCs w:val="20"/>
              </w:rPr>
              <w:t>...*%</w:t>
            </w:r>
          </w:p>
        </w:tc>
        <w:tc>
          <w:tcPr>
            <w:tcW w:w="955" w:type="dxa"/>
            <w:shd w:val="clear" w:color="auto" w:fill="auto"/>
            <w:noWrap/>
            <w:hideMark/>
          </w:tcPr>
          <w:p w14:paraId="66D3DBBC" w14:textId="78AEA976" w:rsidR="00AF3E4B" w:rsidRPr="00C50854" w:rsidRDefault="00AF3E4B" w:rsidP="00AF3E4B">
            <w:pPr>
              <w:suppressAutoHyphens w:val="0"/>
              <w:jc w:val="center"/>
              <w:rPr>
                <w:color w:val="000000"/>
                <w:sz w:val="20"/>
                <w:szCs w:val="20"/>
              </w:rPr>
            </w:pPr>
            <w:r w:rsidRPr="00C50854">
              <w:rPr>
                <w:sz w:val="20"/>
                <w:szCs w:val="20"/>
              </w:rPr>
              <w:t>1%</w:t>
            </w:r>
          </w:p>
        </w:tc>
        <w:tc>
          <w:tcPr>
            <w:tcW w:w="810" w:type="dxa"/>
            <w:shd w:val="clear" w:color="auto" w:fill="auto"/>
            <w:noWrap/>
            <w:hideMark/>
          </w:tcPr>
          <w:p w14:paraId="68A19B5A" w14:textId="4D79C195" w:rsidR="00AF3E4B" w:rsidRPr="00C50854" w:rsidRDefault="00AF3E4B" w:rsidP="00AF3E4B">
            <w:pPr>
              <w:suppressAutoHyphens w:val="0"/>
              <w:jc w:val="center"/>
              <w:rPr>
                <w:color w:val="000000"/>
                <w:sz w:val="20"/>
                <w:szCs w:val="20"/>
              </w:rPr>
            </w:pPr>
            <w:r w:rsidRPr="00C50854">
              <w:rPr>
                <w:sz w:val="20"/>
                <w:szCs w:val="20"/>
              </w:rPr>
              <w:t>...*%</w:t>
            </w:r>
          </w:p>
        </w:tc>
        <w:tc>
          <w:tcPr>
            <w:tcW w:w="1118" w:type="dxa"/>
            <w:shd w:val="clear" w:color="auto" w:fill="auto"/>
            <w:noWrap/>
            <w:hideMark/>
          </w:tcPr>
          <w:p w14:paraId="1AD1C6A8" w14:textId="4A34BFAC" w:rsidR="00AF3E4B" w:rsidRPr="00C50854" w:rsidRDefault="00AF3E4B" w:rsidP="00AF3E4B">
            <w:pPr>
              <w:suppressAutoHyphens w:val="0"/>
              <w:jc w:val="center"/>
              <w:rPr>
                <w:color w:val="000000"/>
                <w:sz w:val="20"/>
                <w:szCs w:val="20"/>
              </w:rPr>
            </w:pPr>
            <w:r w:rsidRPr="00C50854">
              <w:rPr>
                <w:sz w:val="20"/>
                <w:szCs w:val="20"/>
              </w:rPr>
              <w:t>...*%</w:t>
            </w:r>
          </w:p>
        </w:tc>
        <w:tc>
          <w:tcPr>
            <w:tcW w:w="955" w:type="dxa"/>
            <w:shd w:val="clear" w:color="auto" w:fill="auto"/>
            <w:noWrap/>
            <w:hideMark/>
          </w:tcPr>
          <w:p w14:paraId="7CBED147" w14:textId="3C3A737D" w:rsidR="00AF3E4B" w:rsidRPr="00C50854" w:rsidRDefault="00AF3E4B" w:rsidP="00AF3E4B">
            <w:pPr>
              <w:suppressAutoHyphens w:val="0"/>
              <w:jc w:val="center"/>
              <w:rPr>
                <w:color w:val="000000"/>
                <w:sz w:val="20"/>
                <w:szCs w:val="20"/>
              </w:rPr>
            </w:pPr>
            <w:r w:rsidRPr="00C50854">
              <w:rPr>
                <w:sz w:val="20"/>
                <w:szCs w:val="20"/>
              </w:rPr>
              <w:t>1%</w:t>
            </w:r>
          </w:p>
        </w:tc>
        <w:tc>
          <w:tcPr>
            <w:tcW w:w="715" w:type="dxa"/>
            <w:shd w:val="clear" w:color="auto" w:fill="auto"/>
            <w:noWrap/>
            <w:hideMark/>
          </w:tcPr>
          <w:p w14:paraId="3F6F7E1D" w14:textId="7B395E3F" w:rsidR="00AF3E4B" w:rsidRPr="00C50854" w:rsidRDefault="00AF3E4B" w:rsidP="00AF3E4B">
            <w:pPr>
              <w:suppressAutoHyphens w:val="0"/>
              <w:jc w:val="center"/>
              <w:rPr>
                <w:color w:val="000000"/>
                <w:sz w:val="20"/>
                <w:szCs w:val="20"/>
              </w:rPr>
            </w:pPr>
            <w:r w:rsidRPr="00C50854">
              <w:rPr>
                <w:sz w:val="20"/>
                <w:szCs w:val="20"/>
              </w:rPr>
              <w:t>...*%</w:t>
            </w:r>
          </w:p>
        </w:tc>
      </w:tr>
      <w:tr w:rsidR="00AF3E4B" w:rsidRPr="00C50854" w14:paraId="14332382" w14:textId="77777777" w:rsidTr="00AE692A">
        <w:trPr>
          <w:trHeight w:val="262"/>
          <w:jc w:val="center"/>
        </w:trPr>
        <w:tc>
          <w:tcPr>
            <w:tcW w:w="1195" w:type="dxa"/>
            <w:shd w:val="clear" w:color="auto" w:fill="auto"/>
            <w:noWrap/>
            <w:vAlign w:val="bottom"/>
            <w:hideMark/>
          </w:tcPr>
          <w:p w14:paraId="1E6D4B84" w14:textId="77777777" w:rsidR="00AF3E4B" w:rsidRPr="00C50854" w:rsidRDefault="00AF3E4B" w:rsidP="00AF3E4B">
            <w:pPr>
              <w:suppressAutoHyphens w:val="0"/>
              <w:rPr>
                <w:color w:val="000000"/>
                <w:sz w:val="20"/>
                <w:szCs w:val="20"/>
                <w:lang w:eastAsia="et-EE"/>
              </w:rPr>
            </w:pPr>
            <w:r w:rsidRPr="00C50854">
              <w:rPr>
                <w:color w:val="000000"/>
                <w:sz w:val="20"/>
                <w:szCs w:val="20"/>
                <w:lang w:eastAsia="et-EE"/>
              </w:rPr>
              <w:t xml:space="preserve">Teised </w:t>
            </w:r>
          </w:p>
        </w:tc>
        <w:tc>
          <w:tcPr>
            <w:tcW w:w="1118" w:type="dxa"/>
            <w:shd w:val="clear" w:color="auto" w:fill="auto"/>
            <w:noWrap/>
            <w:hideMark/>
          </w:tcPr>
          <w:p w14:paraId="61F6BF5F" w14:textId="259A991B" w:rsidR="00AF3E4B" w:rsidRPr="00C50854" w:rsidRDefault="00AF3E4B" w:rsidP="00AF3E4B">
            <w:pPr>
              <w:suppressAutoHyphens w:val="0"/>
              <w:jc w:val="center"/>
              <w:rPr>
                <w:color w:val="000000"/>
                <w:sz w:val="20"/>
                <w:szCs w:val="20"/>
              </w:rPr>
            </w:pPr>
            <w:r w:rsidRPr="00C50854">
              <w:rPr>
                <w:sz w:val="20"/>
                <w:szCs w:val="20"/>
              </w:rPr>
              <w:t>...*%</w:t>
            </w:r>
          </w:p>
        </w:tc>
        <w:tc>
          <w:tcPr>
            <w:tcW w:w="955" w:type="dxa"/>
            <w:shd w:val="clear" w:color="auto" w:fill="auto"/>
            <w:noWrap/>
            <w:hideMark/>
          </w:tcPr>
          <w:p w14:paraId="52189719" w14:textId="6E10FF3F" w:rsidR="00AF3E4B" w:rsidRPr="00C50854" w:rsidRDefault="00AF3E4B" w:rsidP="00AF3E4B">
            <w:pPr>
              <w:suppressAutoHyphens w:val="0"/>
              <w:jc w:val="center"/>
              <w:rPr>
                <w:color w:val="000000"/>
                <w:sz w:val="20"/>
                <w:szCs w:val="20"/>
              </w:rPr>
            </w:pPr>
            <w:r w:rsidRPr="00C50854">
              <w:rPr>
                <w:sz w:val="20"/>
                <w:szCs w:val="20"/>
              </w:rPr>
              <w:t>7%</w:t>
            </w:r>
          </w:p>
        </w:tc>
        <w:tc>
          <w:tcPr>
            <w:tcW w:w="810" w:type="dxa"/>
            <w:shd w:val="clear" w:color="auto" w:fill="auto"/>
            <w:noWrap/>
            <w:hideMark/>
          </w:tcPr>
          <w:p w14:paraId="14697007" w14:textId="65F20ACD" w:rsidR="00AF3E4B" w:rsidRPr="00C50854" w:rsidRDefault="00AF3E4B" w:rsidP="00AF3E4B">
            <w:pPr>
              <w:suppressAutoHyphens w:val="0"/>
              <w:jc w:val="center"/>
              <w:rPr>
                <w:color w:val="000000"/>
                <w:sz w:val="20"/>
                <w:szCs w:val="20"/>
              </w:rPr>
            </w:pPr>
            <w:r w:rsidRPr="00C50854">
              <w:rPr>
                <w:sz w:val="20"/>
                <w:szCs w:val="20"/>
              </w:rPr>
              <w:t>...*%</w:t>
            </w:r>
          </w:p>
        </w:tc>
        <w:tc>
          <w:tcPr>
            <w:tcW w:w="1118" w:type="dxa"/>
            <w:shd w:val="clear" w:color="auto" w:fill="auto"/>
            <w:noWrap/>
            <w:hideMark/>
          </w:tcPr>
          <w:p w14:paraId="2BFB7D22" w14:textId="64CB5D4C" w:rsidR="00AF3E4B" w:rsidRPr="00C50854" w:rsidRDefault="00AF3E4B" w:rsidP="00AF3E4B">
            <w:pPr>
              <w:suppressAutoHyphens w:val="0"/>
              <w:rPr>
                <w:color w:val="000000"/>
                <w:sz w:val="20"/>
                <w:szCs w:val="20"/>
              </w:rPr>
            </w:pPr>
            <w:r w:rsidRPr="00C50854">
              <w:rPr>
                <w:sz w:val="20"/>
                <w:szCs w:val="20"/>
              </w:rPr>
              <w:t>...*%</w:t>
            </w:r>
          </w:p>
        </w:tc>
        <w:tc>
          <w:tcPr>
            <w:tcW w:w="955" w:type="dxa"/>
            <w:shd w:val="clear" w:color="auto" w:fill="auto"/>
            <w:noWrap/>
            <w:hideMark/>
          </w:tcPr>
          <w:p w14:paraId="69FC4ADB" w14:textId="53CC95D1" w:rsidR="00AF3E4B" w:rsidRPr="00C50854" w:rsidRDefault="00AF3E4B" w:rsidP="00AF3E4B">
            <w:pPr>
              <w:suppressAutoHyphens w:val="0"/>
              <w:jc w:val="center"/>
              <w:rPr>
                <w:color w:val="000000"/>
                <w:sz w:val="20"/>
                <w:szCs w:val="20"/>
              </w:rPr>
            </w:pPr>
            <w:r w:rsidRPr="00C50854">
              <w:rPr>
                <w:sz w:val="20"/>
                <w:szCs w:val="20"/>
              </w:rPr>
              <w:t>7%</w:t>
            </w:r>
          </w:p>
        </w:tc>
        <w:tc>
          <w:tcPr>
            <w:tcW w:w="810" w:type="dxa"/>
            <w:shd w:val="clear" w:color="auto" w:fill="auto"/>
            <w:noWrap/>
            <w:hideMark/>
          </w:tcPr>
          <w:p w14:paraId="0ED094AB" w14:textId="67CDF17A" w:rsidR="00AF3E4B" w:rsidRPr="00C50854" w:rsidRDefault="00AF3E4B" w:rsidP="00AF3E4B">
            <w:pPr>
              <w:suppressAutoHyphens w:val="0"/>
              <w:jc w:val="center"/>
              <w:rPr>
                <w:color w:val="000000"/>
                <w:sz w:val="20"/>
                <w:szCs w:val="20"/>
              </w:rPr>
            </w:pPr>
            <w:r w:rsidRPr="00C50854">
              <w:rPr>
                <w:sz w:val="20"/>
                <w:szCs w:val="20"/>
              </w:rPr>
              <w:t>...*%</w:t>
            </w:r>
          </w:p>
        </w:tc>
        <w:tc>
          <w:tcPr>
            <w:tcW w:w="1118" w:type="dxa"/>
            <w:shd w:val="clear" w:color="auto" w:fill="auto"/>
            <w:noWrap/>
            <w:hideMark/>
          </w:tcPr>
          <w:p w14:paraId="72E4272E" w14:textId="68CFDE83" w:rsidR="00AF3E4B" w:rsidRPr="00C50854" w:rsidRDefault="00AF3E4B" w:rsidP="00AF3E4B">
            <w:pPr>
              <w:suppressAutoHyphens w:val="0"/>
              <w:jc w:val="center"/>
              <w:rPr>
                <w:color w:val="000000"/>
                <w:sz w:val="20"/>
                <w:szCs w:val="20"/>
              </w:rPr>
            </w:pPr>
            <w:r w:rsidRPr="00C50854">
              <w:rPr>
                <w:sz w:val="20"/>
                <w:szCs w:val="20"/>
              </w:rPr>
              <w:t>...*%</w:t>
            </w:r>
          </w:p>
        </w:tc>
        <w:tc>
          <w:tcPr>
            <w:tcW w:w="955" w:type="dxa"/>
            <w:shd w:val="clear" w:color="auto" w:fill="auto"/>
            <w:noWrap/>
            <w:hideMark/>
          </w:tcPr>
          <w:p w14:paraId="35BFFF5B" w14:textId="75343921" w:rsidR="00AF3E4B" w:rsidRPr="00C50854" w:rsidRDefault="00AF3E4B" w:rsidP="00AF3E4B">
            <w:pPr>
              <w:suppressAutoHyphens w:val="0"/>
              <w:jc w:val="center"/>
              <w:rPr>
                <w:color w:val="000000"/>
                <w:sz w:val="20"/>
                <w:szCs w:val="20"/>
              </w:rPr>
            </w:pPr>
            <w:r w:rsidRPr="00C50854">
              <w:rPr>
                <w:sz w:val="20"/>
                <w:szCs w:val="20"/>
              </w:rPr>
              <w:t>7%</w:t>
            </w:r>
          </w:p>
        </w:tc>
        <w:tc>
          <w:tcPr>
            <w:tcW w:w="715" w:type="dxa"/>
            <w:shd w:val="clear" w:color="auto" w:fill="auto"/>
            <w:noWrap/>
            <w:hideMark/>
          </w:tcPr>
          <w:p w14:paraId="21B4126A" w14:textId="011DF9BF" w:rsidR="00AF3E4B" w:rsidRPr="00C50854" w:rsidRDefault="00AF3E4B" w:rsidP="00AF3E4B">
            <w:pPr>
              <w:suppressAutoHyphens w:val="0"/>
              <w:jc w:val="center"/>
              <w:rPr>
                <w:color w:val="000000"/>
                <w:sz w:val="20"/>
                <w:szCs w:val="20"/>
              </w:rPr>
            </w:pPr>
            <w:r w:rsidRPr="00C50854">
              <w:rPr>
                <w:sz w:val="20"/>
                <w:szCs w:val="20"/>
              </w:rPr>
              <w:t>...*%</w:t>
            </w:r>
          </w:p>
        </w:tc>
      </w:tr>
      <w:tr w:rsidR="00AB27AE" w:rsidRPr="00C50854" w14:paraId="7C4B61A1" w14:textId="77777777" w:rsidTr="00AE692A">
        <w:trPr>
          <w:trHeight w:val="262"/>
          <w:jc w:val="center"/>
        </w:trPr>
        <w:tc>
          <w:tcPr>
            <w:tcW w:w="1195" w:type="dxa"/>
            <w:shd w:val="clear" w:color="auto" w:fill="auto"/>
            <w:noWrap/>
            <w:vAlign w:val="bottom"/>
            <w:hideMark/>
          </w:tcPr>
          <w:p w14:paraId="08E5F225" w14:textId="77777777" w:rsidR="00AB27AE" w:rsidRPr="00C50854" w:rsidRDefault="00AB27AE" w:rsidP="00AB27AE">
            <w:pPr>
              <w:suppressAutoHyphens w:val="0"/>
              <w:rPr>
                <w:b/>
                <w:color w:val="000000"/>
                <w:sz w:val="20"/>
                <w:szCs w:val="20"/>
                <w:lang w:eastAsia="et-EE"/>
              </w:rPr>
            </w:pPr>
            <w:r w:rsidRPr="00C50854">
              <w:rPr>
                <w:b/>
                <w:color w:val="000000"/>
                <w:sz w:val="20"/>
                <w:szCs w:val="20"/>
                <w:lang w:eastAsia="et-EE"/>
              </w:rPr>
              <w:t>Kokku</w:t>
            </w:r>
          </w:p>
        </w:tc>
        <w:tc>
          <w:tcPr>
            <w:tcW w:w="1118" w:type="dxa"/>
            <w:shd w:val="clear" w:color="auto" w:fill="auto"/>
            <w:noWrap/>
            <w:vAlign w:val="bottom"/>
            <w:hideMark/>
          </w:tcPr>
          <w:p w14:paraId="78872697"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100%</w:t>
            </w:r>
          </w:p>
        </w:tc>
        <w:tc>
          <w:tcPr>
            <w:tcW w:w="955" w:type="dxa"/>
            <w:shd w:val="clear" w:color="auto" w:fill="auto"/>
            <w:noWrap/>
            <w:vAlign w:val="bottom"/>
            <w:hideMark/>
          </w:tcPr>
          <w:p w14:paraId="73E0750D"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100%</w:t>
            </w:r>
          </w:p>
        </w:tc>
        <w:tc>
          <w:tcPr>
            <w:tcW w:w="810" w:type="dxa"/>
            <w:shd w:val="clear" w:color="auto" w:fill="auto"/>
            <w:noWrap/>
            <w:vAlign w:val="bottom"/>
            <w:hideMark/>
          </w:tcPr>
          <w:p w14:paraId="04F759DB"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100%</w:t>
            </w:r>
          </w:p>
        </w:tc>
        <w:tc>
          <w:tcPr>
            <w:tcW w:w="1118" w:type="dxa"/>
            <w:shd w:val="clear" w:color="auto" w:fill="auto"/>
            <w:noWrap/>
            <w:vAlign w:val="bottom"/>
            <w:hideMark/>
          </w:tcPr>
          <w:p w14:paraId="203EC9DA"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100%</w:t>
            </w:r>
          </w:p>
        </w:tc>
        <w:tc>
          <w:tcPr>
            <w:tcW w:w="955" w:type="dxa"/>
            <w:shd w:val="clear" w:color="auto" w:fill="auto"/>
            <w:noWrap/>
            <w:vAlign w:val="bottom"/>
            <w:hideMark/>
          </w:tcPr>
          <w:p w14:paraId="23D278E1"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100%</w:t>
            </w:r>
          </w:p>
        </w:tc>
        <w:tc>
          <w:tcPr>
            <w:tcW w:w="810" w:type="dxa"/>
            <w:shd w:val="clear" w:color="auto" w:fill="auto"/>
            <w:noWrap/>
            <w:vAlign w:val="bottom"/>
            <w:hideMark/>
          </w:tcPr>
          <w:p w14:paraId="5C740A8E"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100%</w:t>
            </w:r>
          </w:p>
        </w:tc>
        <w:tc>
          <w:tcPr>
            <w:tcW w:w="1118" w:type="dxa"/>
            <w:shd w:val="clear" w:color="auto" w:fill="auto"/>
            <w:noWrap/>
            <w:vAlign w:val="bottom"/>
            <w:hideMark/>
          </w:tcPr>
          <w:p w14:paraId="6AC5D9FA"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100%</w:t>
            </w:r>
          </w:p>
        </w:tc>
        <w:tc>
          <w:tcPr>
            <w:tcW w:w="955" w:type="dxa"/>
            <w:shd w:val="clear" w:color="auto" w:fill="auto"/>
            <w:noWrap/>
            <w:vAlign w:val="bottom"/>
            <w:hideMark/>
          </w:tcPr>
          <w:p w14:paraId="43483758"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100%</w:t>
            </w:r>
          </w:p>
        </w:tc>
        <w:tc>
          <w:tcPr>
            <w:tcW w:w="715" w:type="dxa"/>
            <w:shd w:val="clear" w:color="auto" w:fill="auto"/>
            <w:noWrap/>
            <w:vAlign w:val="bottom"/>
            <w:hideMark/>
          </w:tcPr>
          <w:p w14:paraId="447FF79F" w14:textId="77777777" w:rsidR="00AB27AE" w:rsidRPr="00C50854" w:rsidRDefault="00AB27AE" w:rsidP="00541AA4">
            <w:pPr>
              <w:suppressAutoHyphens w:val="0"/>
              <w:jc w:val="center"/>
              <w:rPr>
                <w:b/>
                <w:color w:val="000000"/>
                <w:sz w:val="20"/>
                <w:szCs w:val="20"/>
                <w:lang w:eastAsia="et-EE"/>
              </w:rPr>
            </w:pPr>
            <w:r w:rsidRPr="00C50854">
              <w:rPr>
                <w:b/>
                <w:color w:val="000000"/>
                <w:sz w:val="20"/>
                <w:szCs w:val="20"/>
                <w:lang w:eastAsia="et-EE"/>
              </w:rPr>
              <w:t>100%</w:t>
            </w:r>
          </w:p>
        </w:tc>
      </w:tr>
    </w:tbl>
    <w:p w14:paraId="6E9C8828" w14:textId="2EAB3697" w:rsidR="0031640D" w:rsidRPr="00C50854" w:rsidRDefault="0031640D" w:rsidP="0031640D">
      <w:pPr>
        <w:pStyle w:val="Pealdis"/>
        <w:keepNext/>
        <w:rPr>
          <w:b w:val="0"/>
        </w:rPr>
      </w:pPr>
      <w:bookmarkStart w:id="219" w:name="_Ref464482188"/>
      <w:r w:rsidRPr="00C50854">
        <w:t xml:space="preserve">Tabel </w:t>
      </w:r>
      <w:fldSimple w:instr=" SEQ Tabel \* ARABIC ">
        <w:r w:rsidR="00D24389" w:rsidRPr="00C50854">
          <w:rPr>
            <w:noProof/>
          </w:rPr>
          <w:t>11</w:t>
        </w:r>
      </w:fldSimple>
      <w:bookmarkEnd w:id="219"/>
      <w:r w:rsidR="00215F06" w:rsidRPr="00C50854">
        <w:rPr>
          <w:noProof/>
        </w:rPr>
        <w:t>.</w:t>
      </w:r>
      <w:r w:rsidRPr="00C50854">
        <w:t xml:space="preserve"> </w:t>
      </w:r>
      <w:r w:rsidR="00AB27AE" w:rsidRPr="00C50854">
        <w:rPr>
          <w:b w:val="0"/>
        </w:rPr>
        <w:t xml:space="preserve">Ettevõtjate tulud, </w:t>
      </w:r>
      <w:r w:rsidRPr="00C50854">
        <w:rPr>
          <w:b w:val="0"/>
        </w:rPr>
        <w:t>klientide</w:t>
      </w:r>
      <w:r w:rsidR="00AB27AE" w:rsidRPr="00C50854">
        <w:rPr>
          <w:b w:val="0"/>
        </w:rPr>
        <w:t xml:space="preserve"> ja ühenduste</w:t>
      </w:r>
      <w:r w:rsidRPr="00C50854">
        <w:rPr>
          <w:b w:val="0"/>
        </w:rPr>
        <w:t xml:space="preserve"> arv </w:t>
      </w:r>
      <w:r w:rsidR="00AB27AE" w:rsidRPr="00C50854">
        <w:rPr>
          <w:b w:val="0"/>
        </w:rPr>
        <w:t>suuremates</w:t>
      </w:r>
      <w:r w:rsidRPr="00C50854">
        <w:rPr>
          <w:b w:val="0"/>
        </w:rPr>
        <w:t xml:space="preserve"> linnades</w:t>
      </w:r>
      <w:r w:rsidR="00AE692A" w:rsidRPr="00C50854">
        <w:rPr>
          <w:b w:val="0"/>
        </w:rPr>
        <w:t xml:space="preserve"> va Kohtla-Järve ja Narva</w:t>
      </w:r>
      <w:r w:rsidR="00AB27AE" w:rsidRPr="00C50854">
        <w:rPr>
          <w:b w:val="0"/>
        </w:rPr>
        <w:t xml:space="preserve"> 201</w:t>
      </w:r>
      <w:r w:rsidR="00261B57" w:rsidRPr="00C50854">
        <w:rPr>
          <w:b w:val="0"/>
        </w:rPr>
        <w:t>6</w:t>
      </w:r>
      <w:r w:rsidR="00AB27AE" w:rsidRPr="00C50854">
        <w:rPr>
          <w:b w:val="0"/>
        </w:rPr>
        <w:t>-201</w:t>
      </w:r>
      <w:r w:rsidR="00261B57" w:rsidRPr="00C50854">
        <w:rPr>
          <w:b w:val="0"/>
        </w:rPr>
        <w:t>8</w:t>
      </w:r>
    </w:p>
    <w:p w14:paraId="315EC76B" w14:textId="06F8B508" w:rsidR="00165B42" w:rsidRPr="00C50854" w:rsidRDefault="0031640D" w:rsidP="00311E1F">
      <w:pPr>
        <w:pStyle w:val="Loendilik"/>
        <w:numPr>
          <w:ilvl w:val="0"/>
          <w:numId w:val="13"/>
        </w:numPr>
        <w:jc w:val="both"/>
        <w:rPr>
          <w:lang w:eastAsia="et-EE"/>
        </w:rPr>
      </w:pPr>
      <w:r w:rsidRPr="00C50854">
        <w:t xml:space="preserve">Nagu </w:t>
      </w:r>
      <w:r w:rsidR="00E12C4E" w:rsidRPr="00C50854">
        <w:t>ülaltoodud</w:t>
      </w:r>
      <w:r w:rsidR="004F0BBF" w:rsidRPr="00C50854">
        <w:t xml:space="preserve"> tabelis</w:t>
      </w:r>
      <w:r w:rsidR="00E12C4E" w:rsidRPr="00C50854">
        <w:t xml:space="preserve"> </w:t>
      </w:r>
      <w:r w:rsidR="00875262" w:rsidRPr="00C50854">
        <w:t>(</w:t>
      </w:r>
      <w:r w:rsidR="00215F06" w:rsidRPr="00C50854">
        <w:fldChar w:fldCharType="begin"/>
      </w:r>
      <w:r w:rsidR="00215F06" w:rsidRPr="00C50854">
        <w:instrText xml:space="preserve"> REF _Ref464482188 \h </w:instrText>
      </w:r>
      <w:r w:rsidR="00072A34" w:rsidRPr="00C50854">
        <w:instrText xml:space="preserve"> \* MERGEFORMAT </w:instrText>
      </w:r>
      <w:r w:rsidR="00215F06" w:rsidRPr="00C50854">
        <w:fldChar w:fldCharType="separate"/>
      </w:r>
      <w:r w:rsidR="0079054B" w:rsidRPr="00C50854">
        <w:t xml:space="preserve">Tabel </w:t>
      </w:r>
      <w:r w:rsidR="0079054B" w:rsidRPr="00C50854">
        <w:rPr>
          <w:noProof/>
        </w:rPr>
        <w:t>11</w:t>
      </w:r>
      <w:r w:rsidR="00215F06" w:rsidRPr="00C50854">
        <w:fldChar w:fldCharType="end"/>
      </w:r>
      <w:r w:rsidR="00875262" w:rsidRPr="00C50854">
        <w:t>)</w:t>
      </w:r>
      <w:r w:rsidR="00215F06" w:rsidRPr="00C50854">
        <w:t xml:space="preserve"> </w:t>
      </w:r>
      <w:r w:rsidR="00E12C4E" w:rsidRPr="00C50854">
        <w:t xml:space="preserve">näha võib, on </w:t>
      </w:r>
      <w:r w:rsidR="00C926A7" w:rsidRPr="00C50854">
        <w:t xml:space="preserve">kaabelleviteenust osutavad </w:t>
      </w:r>
      <w:r w:rsidR="00E12C4E" w:rsidRPr="00C50854">
        <w:t xml:space="preserve"> </w:t>
      </w:r>
      <w:r w:rsidR="002A5D20" w:rsidRPr="00C50854">
        <w:t>sideettevõtja</w:t>
      </w:r>
      <w:r w:rsidR="00E12C4E" w:rsidRPr="00C50854">
        <w:t>d rajanud Teliaga paralleelse si</w:t>
      </w:r>
      <w:r w:rsidR="00AB27AE" w:rsidRPr="00C50854">
        <w:t>devõrgu suuremates linnades</w:t>
      </w:r>
      <w:r w:rsidR="00AE692A" w:rsidRPr="00C50854">
        <w:t xml:space="preserve"> va Kohtla-Järve ja Narva</w:t>
      </w:r>
      <w:r w:rsidR="00FA5BCE" w:rsidRPr="00C50854">
        <w:t xml:space="preserve">, kuid siiski jääb Telia turuosa klientide osas </w:t>
      </w:r>
      <w:r w:rsidR="00AF3E4B" w:rsidRPr="00C50854">
        <w:t>…*</w:t>
      </w:r>
      <w:r w:rsidR="00FA5BCE" w:rsidRPr="00C50854">
        <w:t xml:space="preserve">% ning tulude osas üle </w:t>
      </w:r>
      <w:r w:rsidR="00AF3E4B" w:rsidRPr="00C50854">
        <w:t>…*</w:t>
      </w:r>
      <w:r w:rsidR="00FA5BCE" w:rsidRPr="00C50854">
        <w:t>%.</w:t>
      </w:r>
    </w:p>
    <w:p w14:paraId="2D0E4EDE" w14:textId="2A0FB89B" w:rsidR="008B6147" w:rsidRPr="00C50854" w:rsidRDefault="00CE0D1D" w:rsidP="00311E1F">
      <w:pPr>
        <w:pStyle w:val="Loendilik"/>
        <w:numPr>
          <w:ilvl w:val="0"/>
          <w:numId w:val="13"/>
        </w:numPr>
        <w:jc w:val="both"/>
        <w:rPr>
          <w:lang w:eastAsia="et-EE"/>
        </w:rPr>
      </w:pPr>
      <w:r w:rsidRPr="00C50854">
        <w:t xml:space="preserve"> </w:t>
      </w:r>
      <w:bookmarkEnd w:id="218"/>
      <w:r w:rsidR="00165B42" w:rsidRPr="00C50854">
        <w:t xml:space="preserve">Alljärgnevas tabelis on välja toodud ettevõtjate turuosad samal perioodil maakondades. Maakondades on Telia turuosa suurem nii ühenduste arvu, klientide kui ka tulude poolest. See on seletatav Telia suurema </w:t>
      </w:r>
      <w:r w:rsidR="000E4411" w:rsidRPr="00C50854">
        <w:t>üle</w:t>
      </w:r>
      <w:r w:rsidR="002F1C71" w:rsidRPr="00C50854">
        <w:t>-e</w:t>
      </w:r>
      <w:r w:rsidR="000E4411" w:rsidRPr="00C50854">
        <w:t xml:space="preserve">estilise </w:t>
      </w:r>
      <w:r w:rsidR="00165B42" w:rsidRPr="00C50854">
        <w:t>võrgu</w:t>
      </w:r>
      <w:r w:rsidR="000E4411" w:rsidRPr="00C50854">
        <w:t xml:space="preserve"> katvusega.</w:t>
      </w:r>
    </w:p>
    <w:tbl>
      <w:tblPr>
        <w:tblW w:w="9862" w:type="dxa"/>
        <w:tblInd w:w="-307" w:type="dxa"/>
        <w:tblCellMar>
          <w:left w:w="70" w:type="dxa"/>
          <w:right w:w="70" w:type="dxa"/>
        </w:tblCellMar>
        <w:tblLook w:val="04A0" w:firstRow="1" w:lastRow="0" w:firstColumn="1" w:lastColumn="0" w:noHBand="0" w:noVBand="1"/>
      </w:tblPr>
      <w:tblGrid>
        <w:gridCol w:w="1201"/>
        <w:gridCol w:w="1052"/>
        <w:gridCol w:w="929"/>
        <w:gridCol w:w="906"/>
        <w:gridCol w:w="1052"/>
        <w:gridCol w:w="929"/>
        <w:gridCol w:w="906"/>
        <w:gridCol w:w="1052"/>
        <w:gridCol w:w="929"/>
        <w:gridCol w:w="906"/>
      </w:tblGrid>
      <w:tr w:rsidR="00165B42" w:rsidRPr="00C50854" w14:paraId="0DF26303" w14:textId="77777777" w:rsidTr="003179E3">
        <w:trPr>
          <w:trHeight w:hRule="exact" w:val="556"/>
        </w:trPr>
        <w:tc>
          <w:tcPr>
            <w:tcW w:w="1201" w:type="dxa"/>
            <w:tcBorders>
              <w:top w:val="double" w:sz="6" w:space="0" w:color="auto"/>
              <w:left w:val="double" w:sz="6" w:space="0" w:color="auto"/>
              <w:bottom w:val="double" w:sz="6" w:space="0" w:color="auto"/>
              <w:right w:val="double" w:sz="6" w:space="0" w:color="auto"/>
            </w:tcBorders>
            <w:shd w:val="clear" w:color="000000" w:fill="CCFFCC"/>
            <w:noWrap/>
            <w:vAlign w:val="center"/>
            <w:hideMark/>
          </w:tcPr>
          <w:p w14:paraId="130D245E" w14:textId="77777777" w:rsidR="00B35EC7" w:rsidRPr="00C50854" w:rsidRDefault="00B35EC7" w:rsidP="003057A9">
            <w:pPr>
              <w:suppressAutoHyphens w:val="0"/>
              <w:spacing w:before="240"/>
              <w:jc w:val="center"/>
              <w:rPr>
                <w:b/>
                <w:sz w:val="20"/>
                <w:szCs w:val="20"/>
                <w:lang w:eastAsia="et-EE"/>
              </w:rPr>
            </w:pPr>
            <w:r w:rsidRPr="00C50854">
              <w:rPr>
                <w:b/>
                <w:sz w:val="20"/>
                <w:szCs w:val="20"/>
                <w:lang w:eastAsia="et-EE"/>
              </w:rPr>
              <w:t>Ettevõtja</w:t>
            </w:r>
          </w:p>
        </w:tc>
        <w:tc>
          <w:tcPr>
            <w:tcW w:w="2887" w:type="dxa"/>
            <w:gridSpan w:val="3"/>
            <w:tcBorders>
              <w:top w:val="double" w:sz="6" w:space="0" w:color="auto"/>
              <w:left w:val="nil"/>
              <w:bottom w:val="double" w:sz="6" w:space="0" w:color="auto"/>
              <w:right w:val="double" w:sz="6" w:space="0" w:color="000000"/>
            </w:tcBorders>
            <w:shd w:val="clear" w:color="000000" w:fill="CCFFCC"/>
            <w:noWrap/>
            <w:vAlign w:val="center"/>
            <w:hideMark/>
          </w:tcPr>
          <w:p w14:paraId="7A38E4D0" w14:textId="77777777" w:rsidR="00B35EC7" w:rsidRPr="00C50854" w:rsidRDefault="00B35EC7" w:rsidP="003057A9">
            <w:pPr>
              <w:suppressAutoHyphens w:val="0"/>
              <w:spacing w:before="240"/>
              <w:jc w:val="center"/>
              <w:rPr>
                <w:b/>
                <w:sz w:val="20"/>
                <w:szCs w:val="20"/>
                <w:lang w:eastAsia="et-EE"/>
              </w:rPr>
            </w:pPr>
            <w:r w:rsidRPr="00C50854">
              <w:rPr>
                <w:b/>
                <w:sz w:val="20"/>
                <w:szCs w:val="20"/>
                <w:lang w:eastAsia="et-EE"/>
              </w:rPr>
              <w:t>Kokku maakonnad 2016. a</w:t>
            </w:r>
          </w:p>
        </w:tc>
        <w:tc>
          <w:tcPr>
            <w:tcW w:w="2887" w:type="dxa"/>
            <w:gridSpan w:val="3"/>
            <w:tcBorders>
              <w:top w:val="double" w:sz="6" w:space="0" w:color="auto"/>
              <w:left w:val="nil"/>
              <w:bottom w:val="double" w:sz="6" w:space="0" w:color="auto"/>
              <w:right w:val="double" w:sz="6" w:space="0" w:color="000000"/>
            </w:tcBorders>
            <w:shd w:val="clear" w:color="000000" w:fill="CCFFCC"/>
            <w:noWrap/>
            <w:vAlign w:val="center"/>
            <w:hideMark/>
          </w:tcPr>
          <w:p w14:paraId="73AF0861" w14:textId="77777777" w:rsidR="00B35EC7" w:rsidRPr="00C50854" w:rsidRDefault="00B35EC7" w:rsidP="003057A9">
            <w:pPr>
              <w:suppressAutoHyphens w:val="0"/>
              <w:spacing w:before="240"/>
              <w:jc w:val="center"/>
              <w:rPr>
                <w:b/>
                <w:sz w:val="20"/>
                <w:szCs w:val="20"/>
                <w:lang w:eastAsia="et-EE"/>
              </w:rPr>
            </w:pPr>
            <w:r w:rsidRPr="00C50854">
              <w:rPr>
                <w:b/>
                <w:sz w:val="20"/>
                <w:szCs w:val="20"/>
                <w:lang w:eastAsia="et-EE"/>
              </w:rPr>
              <w:t>Kokku maakonnad 2017. a</w:t>
            </w:r>
          </w:p>
        </w:tc>
        <w:tc>
          <w:tcPr>
            <w:tcW w:w="2887" w:type="dxa"/>
            <w:gridSpan w:val="3"/>
            <w:tcBorders>
              <w:top w:val="double" w:sz="6" w:space="0" w:color="auto"/>
              <w:left w:val="nil"/>
              <w:bottom w:val="double" w:sz="6" w:space="0" w:color="auto"/>
              <w:right w:val="double" w:sz="6" w:space="0" w:color="000000"/>
            </w:tcBorders>
            <w:shd w:val="clear" w:color="000000" w:fill="CCFFCC"/>
            <w:noWrap/>
            <w:vAlign w:val="center"/>
            <w:hideMark/>
          </w:tcPr>
          <w:p w14:paraId="1CE16528" w14:textId="77777777" w:rsidR="00B35EC7" w:rsidRPr="00C50854" w:rsidRDefault="00B35EC7" w:rsidP="003057A9">
            <w:pPr>
              <w:suppressAutoHyphens w:val="0"/>
              <w:spacing w:before="240"/>
              <w:jc w:val="center"/>
              <w:rPr>
                <w:b/>
                <w:sz w:val="20"/>
                <w:szCs w:val="20"/>
                <w:lang w:eastAsia="et-EE"/>
              </w:rPr>
            </w:pPr>
            <w:r w:rsidRPr="00C50854">
              <w:rPr>
                <w:b/>
                <w:sz w:val="20"/>
                <w:szCs w:val="20"/>
                <w:lang w:eastAsia="et-EE"/>
              </w:rPr>
              <w:t>Kokku maakonnad 2018. a</w:t>
            </w:r>
          </w:p>
        </w:tc>
      </w:tr>
      <w:tr w:rsidR="00165B42" w:rsidRPr="00C50854" w14:paraId="1D4736EC" w14:textId="77777777" w:rsidTr="003179E3">
        <w:trPr>
          <w:trHeight w:hRule="exact" w:val="491"/>
        </w:trPr>
        <w:tc>
          <w:tcPr>
            <w:tcW w:w="1201" w:type="dxa"/>
            <w:tcBorders>
              <w:top w:val="nil"/>
              <w:left w:val="double" w:sz="6" w:space="0" w:color="auto"/>
              <w:bottom w:val="double" w:sz="6" w:space="0" w:color="auto"/>
              <w:right w:val="double" w:sz="6" w:space="0" w:color="auto"/>
            </w:tcBorders>
            <w:shd w:val="clear" w:color="auto" w:fill="auto"/>
            <w:noWrap/>
            <w:vAlign w:val="center"/>
            <w:hideMark/>
          </w:tcPr>
          <w:p w14:paraId="26CD1566" w14:textId="77777777" w:rsidR="00B35EC7" w:rsidRPr="00C50854" w:rsidRDefault="00B35EC7" w:rsidP="00B35EC7">
            <w:pPr>
              <w:suppressAutoHyphens w:val="0"/>
              <w:rPr>
                <w:color w:val="000000"/>
                <w:sz w:val="20"/>
                <w:szCs w:val="20"/>
                <w:lang w:eastAsia="et-EE"/>
              </w:rPr>
            </w:pPr>
            <w:r w:rsidRPr="00C50854">
              <w:rPr>
                <w:color w:val="000000"/>
                <w:sz w:val="20"/>
                <w:szCs w:val="20"/>
                <w:lang w:eastAsia="et-EE"/>
              </w:rPr>
              <w:t> </w:t>
            </w:r>
          </w:p>
        </w:tc>
        <w:tc>
          <w:tcPr>
            <w:tcW w:w="1052" w:type="dxa"/>
            <w:tcBorders>
              <w:top w:val="nil"/>
              <w:left w:val="nil"/>
              <w:bottom w:val="double" w:sz="6" w:space="0" w:color="auto"/>
              <w:right w:val="double" w:sz="6" w:space="0" w:color="auto"/>
            </w:tcBorders>
            <w:shd w:val="clear" w:color="auto" w:fill="auto"/>
            <w:noWrap/>
            <w:vAlign w:val="center"/>
            <w:hideMark/>
          </w:tcPr>
          <w:p w14:paraId="24BAC372" w14:textId="77777777" w:rsidR="00B35EC7" w:rsidRPr="00C50854" w:rsidRDefault="00B35EC7" w:rsidP="003057A9">
            <w:pPr>
              <w:suppressAutoHyphens w:val="0"/>
              <w:jc w:val="center"/>
              <w:rPr>
                <w:b/>
                <w:bCs/>
                <w:color w:val="000000"/>
                <w:sz w:val="20"/>
                <w:szCs w:val="20"/>
                <w:lang w:eastAsia="et-EE"/>
              </w:rPr>
            </w:pPr>
            <w:r w:rsidRPr="00C50854">
              <w:rPr>
                <w:b/>
                <w:bCs/>
                <w:color w:val="000000"/>
                <w:sz w:val="20"/>
                <w:szCs w:val="20"/>
                <w:lang w:eastAsia="et-EE"/>
              </w:rPr>
              <w:t>Ühenduste arv</w:t>
            </w:r>
          </w:p>
        </w:tc>
        <w:tc>
          <w:tcPr>
            <w:tcW w:w="929" w:type="dxa"/>
            <w:tcBorders>
              <w:top w:val="nil"/>
              <w:left w:val="nil"/>
              <w:bottom w:val="double" w:sz="6" w:space="0" w:color="auto"/>
              <w:right w:val="double" w:sz="6" w:space="0" w:color="auto"/>
            </w:tcBorders>
            <w:shd w:val="clear" w:color="auto" w:fill="auto"/>
            <w:noWrap/>
            <w:vAlign w:val="center"/>
            <w:hideMark/>
          </w:tcPr>
          <w:p w14:paraId="2BE8BAA4" w14:textId="77777777" w:rsidR="00B35EC7" w:rsidRPr="00C50854" w:rsidRDefault="00B35EC7" w:rsidP="003057A9">
            <w:pPr>
              <w:suppressAutoHyphens w:val="0"/>
              <w:jc w:val="center"/>
              <w:rPr>
                <w:b/>
                <w:bCs/>
                <w:color w:val="000000"/>
                <w:sz w:val="20"/>
                <w:szCs w:val="20"/>
                <w:lang w:eastAsia="et-EE"/>
              </w:rPr>
            </w:pPr>
            <w:r w:rsidRPr="00C50854">
              <w:rPr>
                <w:b/>
                <w:bCs/>
                <w:color w:val="000000"/>
                <w:sz w:val="20"/>
                <w:szCs w:val="20"/>
                <w:lang w:eastAsia="et-EE"/>
              </w:rPr>
              <w:t>Klientide arv</w:t>
            </w:r>
          </w:p>
        </w:tc>
        <w:tc>
          <w:tcPr>
            <w:tcW w:w="906" w:type="dxa"/>
            <w:tcBorders>
              <w:top w:val="nil"/>
              <w:left w:val="nil"/>
              <w:bottom w:val="double" w:sz="6" w:space="0" w:color="auto"/>
              <w:right w:val="double" w:sz="6" w:space="0" w:color="auto"/>
            </w:tcBorders>
            <w:shd w:val="clear" w:color="auto" w:fill="auto"/>
            <w:noWrap/>
            <w:vAlign w:val="center"/>
            <w:hideMark/>
          </w:tcPr>
          <w:p w14:paraId="1A4CF155" w14:textId="77777777" w:rsidR="00B35EC7" w:rsidRPr="00C50854" w:rsidRDefault="00B35EC7" w:rsidP="003057A9">
            <w:pPr>
              <w:suppressAutoHyphens w:val="0"/>
              <w:jc w:val="center"/>
              <w:rPr>
                <w:b/>
                <w:bCs/>
                <w:color w:val="000000"/>
                <w:sz w:val="20"/>
                <w:szCs w:val="20"/>
                <w:lang w:eastAsia="et-EE"/>
              </w:rPr>
            </w:pPr>
            <w:r w:rsidRPr="00C50854">
              <w:rPr>
                <w:b/>
                <w:bCs/>
                <w:color w:val="000000"/>
                <w:sz w:val="20"/>
                <w:szCs w:val="20"/>
                <w:lang w:eastAsia="et-EE"/>
              </w:rPr>
              <w:t>Tulud</w:t>
            </w:r>
          </w:p>
        </w:tc>
        <w:tc>
          <w:tcPr>
            <w:tcW w:w="1052" w:type="dxa"/>
            <w:tcBorders>
              <w:top w:val="nil"/>
              <w:left w:val="nil"/>
              <w:bottom w:val="double" w:sz="6" w:space="0" w:color="auto"/>
              <w:right w:val="double" w:sz="6" w:space="0" w:color="auto"/>
            </w:tcBorders>
            <w:shd w:val="clear" w:color="auto" w:fill="auto"/>
            <w:noWrap/>
            <w:vAlign w:val="center"/>
            <w:hideMark/>
          </w:tcPr>
          <w:p w14:paraId="14D315DC" w14:textId="77777777" w:rsidR="00B35EC7" w:rsidRPr="00C50854" w:rsidRDefault="00B35EC7" w:rsidP="003057A9">
            <w:pPr>
              <w:suppressAutoHyphens w:val="0"/>
              <w:jc w:val="center"/>
              <w:rPr>
                <w:b/>
                <w:bCs/>
                <w:color w:val="000000"/>
                <w:sz w:val="20"/>
                <w:szCs w:val="20"/>
                <w:lang w:eastAsia="et-EE"/>
              </w:rPr>
            </w:pPr>
            <w:r w:rsidRPr="00C50854">
              <w:rPr>
                <w:b/>
                <w:bCs/>
                <w:color w:val="000000"/>
                <w:sz w:val="20"/>
                <w:szCs w:val="20"/>
                <w:lang w:eastAsia="et-EE"/>
              </w:rPr>
              <w:t>Ühenduste arv</w:t>
            </w:r>
          </w:p>
        </w:tc>
        <w:tc>
          <w:tcPr>
            <w:tcW w:w="929" w:type="dxa"/>
            <w:tcBorders>
              <w:top w:val="nil"/>
              <w:left w:val="nil"/>
              <w:bottom w:val="double" w:sz="6" w:space="0" w:color="auto"/>
              <w:right w:val="double" w:sz="6" w:space="0" w:color="auto"/>
            </w:tcBorders>
            <w:shd w:val="clear" w:color="auto" w:fill="auto"/>
            <w:noWrap/>
            <w:vAlign w:val="center"/>
            <w:hideMark/>
          </w:tcPr>
          <w:p w14:paraId="00FA5372" w14:textId="77777777" w:rsidR="00B35EC7" w:rsidRPr="00C50854" w:rsidRDefault="00B35EC7" w:rsidP="003057A9">
            <w:pPr>
              <w:suppressAutoHyphens w:val="0"/>
              <w:jc w:val="center"/>
              <w:rPr>
                <w:b/>
                <w:bCs/>
                <w:color w:val="000000"/>
                <w:sz w:val="20"/>
                <w:szCs w:val="20"/>
                <w:lang w:eastAsia="et-EE"/>
              </w:rPr>
            </w:pPr>
            <w:r w:rsidRPr="00C50854">
              <w:rPr>
                <w:b/>
                <w:bCs/>
                <w:color w:val="000000"/>
                <w:sz w:val="20"/>
                <w:szCs w:val="20"/>
                <w:lang w:eastAsia="et-EE"/>
              </w:rPr>
              <w:t>Klientide arv</w:t>
            </w:r>
          </w:p>
        </w:tc>
        <w:tc>
          <w:tcPr>
            <w:tcW w:w="906" w:type="dxa"/>
            <w:tcBorders>
              <w:top w:val="nil"/>
              <w:left w:val="nil"/>
              <w:bottom w:val="double" w:sz="6" w:space="0" w:color="auto"/>
              <w:right w:val="double" w:sz="6" w:space="0" w:color="auto"/>
            </w:tcBorders>
            <w:shd w:val="clear" w:color="auto" w:fill="auto"/>
            <w:noWrap/>
            <w:vAlign w:val="center"/>
            <w:hideMark/>
          </w:tcPr>
          <w:p w14:paraId="1E5FEA93" w14:textId="77777777" w:rsidR="00B35EC7" w:rsidRPr="00C50854" w:rsidRDefault="00B35EC7" w:rsidP="003057A9">
            <w:pPr>
              <w:suppressAutoHyphens w:val="0"/>
              <w:jc w:val="center"/>
              <w:rPr>
                <w:b/>
                <w:bCs/>
                <w:color w:val="000000"/>
                <w:sz w:val="20"/>
                <w:szCs w:val="20"/>
                <w:lang w:eastAsia="et-EE"/>
              </w:rPr>
            </w:pPr>
            <w:r w:rsidRPr="00C50854">
              <w:rPr>
                <w:b/>
                <w:bCs/>
                <w:color w:val="000000"/>
                <w:sz w:val="20"/>
                <w:szCs w:val="20"/>
                <w:lang w:eastAsia="et-EE"/>
              </w:rPr>
              <w:t>Tulud</w:t>
            </w:r>
          </w:p>
        </w:tc>
        <w:tc>
          <w:tcPr>
            <w:tcW w:w="1052" w:type="dxa"/>
            <w:tcBorders>
              <w:top w:val="nil"/>
              <w:left w:val="nil"/>
              <w:bottom w:val="double" w:sz="6" w:space="0" w:color="auto"/>
              <w:right w:val="double" w:sz="6" w:space="0" w:color="auto"/>
            </w:tcBorders>
            <w:shd w:val="clear" w:color="auto" w:fill="auto"/>
            <w:noWrap/>
            <w:vAlign w:val="center"/>
            <w:hideMark/>
          </w:tcPr>
          <w:p w14:paraId="60B6B8AE" w14:textId="77777777" w:rsidR="00B35EC7" w:rsidRPr="00C50854" w:rsidRDefault="00B35EC7" w:rsidP="003057A9">
            <w:pPr>
              <w:suppressAutoHyphens w:val="0"/>
              <w:jc w:val="center"/>
              <w:rPr>
                <w:b/>
                <w:bCs/>
                <w:color w:val="000000"/>
                <w:sz w:val="20"/>
                <w:szCs w:val="20"/>
                <w:lang w:eastAsia="et-EE"/>
              </w:rPr>
            </w:pPr>
            <w:r w:rsidRPr="00C50854">
              <w:rPr>
                <w:b/>
                <w:bCs/>
                <w:color w:val="000000"/>
                <w:sz w:val="20"/>
                <w:szCs w:val="20"/>
                <w:lang w:eastAsia="et-EE"/>
              </w:rPr>
              <w:t>Ühenduste arv</w:t>
            </w:r>
          </w:p>
        </w:tc>
        <w:tc>
          <w:tcPr>
            <w:tcW w:w="929" w:type="dxa"/>
            <w:tcBorders>
              <w:top w:val="nil"/>
              <w:left w:val="nil"/>
              <w:bottom w:val="double" w:sz="6" w:space="0" w:color="auto"/>
              <w:right w:val="double" w:sz="6" w:space="0" w:color="auto"/>
            </w:tcBorders>
            <w:shd w:val="clear" w:color="auto" w:fill="auto"/>
            <w:noWrap/>
            <w:vAlign w:val="center"/>
            <w:hideMark/>
          </w:tcPr>
          <w:p w14:paraId="5CD7E827" w14:textId="77777777" w:rsidR="00B35EC7" w:rsidRPr="00C50854" w:rsidRDefault="00B35EC7" w:rsidP="003057A9">
            <w:pPr>
              <w:suppressAutoHyphens w:val="0"/>
              <w:jc w:val="center"/>
              <w:rPr>
                <w:b/>
                <w:bCs/>
                <w:color w:val="000000"/>
                <w:sz w:val="20"/>
                <w:szCs w:val="20"/>
                <w:lang w:eastAsia="et-EE"/>
              </w:rPr>
            </w:pPr>
            <w:r w:rsidRPr="00C50854">
              <w:rPr>
                <w:b/>
                <w:bCs/>
                <w:color w:val="000000"/>
                <w:sz w:val="20"/>
                <w:szCs w:val="20"/>
                <w:lang w:eastAsia="et-EE"/>
              </w:rPr>
              <w:t>Klientide arv</w:t>
            </w:r>
          </w:p>
        </w:tc>
        <w:tc>
          <w:tcPr>
            <w:tcW w:w="906" w:type="dxa"/>
            <w:tcBorders>
              <w:top w:val="nil"/>
              <w:left w:val="nil"/>
              <w:bottom w:val="double" w:sz="6" w:space="0" w:color="auto"/>
              <w:right w:val="double" w:sz="6" w:space="0" w:color="auto"/>
            </w:tcBorders>
            <w:shd w:val="clear" w:color="auto" w:fill="auto"/>
            <w:noWrap/>
            <w:vAlign w:val="center"/>
            <w:hideMark/>
          </w:tcPr>
          <w:p w14:paraId="61F208C4" w14:textId="77777777" w:rsidR="00B35EC7" w:rsidRPr="00C50854" w:rsidRDefault="00B35EC7" w:rsidP="003057A9">
            <w:pPr>
              <w:suppressAutoHyphens w:val="0"/>
              <w:jc w:val="center"/>
              <w:rPr>
                <w:b/>
                <w:bCs/>
                <w:color w:val="000000"/>
                <w:sz w:val="20"/>
                <w:szCs w:val="20"/>
                <w:lang w:eastAsia="et-EE"/>
              </w:rPr>
            </w:pPr>
            <w:r w:rsidRPr="00C50854">
              <w:rPr>
                <w:b/>
                <w:bCs/>
                <w:color w:val="000000"/>
                <w:sz w:val="20"/>
                <w:szCs w:val="20"/>
                <w:lang w:eastAsia="et-EE"/>
              </w:rPr>
              <w:t>Tulud</w:t>
            </w:r>
          </w:p>
        </w:tc>
      </w:tr>
      <w:tr w:rsidR="00AF3E4B" w:rsidRPr="00C50854" w14:paraId="539D1B9B" w14:textId="77777777" w:rsidTr="003179E3">
        <w:trPr>
          <w:trHeight w:hRule="exact" w:val="294"/>
        </w:trPr>
        <w:tc>
          <w:tcPr>
            <w:tcW w:w="1201" w:type="dxa"/>
            <w:tcBorders>
              <w:top w:val="nil"/>
              <w:left w:val="double" w:sz="6" w:space="0" w:color="auto"/>
              <w:bottom w:val="double" w:sz="6" w:space="0" w:color="auto"/>
              <w:right w:val="double" w:sz="6" w:space="0" w:color="auto"/>
            </w:tcBorders>
            <w:shd w:val="clear" w:color="auto" w:fill="auto"/>
            <w:noWrap/>
            <w:vAlign w:val="center"/>
            <w:hideMark/>
          </w:tcPr>
          <w:p w14:paraId="5012CEE7" w14:textId="77777777" w:rsidR="00AF3E4B" w:rsidRPr="00C50854" w:rsidRDefault="00AF3E4B" w:rsidP="00AF3E4B">
            <w:pPr>
              <w:suppressAutoHyphens w:val="0"/>
              <w:rPr>
                <w:color w:val="000000"/>
                <w:sz w:val="20"/>
                <w:szCs w:val="20"/>
                <w:lang w:eastAsia="et-EE"/>
              </w:rPr>
            </w:pPr>
            <w:r w:rsidRPr="00C50854">
              <w:rPr>
                <w:color w:val="000000"/>
                <w:sz w:val="20"/>
                <w:szCs w:val="20"/>
                <w:lang w:eastAsia="et-EE"/>
              </w:rPr>
              <w:t>Telia</w:t>
            </w:r>
          </w:p>
        </w:tc>
        <w:tc>
          <w:tcPr>
            <w:tcW w:w="1052" w:type="dxa"/>
            <w:tcBorders>
              <w:top w:val="double" w:sz="4" w:space="0" w:color="auto"/>
              <w:left w:val="double" w:sz="4" w:space="0" w:color="auto"/>
              <w:bottom w:val="double" w:sz="4" w:space="0" w:color="auto"/>
              <w:right w:val="double" w:sz="4" w:space="0" w:color="auto"/>
            </w:tcBorders>
            <w:shd w:val="clear" w:color="auto" w:fill="auto"/>
            <w:noWrap/>
            <w:hideMark/>
          </w:tcPr>
          <w:p w14:paraId="7C986595" w14:textId="33E7940E"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929" w:type="dxa"/>
            <w:tcBorders>
              <w:top w:val="double" w:sz="4" w:space="0" w:color="auto"/>
              <w:left w:val="double" w:sz="4" w:space="0" w:color="auto"/>
              <w:bottom w:val="double" w:sz="4" w:space="0" w:color="auto"/>
              <w:right w:val="double" w:sz="4" w:space="0" w:color="auto"/>
            </w:tcBorders>
            <w:shd w:val="clear" w:color="auto" w:fill="auto"/>
            <w:noWrap/>
            <w:hideMark/>
          </w:tcPr>
          <w:p w14:paraId="7D7DF405" w14:textId="49C3D239" w:rsidR="00AF3E4B" w:rsidRPr="00C50854" w:rsidRDefault="00AF3E4B" w:rsidP="00AF3E4B">
            <w:pPr>
              <w:suppressAutoHyphens w:val="0"/>
              <w:jc w:val="center"/>
              <w:rPr>
                <w:color w:val="000000"/>
                <w:sz w:val="20"/>
                <w:szCs w:val="20"/>
                <w:lang w:eastAsia="et-EE"/>
              </w:rPr>
            </w:pPr>
            <w:r w:rsidRPr="00C50854">
              <w:rPr>
                <w:sz w:val="20"/>
                <w:szCs w:val="20"/>
              </w:rPr>
              <w:t>79</w:t>
            </w:r>
            <w:r w:rsidRPr="00C50854">
              <w:rPr>
                <w:sz w:val="20"/>
              </w:rPr>
              <w:t>%</w:t>
            </w:r>
          </w:p>
        </w:tc>
        <w:tc>
          <w:tcPr>
            <w:tcW w:w="906" w:type="dxa"/>
            <w:tcBorders>
              <w:top w:val="double" w:sz="4" w:space="0" w:color="auto"/>
              <w:left w:val="double" w:sz="4" w:space="0" w:color="auto"/>
              <w:bottom w:val="double" w:sz="4" w:space="0" w:color="auto"/>
              <w:right w:val="double" w:sz="4" w:space="0" w:color="auto"/>
            </w:tcBorders>
            <w:shd w:val="clear" w:color="auto" w:fill="auto"/>
            <w:noWrap/>
            <w:hideMark/>
          </w:tcPr>
          <w:p w14:paraId="64075D6C" w14:textId="3435B5F0"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1052" w:type="dxa"/>
            <w:tcBorders>
              <w:top w:val="double" w:sz="4" w:space="0" w:color="auto"/>
              <w:left w:val="double" w:sz="4" w:space="0" w:color="auto"/>
              <w:bottom w:val="double" w:sz="4" w:space="0" w:color="auto"/>
              <w:right w:val="double" w:sz="4" w:space="0" w:color="auto"/>
            </w:tcBorders>
            <w:shd w:val="clear" w:color="auto" w:fill="auto"/>
            <w:noWrap/>
            <w:hideMark/>
          </w:tcPr>
          <w:p w14:paraId="0997F0F3" w14:textId="2095533A"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929" w:type="dxa"/>
            <w:tcBorders>
              <w:top w:val="double" w:sz="4" w:space="0" w:color="auto"/>
              <w:left w:val="double" w:sz="4" w:space="0" w:color="auto"/>
              <w:bottom w:val="double" w:sz="4" w:space="0" w:color="auto"/>
              <w:right w:val="double" w:sz="4" w:space="0" w:color="auto"/>
            </w:tcBorders>
            <w:shd w:val="clear" w:color="auto" w:fill="auto"/>
            <w:noWrap/>
            <w:hideMark/>
          </w:tcPr>
          <w:p w14:paraId="25033F4B" w14:textId="3789327D" w:rsidR="00AF3E4B" w:rsidRPr="00C50854" w:rsidRDefault="00AF3E4B" w:rsidP="00AF3E4B">
            <w:pPr>
              <w:suppressAutoHyphens w:val="0"/>
              <w:jc w:val="center"/>
              <w:rPr>
                <w:color w:val="000000"/>
                <w:sz w:val="20"/>
                <w:szCs w:val="20"/>
                <w:lang w:eastAsia="et-EE"/>
              </w:rPr>
            </w:pPr>
            <w:r w:rsidRPr="00C50854">
              <w:rPr>
                <w:sz w:val="20"/>
                <w:szCs w:val="20"/>
              </w:rPr>
              <w:t>78</w:t>
            </w:r>
            <w:r w:rsidRPr="00C50854">
              <w:rPr>
                <w:sz w:val="20"/>
              </w:rPr>
              <w:t>%</w:t>
            </w:r>
          </w:p>
        </w:tc>
        <w:tc>
          <w:tcPr>
            <w:tcW w:w="906" w:type="dxa"/>
            <w:tcBorders>
              <w:top w:val="double" w:sz="4" w:space="0" w:color="auto"/>
              <w:left w:val="double" w:sz="4" w:space="0" w:color="auto"/>
              <w:bottom w:val="double" w:sz="4" w:space="0" w:color="auto"/>
              <w:right w:val="double" w:sz="4" w:space="0" w:color="auto"/>
            </w:tcBorders>
            <w:shd w:val="clear" w:color="auto" w:fill="auto"/>
            <w:noWrap/>
            <w:hideMark/>
          </w:tcPr>
          <w:p w14:paraId="089FEFC0" w14:textId="44749B31"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1052" w:type="dxa"/>
            <w:tcBorders>
              <w:top w:val="double" w:sz="4" w:space="0" w:color="auto"/>
              <w:left w:val="double" w:sz="4" w:space="0" w:color="auto"/>
              <w:bottom w:val="double" w:sz="4" w:space="0" w:color="auto"/>
              <w:right w:val="double" w:sz="4" w:space="0" w:color="auto"/>
            </w:tcBorders>
            <w:shd w:val="clear" w:color="auto" w:fill="auto"/>
            <w:noWrap/>
            <w:hideMark/>
          </w:tcPr>
          <w:p w14:paraId="7ABD4182" w14:textId="2538D939"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929" w:type="dxa"/>
            <w:tcBorders>
              <w:top w:val="double" w:sz="4" w:space="0" w:color="auto"/>
              <w:left w:val="double" w:sz="4" w:space="0" w:color="auto"/>
              <w:bottom w:val="double" w:sz="4" w:space="0" w:color="auto"/>
              <w:right w:val="double" w:sz="4" w:space="0" w:color="auto"/>
            </w:tcBorders>
            <w:shd w:val="clear" w:color="auto" w:fill="auto"/>
            <w:noWrap/>
            <w:hideMark/>
          </w:tcPr>
          <w:p w14:paraId="4987113C" w14:textId="0648F4F5" w:rsidR="00AF3E4B" w:rsidRPr="00C50854" w:rsidRDefault="00AF3E4B" w:rsidP="00AF3E4B">
            <w:pPr>
              <w:suppressAutoHyphens w:val="0"/>
              <w:jc w:val="center"/>
              <w:rPr>
                <w:color w:val="000000"/>
                <w:sz w:val="20"/>
                <w:szCs w:val="20"/>
                <w:lang w:eastAsia="et-EE"/>
              </w:rPr>
            </w:pPr>
            <w:r w:rsidRPr="00C50854">
              <w:rPr>
                <w:sz w:val="20"/>
                <w:szCs w:val="20"/>
              </w:rPr>
              <w:t>78</w:t>
            </w:r>
            <w:r w:rsidRPr="00C50854">
              <w:rPr>
                <w:sz w:val="20"/>
              </w:rPr>
              <w:t>%</w:t>
            </w:r>
          </w:p>
        </w:tc>
        <w:tc>
          <w:tcPr>
            <w:tcW w:w="906" w:type="dxa"/>
            <w:tcBorders>
              <w:top w:val="double" w:sz="4" w:space="0" w:color="auto"/>
              <w:left w:val="double" w:sz="4" w:space="0" w:color="auto"/>
              <w:bottom w:val="double" w:sz="4" w:space="0" w:color="auto"/>
              <w:right w:val="double" w:sz="4" w:space="0" w:color="auto"/>
            </w:tcBorders>
            <w:shd w:val="clear" w:color="auto" w:fill="auto"/>
            <w:noWrap/>
            <w:hideMark/>
          </w:tcPr>
          <w:p w14:paraId="5DAD121F" w14:textId="547B5027" w:rsidR="00AF3E4B" w:rsidRPr="00C50854" w:rsidRDefault="00AF3E4B" w:rsidP="00AF3E4B">
            <w:pPr>
              <w:suppressAutoHyphens w:val="0"/>
              <w:jc w:val="center"/>
              <w:rPr>
                <w:color w:val="000000"/>
                <w:sz w:val="20"/>
                <w:szCs w:val="20"/>
                <w:lang w:eastAsia="et-EE"/>
              </w:rPr>
            </w:pPr>
            <w:r w:rsidRPr="00C50854">
              <w:rPr>
                <w:sz w:val="20"/>
                <w:szCs w:val="20"/>
              </w:rPr>
              <w:t>...*%</w:t>
            </w:r>
          </w:p>
        </w:tc>
      </w:tr>
      <w:tr w:rsidR="00AF3E4B" w:rsidRPr="00C50854" w14:paraId="3623A77A" w14:textId="77777777" w:rsidTr="003179E3">
        <w:trPr>
          <w:trHeight w:hRule="exact" w:val="294"/>
        </w:trPr>
        <w:tc>
          <w:tcPr>
            <w:tcW w:w="1201" w:type="dxa"/>
            <w:tcBorders>
              <w:top w:val="nil"/>
              <w:left w:val="double" w:sz="6" w:space="0" w:color="auto"/>
              <w:bottom w:val="double" w:sz="6" w:space="0" w:color="auto"/>
              <w:right w:val="double" w:sz="6" w:space="0" w:color="auto"/>
            </w:tcBorders>
            <w:shd w:val="clear" w:color="auto" w:fill="auto"/>
            <w:noWrap/>
            <w:vAlign w:val="center"/>
            <w:hideMark/>
          </w:tcPr>
          <w:p w14:paraId="4D38FC2C" w14:textId="77777777" w:rsidR="00AF3E4B" w:rsidRPr="00C50854" w:rsidRDefault="00AF3E4B" w:rsidP="00AF3E4B">
            <w:pPr>
              <w:suppressAutoHyphens w:val="0"/>
              <w:rPr>
                <w:color w:val="000000"/>
                <w:sz w:val="20"/>
                <w:szCs w:val="20"/>
                <w:lang w:eastAsia="et-EE"/>
              </w:rPr>
            </w:pPr>
            <w:r w:rsidRPr="00C50854">
              <w:rPr>
                <w:color w:val="000000"/>
                <w:sz w:val="20"/>
                <w:szCs w:val="20"/>
                <w:lang w:eastAsia="et-EE"/>
              </w:rPr>
              <w:t>Teleteenused</w:t>
            </w:r>
          </w:p>
        </w:tc>
        <w:tc>
          <w:tcPr>
            <w:tcW w:w="1052" w:type="dxa"/>
            <w:tcBorders>
              <w:top w:val="double" w:sz="4" w:space="0" w:color="auto"/>
              <w:left w:val="double" w:sz="4" w:space="0" w:color="auto"/>
              <w:bottom w:val="double" w:sz="4" w:space="0" w:color="auto"/>
              <w:right w:val="double" w:sz="4" w:space="0" w:color="auto"/>
            </w:tcBorders>
            <w:shd w:val="clear" w:color="auto" w:fill="auto"/>
            <w:noWrap/>
            <w:hideMark/>
          </w:tcPr>
          <w:p w14:paraId="1E2F0F49" w14:textId="4C1779FA"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929" w:type="dxa"/>
            <w:tcBorders>
              <w:top w:val="double" w:sz="4" w:space="0" w:color="auto"/>
              <w:left w:val="double" w:sz="4" w:space="0" w:color="auto"/>
              <w:bottom w:val="double" w:sz="4" w:space="0" w:color="auto"/>
              <w:right w:val="double" w:sz="4" w:space="0" w:color="auto"/>
            </w:tcBorders>
            <w:shd w:val="clear" w:color="auto" w:fill="auto"/>
            <w:noWrap/>
            <w:hideMark/>
          </w:tcPr>
          <w:p w14:paraId="0E6A1B32" w14:textId="6F4F978A" w:rsidR="00AF3E4B" w:rsidRPr="00C50854" w:rsidRDefault="00AF3E4B" w:rsidP="00AF3E4B">
            <w:pPr>
              <w:suppressAutoHyphens w:val="0"/>
              <w:jc w:val="center"/>
              <w:rPr>
                <w:color w:val="000000"/>
                <w:sz w:val="20"/>
                <w:szCs w:val="20"/>
                <w:lang w:eastAsia="et-EE"/>
              </w:rPr>
            </w:pPr>
            <w:r w:rsidRPr="00C50854">
              <w:rPr>
                <w:sz w:val="20"/>
                <w:szCs w:val="20"/>
              </w:rPr>
              <w:t>15</w:t>
            </w:r>
            <w:r w:rsidRPr="00C50854">
              <w:rPr>
                <w:sz w:val="20"/>
              </w:rPr>
              <w:t>%</w:t>
            </w:r>
          </w:p>
        </w:tc>
        <w:tc>
          <w:tcPr>
            <w:tcW w:w="906" w:type="dxa"/>
            <w:tcBorders>
              <w:top w:val="double" w:sz="4" w:space="0" w:color="auto"/>
              <w:left w:val="double" w:sz="4" w:space="0" w:color="auto"/>
              <w:bottom w:val="double" w:sz="4" w:space="0" w:color="auto"/>
              <w:right w:val="double" w:sz="4" w:space="0" w:color="auto"/>
            </w:tcBorders>
            <w:shd w:val="clear" w:color="auto" w:fill="auto"/>
            <w:noWrap/>
            <w:hideMark/>
          </w:tcPr>
          <w:p w14:paraId="17A1FF12" w14:textId="6968560D"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1052" w:type="dxa"/>
            <w:tcBorders>
              <w:top w:val="double" w:sz="4" w:space="0" w:color="auto"/>
              <w:left w:val="double" w:sz="4" w:space="0" w:color="auto"/>
              <w:bottom w:val="double" w:sz="4" w:space="0" w:color="auto"/>
              <w:right w:val="double" w:sz="4" w:space="0" w:color="auto"/>
            </w:tcBorders>
            <w:shd w:val="clear" w:color="auto" w:fill="auto"/>
            <w:noWrap/>
            <w:hideMark/>
          </w:tcPr>
          <w:p w14:paraId="3CC307F7" w14:textId="62802649"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929" w:type="dxa"/>
            <w:tcBorders>
              <w:top w:val="double" w:sz="4" w:space="0" w:color="auto"/>
              <w:left w:val="double" w:sz="4" w:space="0" w:color="auto"/>
              <w:bottom w:val="double" w:sz="4" w:space="0" w:color="auto"/>
              <w:right w:val="double" w:sz="4" w:space="0" w:color="auto"/>
            </w:tcBorders>
            <w:shd w:val="clear" w:color="auto" w:fill="auto"/>
            <w:noWrap/>
            <w:hideMark/>
          </w:tcPr>
          <w:p w14:paraId="211571F0" w14:textId="424ED38E" w:rsidR="00AF3E4B" w:rsidRPr="00C50854" w:rsidRDefault="00AF3E4B" w:rsidP="00AF3E4B">
            <w:pPr>
              <w:suppressAutoHyphens w:val="0"/>
              <w:jc w:val="center"/>
              <w:rPr>
                <w:color w:val="000000"/>
                <w:sz w:val="20"/>
                <w:szCs w:val="20"/>
                <w:lang w:eastAsia="et-EE"/>
              </w:rPr>
            </w:pPr>
            <w:r w:rsidRPr="00C50854">
              <w:rPr>
                <w:sz w:val="20"/>
                <w:szCs w:val="20"/>
              </w:rPr>
              <w:t>15</w:t>
            </w:r>
            <w:r w:rsidRPr="00C50854">
              <w:rPr>
                <w:sz w:val="20"/>
              </w:rPr>
              <w:t>%</w:t>
            </w:r>
          </w:p>
        </w:tc>
        <w:tc>
          <w:tcPr>
            <w:tcW w:w="906" w:type="dxa"/>
            <w:tcBorders>
              <w:top w:val="double" w:sz="4" w:space="0" w:color="auto"/>
              <w:left w:val="double" w:sz="4" w:space="0" w:color="auto"/>
              <w:bottom w:val="double" w:sz="4" w:space="0" w:color="auto"/>
              <w:right w:val="double" w:sz="4" w:space="0" w:color="auto"/>
            </w:tcBorders>
            <w:shd w:val="clear" w:color="auto" w:fill="auto"/>
            <w:noWrap/>
            <w:hideMark/>
          </w:tcPr>
          <w:p w14:paraId="4EC0CA8B" w14:textId="68D286DF"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1052" w:type="dxa"/>
            <w:tcBorders>
              <w:top w:val="double" w:sz="4" w:space="0" w:color="auto"/>
              <w:left w:val="double" w:sz="4" w:space="0" w:color="auto"/>
              <w:bottom w:val="double" w:sz="4" w:space="0" w:color="auto"/>
              <w:right w:val="double" w:sz="4" w:space="0" w:color="auto"/>
            </w:tcBorders>
            <w:shd w:val="clear" w:color="auto" w:fill="auto"/>
            <w:noWrap/>
            <w:hideMark/>
          </w:tcPr>
          <w:p w14:paraId="552725D7" w14:textId="36D30A54"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929" w:type="dxa"/>
            <w:tcBorders>
              <w:top w:val="double" w:sz="4" w:space="0" w:color="auto"/>
              <w:left w:val="double" w:sz="4" w:space="0" w:color="auto"/>
              <w:bottom w:val="double" w:sz="4" w:space="0" w:color="auto"/>
              <w:right w:val="double" w:sz="4" w:space="0" w:color="auto"/>
            </w:tcBorders>
            <w:shd w:val="clear" w:color="auto" w:fill="auto"/>
            <w:noWrap/>
            <w:hideMark/>
          </w:tcPr>
          <w:p w14:paraId="59E37FCC" w14:textId="1BD95C8B" w:rsidR="00AF3E4B" w:rsidRPr="00C50854" w:rsidRDefault="00AF3E4B" w:rsidP="00AF3E4B">
            <w:pPr>
              <w:suppressAutoHyphens w:val="0"/>
              <w:jc w:val="center"/>
              <w:rPr>
                <w:color w:val="000000"/>
                <w:sz w:val="20"/>
                <w:szCs w:val="20"/>
                <w:lang w:eastAsia="et-EE"/>
              </w:rPr>
            </w:pPr>
            <w:r w:rsidRPr="00C50854">
              <w:rPr>
                <w:sz w:val="20"/>
                <w:szCs w:val="20"/>
              </w:rPr>
              <w:t>15</w:t>
            </w:r>
            <w:r w:rsidRPr="00C50854">
              <w:rPr>
                <w:sz w:val="20"/>
              </w:rPr>
              <w:t>%</w:t>
            </w:r>
          </w:p>
        </w:tc>
        <w:tc>
          <w:tcPr>
            <w:tcW w:w="906" w:type="dxa"/>
            <w:tcBorders>
              <w:top w:val="double" w:sz="4" w:space="0" w:color="auto"/>
              <w:left w:val="double" w:sz="4" w:space="0" w:color="auto"/>
              <w:bottom w:val="double" w:sz="4" w:space="0" w:color="auto"/>
              <w:right w:val="double" w:sz="4" w:space="0" w:color="auto"/>
            </w:tcBorders>
            <w:shd w:val="clear" w:color="auto" w:fill="auto"/>
            <w:noWrap/>
            <w:hideMark/>
          </w:tcPr>
          <w:p w14:paraId="07AA9505" w14:textId="45E65B3E" w:rsidR="00AF3E4B" w:rsidRPr="00C50854" w:rsidRDefault="00AF3E4B" w:rsidP="00AF3E4B">
            <w:pPr>
              <w:suppressAutoHyphens w:val="0"/>
              <w:jc w:val="center"/>
              <w:rPr>
                <w:color w:val="000000"/>
                <w:sz w:val="20"/>
                <w:szCs w:val="20"/>
                <w:lang w:eastAsia="et-EE"/>
              </w:rPr>
            </w:pPr>
            <w:r w:rsidRPr="00C50854">
              <w:rPr>
                <w:sz w:val="20"/>
                <w:szCs w:val="20"/>
              </w:rPr>
              <w:t>...*%</w:t>
            </w:r>
          </w:p>
        </w:tc>
      </w:tr>
      <w:tr w:rsidR="00AF3E4B" w:rsidRPr="00C50854" w14:paraId="1826641E" w14:textId="77777777" w:rsidTr="003179E3">
        <w:trPr>
          <w:trHeight w:hRule="exact" w:val="294"/>
        </w:trPr>
        <w:tc>
          <w:tcPr>
            <w:tcW w:w="1201" w:type="dxa"/>
            <w:tcBorders>
              <w:top w:val="nil"/>
              <w:left w:val="double" w:sz="6" w:space="0" w:color="auto"/>
              <w:bottom w:val="double" w:sz="6" w:space="0" w:color="auto"/>
              <w:right w:val="double" w:sz="6" w:space="0" w:color="auto"/>
            </w:tcBorders>
            <w:shd w:val="clear" w:color="auto" w:fill="auto"/>
            <w:noWrap/>
            <w:vAlign w:val="center"/>
            <w:hideMark/>
          </w:tcPr>
          <w:p w14:paraId="10DCB1D0" w14:textId="77777777" w:rsidR="00AF3E4B" w:rsidRPr="00C50854" w:rsidRDefault="00AF3E4B" w:rsidP="00AF3E4B">
            <w:pPr>
              <w:suppressAutoHyphens w:val="0"/>
              <w:rPr>
                <w:color w:val="000000"/>
                <w:sz w:val="20"/>
                <w:szCs w:val="20"/>
                <w:lang w:eastAsia="et-EE"/>
              </w:rPr>
            </w:pPr>
            <w:r w:rsidRPr="00C50854">
              <w:rPr>
                <w:color w:val="000000"/>
                <w:sz w:val="20"/>
                <w:szCs w:val="20"/>
                <w:lang w:eastAsia="et-EE"/>
              </w:rPr>
              <w:t>STV</w:t>
            </w:r>
          </w:p>
        </w:tc>
        <w:tc>
          <w:tcPr>
            <w:tcW w:w="1052" w:type="dxa"/>
            <w:tcBorders>
              <w:top w:val="double" w:sz="4" w:space="0" w:color="auto"/>
              <w:left w:val="double" w:sz="4" w:space="0" w:color="auto"/>
              <w:bottom w:val="double" w:sz="4" w:space="0" w:color="auto"/>
              <w:right w:val="double" w:sz="4" w:space="0" w:color="auto"/>
            </w:tcBorders>
            <w:shd w:val="clear" w:color="auto" w:fill="auto"/>
            <w:noWrap/>
            <w:hideMark/>
          </w:tcPr>
          <w:p w14:paraId="7D9E3EC4" w14:textId="4EE4EC7F"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929" w:type="dxa"/>
            <w:tcBorders>
              <w:top w:val="double" w:sz="4" w:space="0" w:color="auto"/>
              <w:left w:val="double" w:sz="4" w:space="0" w:color="auto"/>
              <w:bottom w:val="double" w:sz="4" w:space="0" w:color="auto"/>
              <w:right w:val="double" w:sz="4" w:space="0" w:color="auto"/>
            </w:tcBorders>
            <w:shd w:val="clear" w:color="auto" w:fill="auto"/>
            <w:noWrap/>
            <w:hideMark/>
          </w:tcPr>
          <w:p w14:paraId="3ADAECF9" w14:textId="5B7808E0" w:rsidR="00AF3E4B" w:rsidRPr="00C50854" w:rsidRDefault="00AF3E4B" w:rsidP="00AF3E4B">
            <w:pPr>
              <w:suppressAutoHyphens w:val="0"/>
              <w:jc w:val="center"/>
              <w:rPr>
                <w:color w:val="000000"/>
                <w:sz w:val="20"/>
                <w:szCs w:val="20"/>
                <w:lang w:eastAsia="et-EE"/>
              </w:rPr>
            </w:pPr>
            <w:r w:rsidRPr="00C50854">
              <w:rPr>
                <w:sz w:val="20"/>
                <w:szCs w:val="20"/>
              </w:rPr>
              <w:t>1</w:t>
            </w:r>
            <w:r w:rsidRPr="00C50854">
              <w:rPr>
                <w:sz w:val="20"/>
              </w:rPr>
              <w:t>%</w:t>
            </w:r>
          </w:p>
        </w:tc>
        <w:tc>
          <w:tcPr>
            <w:tcW w:w="906" w:type="dxa"/>
            <w:tcBorders>
              <w:top w:val="double" w:sz="4" w:space="0" w:color="auto"/>
              <w:left w:val="double" w:sz="4" w:space="0" w:color="auto"/>
              <w:bottom w:val="double" w:sz="4" w:space="0" w:color="auto"/>
              <w:right w:val="double" w:sz="4" w:space="0" w:color="auto"/>
            </w:tcBorders>
            <w:shd w:val="clear" w:color="auto" w:fill="auto"/>
            <w:noWrap/>
            <w:hideMark/>
          </w:tcPr>
          <w:p w14:paraId="7BC1EB63" w14:textId="18FA080B"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1052" w:type="dxa"/>
            <w:tcBorders>
              <w:top w:val="double" w:sz="4" w:space="0" w:color="auto"/>
              <w:left w:val="double" w:sz="4" w:space="0" w:color="auto"/>
              <w:bottom w:val="double" w:sz="4" w:space="0" w:color="auto"/>
              <w:right w:val="double" w:sz="4" w:space="0" w:color="auto"/>
            </w:tcBorders>
            <w:shd w:val="clear" w:color="auto" w:fill="auto"/>
            <w:noWrap/>
            <w:hideMark/>
          </w:tcPr>
          <w:p w14:paraId="59703A7C" w14:textId="47B18FBB"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929" w:type="dxa"/>
            <w:tcBorders>
              <w:top w:val="double" w:sz="4" w:space="0" w:color="auto"/>
              <w:left w:val="double" w:sz="4" w:space="0" w:color="auto"/>
              <w:bottom w:val="double" w:sz="4" w:space="0" w:color="auto"/>
              <w:right w:val="double" w:sz="4" w:space="0" w:color="auto"/>
            </w:tcBorders>
            <w:shd w:val="clear" w:color="auto" w:fill="auto"/>
            <w:noWrap/>
            <w:hideMark/>
          </w:tcPr>
          <w:p w14:paraId="41809B43" w14:textId="3C6BBCD9" w:rsidR="00AF3E4B" w:rsidRPr="00C50854" w:rsidRDefault="00AF3E4B" w:rsidP="00AF3E4B">
            <w:pPr>
              <w:suppressAutoHyphens w:val="0"/>
              <w:jc w:val="center"/>
              <w:rPr>
                <w:color w:val="000000"/>
                <w:sz w:val="20"/>
                <w:szCs w:val="20"/>
                <w:lang w:eastAsia="et-EE"/>
              </w:rPr>
            </w:pPr>
            <w:r w:rsidRPr="00C50854">
              <w:rPr>
                <w:sz w:val="20"/>
                <w:szCs w:val="20"/>
              </w:rPr>
              <w:t>1</w:t>
            </w:r>
            <w:r w:rsidRPr="00C50854">
              <w:rPr>
                <w:sz w:val="20"/>
              </w:rPr>
              <w:t>%</w:t>
            </w:r>
          </w:p>
        </w:tc>
        <w:tc>
          <w:tcPr>
            <w:tcW w:w="906" w:type="dxa"/>
            <w:tcBorders>
              <w:top w:val="double" w:sz="4" w:space="0" w:color="auto"/>
              <w:left w:val="double" w:sz="4" w:space="0" w:color="auto"/>
              <w:bottom w:val="double" w:sz="4" w:space="0" w:color="auto"/>
              <w:right w:val="double" w:sz="4" w:space="0" w:color="auto"/>
            </w:tcBorders>
            <w:shd w:val="clear" w:color="auto" w:fill="auto"/>
            <w:noWrap/>
            <w:hideMark/>
          </w:tcPr>
          <w:p w14:paraId="7DD1289C" w14:textId="12946A16"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1052" w:type="dxa"/>
            <w:tcBorders>
              <w:top w:val="double" w:sz="4" w:space="0" w:color="auto"/>
              <w:left w:val="double" w:sz="4" w:space="0" w:color="auto"/>
              <w:bottom w:val="double" w:sz="4" w:space="0" w:color="auto"/>
              <w:right w:val="double" w:sz="4" w:space="0" w:color="auto"/>
            </w:tcBorders>
            <w:shd w:val="clear" w:color="auto" w:fill="auto"/>
            <w:noWrap/>
            <w:hideMark/>
          </w:tcPr>
          <w:p w14:paraId="5C0FEF9E" w14:textId="05FC6D8D"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929" w:type="dxa"/>
            <w:tcBorders>
              <w:top w:val="double" w:sz="4" w:space="0" w:color="auto"/>
              <w:left w:val="double" w:sz="4" w:space="0" w:color="auto"/>
              <w:bottom w:val="double" w:sz="4" w:space="0" w:color="auto"/>
              <w:right w:val="double" w:sz="4" w:space="0" w:color="auto"/>
            </w:tcBorders>
            <w:shd w:val="clear" w:color="auto" w:fill="auto"/>
            <w:noWrap/>
            <w:hideMark/>
          </w:tcPr>
          <w:p w14:paraId="6A685F7B" w14:textId="6F2B16C5" w:rsidR="00AF3E4B" w:rsidRPr="00C50854" w:rsidRDefault="00AF3E4B" w:rsidP="00AF3E4B">
            <w:pPr>
              <w:suppressAutoHyphens w:val="0"/>
              <w:jc w:val="center"/>
              <w:rPr>
                <w:color w:val="000000"/>
                <w:sz w:val="20"/>
                <w:szCs w:val="20"/>
                <w:lang w:eastAsia="et-EE"/>
              </w:rPr>
            </w:pPr>
            <w:r w:rsidRPr="00C50854">
              <w:rPr>
                <w:sz w:val="20"/>
                <w:szCs w:val="20"/>
              </w:rPr>
              <w:t>1</w:t>
            </w:r>
            <w:r w:rsidRPr="00C50854">
              <w:rPr>
                <w:sz w:val="20"/>
              </w:rPr>
              <w:t>%</w:t>
            </w:r>
          </w:p>
        </w:tc>
        <w:tc>
          <w:tcPr>
            <w:tcW w:w="906" w:type="dxa"/>
            <w:tcBorders>
              <w:top w:val="double" w:sz="4" w:space="0" w:color="auto"/>
              <w:left w:val="double" w:sz="4" w:space="0" w:color="auto"/>
              <w:bottom w:val="double" w:sz="4" w:space="0" w:color="auto"/>
              <w:right w:val="double" w:sz="4" w:space="0" w:color="auto"/>
            </w:tcBorders>
            <w:shd w:val="clear" w:color="auto" w:fill="auto"/>
            <w:noWrap/>
            <w:hideMark/>
          </w:tcPr>
          <w:p w14:paraId="4123DEC8" w14:textId="158FB12E" w:rsidR="00AF3E4B" w:rsidRPr="00C50854" w:rsidRDefault="00AF3E4B" w:rsidP="00AF3E4B">
            <w:pPr>
              <w:suppressAutoHyphens w:val="0"/>
              <w:jc w:val="center"/>
              <w:rPr>
                <w:color w:val="000000"/>
                <w:sz w:val="20"/>
                <w:szCs w:val="20"/>
                <w:lang w:eastAsia="et-EE"/>
              </w:rPr>
            </w:pPr>
            <w:r w:rsidRPr="00C50854">
              <w:rPr>
                <w:sz w:val="20"/>
                <w:szCs w:val="20"/>
              </w:rPr>
              <w:t>...*%</w:t>
            </w:r>
          </w:p>
        </w:tc>
      </w:tr>
      <w:tr w:rsidR="00AF3E4B" w:rsidRPr="00C50854" w14:paraId="3823DA39" w14:textId="77777777" w:rsidTr="003179E3">
        <w:trPr>
          <w:trHeight w:hRule="exact" w:val="294"/>
        </w:trPr>
        <w:tc>
          <w:tcPr>
            <w:tcW w:w="1201" w:type="dxa"/>
            <w:tcBorders>
              <w:top w:val="nil"/>
              <w:left w:val="double" w:sz="6" w:space="0" w:color="auto"/>
              <w:bottom w:val="double" w:sz="6" w:space="0" w:color="auto"/>
              <w:right w:val="double" w:sz="6" w:space="0" w:color="auto"/>
            </w:tcBorders>
            <w:shd w:val="clear" w:color="auto" w:fill="auto"/>
            <w:noWrap/>
            <w:vAlign w:val="center"/>
            <w:hideMark/>
          </w:tcPr>
          <w:p w14:paraId="13DB94FD" w14:textId="77777777" w:rsidR="00AF3E4B" w:rsidRPr="00C50854" w:rsidRDefault="00AF3E4B" w:rsidP="00AF3E4B">
            <w:pPr>
              <w:suppressAutoHyphens w:val="0"/>
              <w:rPr>
                <w:color w:val="000000"/>
                <w:sz w:val="20"/>
                <w:szCs w:val="20"/>
                <w:lang w:eastAsia="et-EE"/>
              </w:rPr>
            </w:pPr>
            <w:r w:rsidRPr="00C50854">
              <w:rPr>
                <w:color w:val="000000"/>
                <w:sz w:val="20"/>
                <w:szCs w:val="20"/>
                <w:lang w:eastAsia="et-EE"/>
              </w:rPr>
              <w:t>Telset</w:t>
            </w:r>
          </w:p>
        </w:tc>
        <w:tc>
          <w:tcPr>
            <w:tcW w:w="1052" w:type="dxa"/>
            <w:tcBorders>
              <w:top w:val="double" w:sz="4" w:space="0" w:color="auto"/>
              <w:left w:val="double" w:sz="4" w:space="0" w:color="auto"/>
              <w:bottom w:val="double" w:sz="4" w:space="0" w:color="auto"/>
              <w:right w:val="double" w:sz="4" w:space="0" w:color="auto"/>
            </w:tcBorders>
            <w:shd w:val="clear" w:color="auto" w:fill="auto"/>
            <w:noWrap/>
            <w:hideMark/>
          </w:tcPr>
          <w:p w14:paraId="69EF6953" w14:textId="395FCEE8"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929" w:type="dxa"/>
            <w:tcBorders>
              <w:top w:val="double" w:sz="4" w:space="0" w:color="auto"/>
              <w:left w:val="double" w:sz="4" w:space="0" w:color="auto"/>
              <w:bottom w:val="double" w:sz="4" w:space="0" w:color="auto"/>
              <w:right w:val="double" w:sz="4" w:space="0" w:color="auto"/>
            </w:tcBorders>
            <w:shd w:val="clear" w:color="auto" w:fill="auto"/>
            <w:noWrap/>
            <w:hideMark/>
          </w:tcPr>
          <w:p w14:paraId="20A896EE" w14:textId="5C9686AA" w:rsidR="00AF3E4B" w:rsidRPr="00C50854" w:rsidRDefault="00AF3E4B" w:rsidP="00AF3E4B">
            <w:pPr>
              <w:suppressAutoHyphens w:val="0"/>
              <w:jc w:val="center"/>
              <w:rPr>
                <w:color w:val="000000"/>
                <w:sz w:val="20"/>
                <w:szCs w:val="20"/>
                <w:lang w:eastAsia="et-EE"/>
              </w:rPr>
            </w:pPr>
            <w:r w:rsidRPr="00C50854">
              <w:rPr>
                <w:sz w:val="20"/>
                <w:szCs w:val="20"/>
              </w:rPr>
              <w:t>3</w:t>
            </w:r>
            <w:r w:rsidRPr="00C50854">
              <w:rPr>
                <w:sz w:val="20"/>
              </w:rPr>
              <w:t>%</w:t>
            </w:r>
          </w:p>
        </w:tc>
        <w:tc>
          <w:tcPr>
            <w:tcW w:w="906" w:type="dxa"/>
            <w:tcBorders>
              <w:top w:val="double" w:sz="4" w:space="0" w:color="auto"/>
              <w:left w:val="double" w:sz="4" w:space="0" w:color="auto"/>
              <w:bottom w:val="double" w:sz="4" w:space="0" w:color="auto"/>
              <w:right w:val="double" w:sz="4" w:space="0" w:color="auto"/>
            </w:tcBorders>
            <w:shd w:val="clear" w:color="auto" w:fill="auto"/>
            <w:noWrap/>
            <w:hideMark/>
          </w:tcPr>
          <w:p w14:paraId="7EB2F303" w14:textId="3F61527F"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1052" w:type="dxa"/>
            <w:tcBorders>
              <w:top w:val="double" w:sz="4" w:space="0" w:color="auto"/>
              <w:left w:val="double" w:sz="4" w:space="0" w:color="auto"/>
              <w:bottom w:val="double" w:sz="4" w:space="0" w:color="auto"/>
              <w:right w:val="double" w:sz="4" w:space="0" w:color="auto"/>
            </w:tcBorders>
            <w:shd w:val="clear" w:color="auto" w:fill="auto"/>
            <w:noWrap/>
            <w:hideMark/>
          </w:tcPr>
          <w:p w14:paraId="3221B007" w14:textId="1D393AAC"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929" w:type="dxa"/>
            <w:tcBorders>
              <w:top w:val="double" w:sz="4" w:space="0" w:color="auto"/>
              <w:left w:val="double" w:sz="4" w:space="0" w:color="auto"/>
              <w:bottom w:val="double" w:sz="4" w:space="0" w:color="auto"/>
              <w:right w:val="double" w:sz="4" w:space="0" w:color="auto"/>
            </w:tcBorders>
            <w:shd w:val="clear" w:color="auto" w:fill="auto"/>
            <w:noWrap/>
            <w:hideMark/>
          </w:tcPr>
          <w:p w14:paraId="516AD2C9" w14:textId="3A447638" w:rsidR="00AF3E4B" w:rsidRPr="00C50854" w:rsidRDefault="00AF3E4B" w:rsidP="00AF3E4B">
            <w:pPr>
              <w:suppressAutoHyphens w:val="0"/>
              <w:jc w:val="center"/>
              <w:rPr>
                <w:color w:val="000000"/>
                <w:sz w:val="20"/>
                <w:szCs w:val="20"/>
                <w:lang w:eastAsia="et-EE"/>
              </w:rPr>
            </w:pPr>
            <w:r w:rsidRPr="00C50854">
              <w:rPr>
                <w:sz w:val="20"/>
                <w:szCs w:val="20"/>
              </w:rPr>
              <w:t>4</w:t>
            </w:r>
            <w:r w:rsidRPr="00C50854">
              <w:rPr>
                <w:sz w:val="20"/>
              </w:rPr>
              <w:t>%</w:t>
            </w:r>
          </w:p>
        </w:tc>
        <w:tc>
          <w:tcPr>
            <w:tcW w:w="906" w:type="dxa"/>
            <w:tcBorders>
              <w:top w:val="double" w:sz="4" w:space="0" w:color="auto"/>
              <w:left w:val="double" w:sz="4" w:space="0" w:color="auto"/>
              <w:bottom w:val="double" w:sz="4" w:space="0" w:color="auto"/>
              <w:right w:val="double" w:sz="4" w:space="0" w:color="auto"/>
            </w:tcBorders>
            <w:shd w:val="clear" w:color="auto" w:fill="auto"/>
            <w:noWrap/>
            <w:hideMark/>
          </w:tcPr>
          <w:p w14:paraId="0A25457C" w14:textId="11718929"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1052" w:type="dxa"/>
            <w:tcBorders>
              <w:top w:val="double" w:sz="4" w:space="0" w:color="auto"/>
              <w:left w:val="double" w:sz="4" w:space="0" w:color="auto"/>
              <w:bottom w:val="double" w:sz="4" w:space="0" w:color="auto"/>
              <w:right w:val="double" w:sz="4" w:space="0" w:color="auto"/>
            </w:tcBorders>
            <w:shd w:val="clear" w:color="auto" w:fill="auto"/>
            <w:noWrap/>
            <w:hideMark/>
          </w:tcPr>
          <w:p w14:paraId="52E75F11" w14:textId="5DDC45F9"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929" w:type="dxa"/>
            <w:tcBorders>
              <w:top w:val="double" w:sz="4" w:space="0" w:color="auto"/>
              <w:left w:val="double" w:sz="4" w:space="0" w:color="auto"/>
              <w:bottom w:val="double" w:sz="4" w:space="0" w:color="auto"/>
              <w:right w:val="double" w:sz="4" w:space="0" w:color="auto"/>
            </w:tcBorders>
            <w:shd w:val="clear" w:color="auto" w:fill="auto"/>
            <w:noWrap/>
            <w:hideMark/>
          </w:tcPr>
          <w:p w14:paraId="1136F1C9" w14:textId="09B5F5DE" w:rsidR="00AF3E4B" w:rsidRPr="00C50854" w:rsidRDefault="00AF3E4B" w:rsidP="00AF3E4B">
            <w:pPr>
              <w:suppressAutoHyphens w:val="0"/>
              <w:jc w:val="center"/>
              <w:rPr>
                <w:color w:val="000000"/>
                <w:sz w:val="20"/>
                <w:szCs w:val="20"/>
                <w:lang w:eastAsia="et-EE"/>
              </w:rPr>
            </w:pPr>
            <w:r w:rsidRPr="00C50854">
              <w:rPr>
                <w:sz w:val="20"/>
                <w:szCs w:val="20"/>
              </w:rPr>
              <w:t>5</w:t>
            </w:r>
            <w:r w:rsidRPr="00C50854">
              <w:rPr>
                <w:sz w:val="20"/>
              </w:rPr>
              <w:t>%</w:t>
            </w:r>
          </w:p>
        </w:tc>
        <w:tc>
          <w:tcPr>
            <w:tcW w:w="906" w:type="dxa"/>
            <w:tcBorders>
              <w:top w:val="double" w:sz="4" w:space="0" w:color="auto"/>
              <w:left w:val="double" w:sz="4" w:space="0" w:color="auto"/>
              <w:bottom w:val="double" w:sz="4" w:space="0" w:color="auto"/>
              <w:right w:val="double" w:sz="4" w:space="0" w:color="auto"/>
            </w:tcBorders>
            <w:shd w:val="clear" w:color="auto" w:fill="auto"/>
            <w:noWrap/>
            <w:hideMark/>
          </w:tcPr>
          <w:p w14:paraId="03E660FF" w14:textId="700148E9" w:rsidR="00AF3E4B" w:rsidRPr="00C50854" w:rsidRDefault="00AF3E4B" w:rsidP="00AF3E4B">
            <w:pPr>
              <w:suppressAutoHyphens w:val="0"/>
              <w:jc w:val="center"/>
              <w:rPr>
                <w:color w:val="000000"/>
                <w:sz w:val="20"/>
                <w:szCs w:val="20"/>
                <w:lang w:eastAsia="et-EE"/>
              </w:rPr>
            </w:pPr>
            <w:r w:rsidRPr="00C50854">
              <w:rPr>
                <w:sz w:val="20"/>
                <w:szCs w:val="20"/>
              </w:rPr>
              <w:t>...*%</w:t>
            </w:r>
          </w:p>
        </w:tc>
      </w:tr>
      <w:tr w:rsidR="00AF3E4B" w:rsidRPr="00C50854" w14:paraId="64AAAEA9" w14:textId="77777777" w:rsidTr="003179E3">
        <w:trPr>
          <w:trHeight w:hRule="exact" w:val="294"/>
        </w:trPr>
        <w:tc>
          <w:tcPr>
            <w:tcW w:w="1201" w:type="dxa"/>
            <w:tcBorders>
              <w:top w:val="nil"/>
              <w:left w:val="double" w:sz="6" w:space="0" w:color="auto"/>
              <w:bottom w:val="double" w:sz="6" w:space="0" w:color="auto"/>
              <w:right w:val="double" w:sz="6" w:space="0" w:color="auto"/>
            </w:tcBorders>
            <w:shd w:val="clear" w:color="auto" w:fill="auto"/>
            <w:noWrap/>
            <w:vAlign w:val="center"/>
            <w:hideMark/>
          </w:tcPr>
          <w:p w14:paraId="52779067" w14:textId="77777777" w:rsidR="00AF3E4B" w:rsidRPr="00C50854" w:rsidRDefault="00AF3E4B" w:rsidP="00AF3E4B">
            <w:pPr>
              <w:suppressAutoHyphens w:val="0"/>
              <w:rPr>
                <w:color w:val="000000"/>
                <w:sz w:val="20"/>
                <w:szCs w:val="20"/>
                <w:lang w:eastAsia="et-EE"/>
              </w:rPr>
            </w:pPr>
            <w:r w:rsidRPr="00C50854">
              <w:rPr>
                <w:color w:val="000000"/>
                <w:sz w:val="20"/>
                <w:szCs w:val="20"/>
                <w:lang w:eastAsia="et-EE"/>
              </w:rPr>
              <w:t xml:space="preserve">Teised </w:t>
            </w:r>
          </w:p>
        </w:tc>
        <w:tc>
          <w:tcPr>
            <w:tcW w:w="1052" w:type="dxa"/>
            <w:tcBorders>
              <w:top w:val="double" w:sz="4" w:space="0" w:color="auto"/>
              <w:left w:val="double" w:sz="4" w:space="0" w:color="auto"/>
              <w:bottom w:val="double" w:sz="4" w:space="0" w:color="auto"/>
              <w:right w:val="double" w:sz="4" w:space="0" w:color="auto"/>
            </w:tcBorders>
            <w:shd w:val="clear" w:color="auto" w:fill="auto"/>
            <w:noWrap/>
            <w:hideMark/>
          </w:tcPr>
          <w:p w14:paraId="4FEB9523" w14:textId="0534E58B"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929" w:type="dxa"/>
            <w:tcBorders>
              <w:top w:val="double" w:sz="4" w:space="0" w:color="auto"/>
              <w:left w:val="double" w:sz="4" w:space="0" w:color="auto"/>
              <w:bottom w:val="double" w:sz="4" w:space="0" w:color="auto"/>
              <w:right w:val="double" w:sz="4" w:space="0" w:color="auto"/>
            </w:tcBorders>
            <w:shd w:val="clear" w:color="auto" w:fill="auto"/>
            <w:noWrap/>
            <w:hideMark/>
          </w:tcPr>
          <w:p w14:paraId="1BC531C4" w14:textId="3B40EC32" w:rsidR="00AF3E4B" w:rsidRPr="00C50854" w:rsidRDefault="00AF3E4B" w:rsidP="00AF3E4B">
            <w:pPr>
              <w:suppressAutoHyphens w:val="0"/>
              <w:jc w:val="center"/>
              <w:rPr>
                <w:color w:val="000000"/>
                <w:sz w:val="20"/>
                <w:szCs w:val="20"/>
                <w:lang w:eastAsia="et-EE"/>
              </w:rPr>
            </w:pPr>
            <w:r w:rsidRPr="00C50854">
              <w:rPr>
                <w:sz w:val="20"/>
                <w:szCs w:val="20"/>
              </w:rPr>
              <w:t>2</w:t>
            </w:r>
            <w:r w:rsidRPr="00C50854">
              <w:rPr>
                <w:sz w:val="20"/>
              </w:rPr>
              <w:t>%</w:t>
            </w:r>
          </w:p>
        </w:tc>
        <w:tc>
          <w:tcPr>
            <w:tcW w:w="906" w:type="dxa"/>
            <w:tcBorders>
              <w:top w:val="double" w:sz="4" w:space="0" w:color="auto"/>
              <w:left w:val="double" w:sz="4" w:space="0" w:color="auto"/>
              <w:bottom w:val="double" w:sz="4" w:space="0" w:color="auto"/>
              <w:right w:val="double" w:sz="4" w:space="0" w:color="auto"/>
            </w:tcBorders>
            <w:shd w:val="clear" w:color="auto" w:fill="auto"/>
            <w:noWrap/>
            <w:hideMark/>
          </w:tcPr>
          <w:p w14:paraId="7712DBB4" w14:textId="7BE40A34"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1052" w:type="dxa"/>
            <w:tcBorders>
              <w:top w:val="double" w:sz="4" w:space="0" w:color="auto"/>
              <w:left w:val="double" w:sz="4" w:space="0" w:color="auto"/>
              <w:bottom w:val="double" w:sz="4" w:space="0" w:color="auto"/>
              <w:right w:val="double" w:sz="4" w:space="0" w:color="auto"/>
            </w:tcBorders>
            <w:shd w:val="clear" w:color="auto" w:fill="auto"/>
            <w:noWrap/>
            <w:hideMark/>
          </w:tcPr>
          <w:p w14:paraId="29838EBD" w14:textId="274C74C0"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929" w:type="dxa"/>
            <w:tcBorders>
              <w:top w:val="double" w:sz="4" w:space="0" w:color="auto"/>
              <w:left w:val="double" w:sz="4" w:space="0" w:color="auto"/>
              <w:bottom w:val="double" w:sz="4" w:space="0" w:color="auto"/>
              <w:right w:val="double" w:sz="4" w:space="0" w:color="auto"/>
            </w:tcBorders>
            <w:shd w:val="clear" w:color="auto" w:fill="auto"/>
            <w:noWrap/>
            <w:hideMark/>
          </w:tcPr>
          <w:p w14:paraId="3707B65D" w14:textId="466C0B8A" w:rsidR="00AF3E4B" w:rsidRPr="00C50854" w:rsidRDefault="00AF3E4B" w:rsidP="00AF3E4B">
            <w:pPr>
              <w:suppressAutoHyphens w:val="0"/>
              <w:jc w:val="center"/>
              <w:rPr>
                <w:color w:val="000000"/>
                <w:sz w:val="20"/>
                <w:szCs w:val="20"/>
                <w:lang w:eastAsia="et-EE"/>
              </w:rPr>
            </w:pPr>
            <w:r w:rsidRPr="00C50854">
              <w:rPr>
                <w:sz w:val="20"/>
                <w:szCs w:val="20"/>
              </w:rPr>
              <w:t>2</w:t>
            </w:r>
            <w:r w:rsidRPr="00C50854">
              <w:rPr>
                <w:sz w:val="20"/>
              </w:rPr>
              <w:t>%</w:t>
            </w:r>
          </w:p>
        </w:tc>
        <w:tc>
          <w:tcPr>
            <w:tcW w:w="906" w:type="dxa"/>
            <w:tcBorders>
              <w:top w:val="double" w:sz="4" w:space="0" w:color="auto"/>
              <w:left w:val="double" w:sz="4" w:space="0" w:color="auto"/>
              <w:bottom w:val="double" w:sz="4" w:space="0" w:color="auto"/>
              <w:right w:val="double" w:sz="4" w:space="0" w:color="auto"/>
            </w:tcBorders>
            <w:shd w:val="clear" w:color="auto" w:fill="auto"/>
            <w:noWrap/>
            <w:hideMark/>
          </w:tcPr>
          <w:p w14:paraId="3DEBCF20" w14:textId="7B1BB6D9"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1052" w:type="dxa"/>
            <w:tcBorders>
              <w:top w:val="double" w:sz="4" w:space="0" w:color="auto"/>
              <w:left w:val="double" w:sz="4" w:space="0" w:color="auto"/>
              <w:bottom w:val="double" w:sz="4" w:space="0" w:color="auto"/>
              <w:right w:val="double" w:sz="4" w:space="0" w:color="auto"/>
            </w:tcBorders>
            <w:shd w:val="clear" w:color="auto" w:fill="auto"/>
            <w:noWrap/>
            <w:hideMark/>
          </w:tcPr>
          <w:p w14:paraId="1A75C117" w14:textId="3F672B1F" w:rsidR="00AF3E4B" w:rsidRPr="00C50854" w:rsidRDefault="00AF3E4B" w:rsidP="00AF3E4B">
            <w:pPr>
              <w:suppressAutoHyphens w:val="0"/>
              <w:jc w:val="center"/>
              <w:rPr>
                <w:color w:val="000000"/>
                <w:sz w:val="20"/>
                <w:szCs w:val="20"/>
                <w:lang w:eastAsia="et-EE"/>
              </w:rPr>
            </w:pPr>
            <w:r w:rsidRPr="00C50854">
              <w:rPr>
                <w:sz w:val="20"/>
                <w:szCs w:val="20"/>
              </w:rPr>
              <w:t>...*%</w:t>
            </w:r>
          </w:p>
        </w:tc>
        <w:tc>
          <w:tcPr>
            <w:tcW w:w="929" w:type="dxa"/>
            <w:tcBorders>
              <w:top w:val="double" w:sz="4" w:space="0" w:color="auto"/>
              <w:left w:val="double" w:sz="4" w:space="0" w:color="auto"/>
              <w:bottom w:val="double" w:sz="4" w:space="0" w:color="auto"/>
              <w:right w:val="double" w:sz="4" w:space="0" w:color="auto"/>
            </w:tcBorders>
            <w:shd w:val="clear" w:color="auto" w:fill="auto"/>
            <w:noWrap/>
            <w:hideMark/>
          </w:tcPr>
          <w:p w14:paraId="327D4741" w14:textId="31FC6B8C" w:rsidR="00AF3E4B" w:rsidRPr="00C50854" w:rsidRDefault="00AF3E4B" w:rsidP="00AF3E4B">
            <w:pPr>
              <w:suppressAutoHyphens w:val="0"/>
              <w:jc w:val="center"/>
              <w:rPr>
                <w:color w:val="000000"/>
                <w:sz w:val="20"/>
                <w:szCs w:val="20"/>
                <w:lang w:eastAsia="et-EE"/>
              </w:rPr>
            </w:pPr>
            <w:r w:rsidRPr="00C50854">
              <w:rPr>
                <w:sz w:val="20"/>
                <w:szCs w:val="20"/>
              </w:rPr>
              <w:t>1</w:t>
            </w:r>
            <w:r w:rsidRPr="00C50854">
              <w:rPr>
                <w:sz w:val="20"/>
              </w:rPr>
              <w:t>%</w:t>
            </w:r>
          </w:p>
        </w:tc>
        <w:tc>
          <w:tcPr>
            <w:tcW w:w="906" w:type="dxa"/>
            <w:tcBorders>
              <w:top w:val="double" w:sz="4" w:space="0" w:color="auto"/>
              <w:left w:val="double" w:sz="4" w:space="0" w:color="auto"/>
              <w:bottom w:val="double" w:sz="4" w:space="0" w:color="auto"/>
              <w:right w:val="double" w:sz="4" w:space="0" w:color="auto"/>
            </w:tcBorders>
            <w:shd w:val="clear" w:color="auto" w:fill="auto"/>
            <w:noWrap/>
            <w:hideMark/>
          </w:tcPr>
          <w:p w14:paraId="0B234F6D" w14:textId="341BD956" w:rsidR="00AF3E4B" w:rsidRPr="00C50854" w:rsidRDefault="00AF3E4B" w:rsidP="00AF3E4B">
            <w:pPr>
              <w:suppressAutoHyphens w:val="0"/>
              <w:jc w:val="center"/>
              <w:rPr>
                <w:color w:val="000000"/>
                <w:sz w:val="20"/>
                <w:szCs w:val="20"/>
                <w:lang w:eastAsia="et-EE"/>
              </w:rPr>
            </w:pPr>
            <w:r w:rsidRPr="00C50854">
              <w:rPr>
                <w:sz w:val="20"/>
                <w:szCs w:val="20"/>
              </w:rPr>
              <w:t>...*%</w:t>
            </w:r>
          </w:p>
        </w:tc>
      </w:tr>
      <w:tr w:rsidR="00165B42" w:rsidRPr="00C50854" w14:paraId="4B50D71A" w14:textId="77777777" w:rsidTr="003179E3">
        <w:trPr>
          <w:trHeight w:hRule="exact" w:val="294"/>
        </w:trPr>
        <w:tc>
          <w:tcPr>
            <w:tcW w:w="1201" w:type="dxa"/>
            <w:tcBorders>
              <w:top w:val="nil"/>
              <w:left w:val="double" w:sz="6" w:space="0" w:color="auto"/>
              <w:bottom w:val="double" w:sz="6" w:space="0" w:color="auto"/>
              <w:right w:val="double" w:sz="6" w:space="0" w:color="auto"/>
            </w:tcBorders>
            <w:shd w:val="clear" w:color="auto" w:fill="auto"/>
            <w:noWrap/>
            <w:vAlign w:val="center"/>
            <w:hideMark/>
          </w:tcPr>
          <w:p w14:paraId="02FB6DBA" w14:textId="77777777" w:rsidR="00B35EC7" w:rsidRPr="00C50854" w:rsidRDefault="00B35EC7" w:rsidP="00B35EC7">
            <w:pPr>
              <w:suppressAutoHyphens w:val="0"/>
              <w:rPr>
                <w:b/>
                <w:bCs/>
                <w:color w:val="000000"/>
                <w:sz w:val="20"/>
                <w:szCs w:val="20"/>
                <w:lang w:eastAsia="et-EE"/>
              </w:rPr>
            </w:pPr>
            <w:r w:rsidRPr="00C50854">
              <w:rPr>
                <w:b/>
                <w:bCs/>
                <w:color w:val="000000"/>
                <w:sz w:val="20"/>
                <w:szCs w:val="20"/>
                <w:lang w:eastAsia="et-EE"/>
              </w:rPr>
              <w:t>Kokku</w:t>
            </w:r>
          </w:p>
        </w:tc>
        <w:tc>
          <w:tcPr>
            <w:tcW w:w="1052" w:type="dxa"/>
            <w:tcBorders>
              <w:top w:val="nil"/>
              <w:left w:val="nil"/>
              <w:bottom w:val="double" w:sz="6" w:space="0" w:color="auto"/>
              <w:right w:val="double" w:sz="6" w:space="0" w:color="auto"/>
            </w:tcBorders>
            <w:shd w:val="clear" w:color="auto" w:fill="auto"/>
            <w:noWrap/>
            <w:vAlign w:val="center"/>
            <w:hideMark/>
          </w:tcPr>
          <w:p w14:paraId="02AD345E" w14:textId="77777777" w:rsidR="00B35EC7" w:rsidRPr="00C50854" w:rsidRDefault="00B35EC7" w:rsidP="00B35EC7">
            <w:pPr>
              <w:suppressAutoHyphens w:val="0"/>
              <w:jc w:val="center"/>
              <w:rPr>
                <w:b/>
                <w:bCs/>
                <w:color w:val="000000"/>
                <w:sz w:val="20"/>
                <w:szCs w:val="20"/>
                <w:lang w:eastAsia="et-EE"/>
              </w:rPr>
            </w:pPr>
            <w:r w:rsidRPr="00C50854">
              <w:rPr>
                <w:b/>
                <w:bCs/>
                <w:color w:val="000000"/>
                <w:sz w:val="20"/>
                <w:szCs w:val="20"/>
                <w:lang w:eastAsia="et-EE"/>
              </w:rPr>
              <w:t>100%</w:t>
            </w:r>
          </w:p>
        </w:tc>
        <w:tc>
          <w:tcPr>
            <w:tcW w:w="929" w:type="dxa"/>
            <w:tcBorders>
              <w:top w:val="nil"/>
              <w:left w:val="nil"/>
              <w:bottom w:val="double" w:sz="6" w:space="0" w:color="auto"/>
              <w:right w:val="double" w:sz="6" w:space="0" w:color="auto"/>
            </w:tcBorders>
            <w:shd w:val="clear" w:color="auto" w:fill="auto"/>
            <w:noWrap/>
            <w:vAlign w:val="center"/>
            <w:hideMark/>
          </w:tcPr>
          <w:p w14:paraId="49BEABAE" w14:textId="77777777" w:rsidR="00B35EC7" w:rsidRPr="00C50854" w:rsidRDefault="00B35EC7" w:rsidP="00B35EC7">
            <w:pPr>
              <w:suppressAutoHyphens w:val="0"/>
              <w:jc w:val="center"/>
              <w:rPr>
                <w:b/>
                <w:bCs/>
                <w:color w:val="000000"/>
                <w:sz w:val="20"/>
                <w:szCs w:val="20"/>
                <w:lang w:eastAsia="et-EE"/>
              </w:rPr>
            </w:pPr>
            <w:r w:rsidRPr="00C50854">
              <w:rPr>
                <w:b/>
                <w:bCs/>
                <w:color w:val="000000"/>
                <w:sz w:val="20"/>
                <w:szCs w:val="20"/>
                <w:lang w:eastAsia="et-EE"/>
              </w:rPr>
              <w:t>100%</w:t>
            </w:r>
          </w:p>
        </w:tc>
        <w:tc>
          <w:tcPr>
            <w:tcW w:w="906" w:type="dxa"/>
            <w:tcBorders>
              <w:top w:val="nil"/>
              <w:left w:val="nil"/>
              <w:bottom w:val="double" w:sz="6" w:space="0" w:color="auto"/>
              <w:right w:val="double" w:sz="6" w:space="0" w:color="auto"/>
            </w:tcBorders>
            <w:shd w:val="clear" w:color="auto" w:fill="auto"/>
            <w:noWrap/>
            <w:vAlign w:val="center"/>
            <w:hideMark/>
          </w:tcPr>
          <w:p w14:paraId="32CCFF29" w14:textId="77777777" w:rsidR="00B35EC7" w:rsidRPr="00C50854" w:rsidRDefault="00B35EC7" w:rsidP="00B35EC7">
            <w:pPr>
              <w:suppressAutoHyphens w:val="0"/>
              <w:jc w:val="center"/>
              <w:rPr>
                <w:b/>
                <w:bCs/>
                <w:color w:val="000000"/>
                <w:sz w:val="20"/>
                <w:szCs w:val="20"/>
                <w:lang w:eastAsia="et-EE"/>
              </w:rPr>
            </w:pPr>
            <w:r w:rsidRPr="00C50854">
              <w:rPr>
                <w:b/>
                <w:bCs/>
                <w:color w:val="000000"/>
                <w:sz w:val="20"/>
                <w:szCs w:val="20"/>
                <w:lang w:eastAsia="et-EE"/>
              </w:rPr>
              <w:t>100%</w:t>
            </w:r>
          </w:p>
        </w:tc>
        <w:tc>
          <w:tcPr>
            <w:tcW w:w="1052" w:type="dxa"/>
            <w:tcBorders>
              <w:top w:val="nil"/>
              <w:left w:val="nil"/>
              <w:bottom w:val="double" w:sz="6" w:space="0" w:color="auto"/>
              <w:right w:val="double" w:sz="6" w:space="0" w:color="auto"/>
            </w:tcBorders>
            <w:shd w:val="clear" w:color="auto" w:fill="auto"/>
            <w:noWrap/>
            <w:vAlign w:val="center"/>
            <w:hideMark/>
          </w:tcPr>
          <w:p w14:paraId="7D6588A1" w14:textId="77777777" w:rsidR="00B35EC7" w:rsidRPr="00C50854" w:rsidRDefault="00B35EC7" w:rsidP="00B35EC7">
            <w:pPr>
              <w:suppressAutoHyphens w:val="0"/>
              <w:jc w:val="center"/>
              <w:rPr>
                <w:b/>
                <w:bCs/>
                <w:color w:val="000000"/>
                <w:sz w:val="20"/>
                <w:szCs w:val="20"/>
                <w:lang w:eastAsia="et-EE"/>
              </w:rPr>
            </w:pPr>
            <w:r w:rsidRPr="00C50854">
              <w:rPr>
                <w:b/>
                <w:bCs/>
                <w:color w:val="000000"/>
                <w:sz w:val="20"/>
                <w:szCs w:val="20"/>
                <w:lang w:eastAsia="et-EE"/>
              </w:rPr>
              <w:t>100%</w:t>
            </w:r>
          </w:p>
        </w:tc>
        <w:tc>
          <w:tcPr>
            <w:tcW w:w="929" w:type="dxa"/>
            <w:tcBorders>
              <w:top w:val="nil"/>
              <w:left w:val="nil"/>
              <w:bottom w:val="double" w:sz="6" w:space="0" w:color="auto"/>
              <w:right w:val="double" w:sz="6" w:space="0" w:color="auto"/>
            </w:tcBorders>
            <w:shd w:val="clear" w:color="auto" w:fill="auto"/>
            <w:noWrap/>
            <w:vAlign w:val="center"/>
            <w:hideMark/>
          </w:tcPr>
          <w:p w14:paraId="3B37864B" w14:textId="77777777" w:rsidR="00B35EC7" w:rsidRPr="00C50854" w:rsidRDefault="00B35EC7" w:rsidP="00B35EC7">
            <w:pPr>
              <w:suppressAutoHyphens w:val="0"/>
              <w:jc w:val="center"/>
              <w:rPr>
                <w:b/>
                <w:bCs/>
                <w:color w:val="000000"/>
                <w:sz w:val="20"/>
                <w:szCs w:val="20"/>
                <w:lang w:eastAsia="et-EE"/>
              </w:rPr>
            </w:pPr>
            <w:r w:rsidRPr="00C50854">
              <w:rPr>
                <w:b/>
                <w:bCs/>
                <w:color w:val="000000"/>
                <w:sz w:val="20"/>
                <w:szCs w:val="20"/>
                <w:lang w:eastAsia="et-EE"/>
              </w:rPr>
              <w:t>100%</w:t>
            </w:r>
          </w:p>
        </w:tc>
        <w:tc>
          <w:tcPr>
            <w:tcW w:w="906" w:type="dxa"/>
            <w:tcBorders>
              <w:top w:val="nil"/>
              <w:left w:val="nil"/>
              <w:bottom w:val="double" w:sz="6" w:space="0" w:color="auto"/>
              <w:right w:val="double" w:sz="6" w:space="0" w:color="auto"/>
            </w:tcBorders>
            <w:shd w:val="clear" w:color="auto" w:fill="auto"/>
            <w:noWrap/>
            <w:vAlign w:val="center"/>
            <w:hideMark/>
          </w:tcPr>
          <w:p w14:paraId="5C27C42F" w14:textId="77777777" w:rsidR="00B35EC7" w:rsidRPr="00C50854" w:rsidRDefault="00B35EC7" w:rsidP="00B35EC7">
            <w:pPr>
              <w:suppressAutoHyphens w:val="0"/>
              <w:jc w:val="center"/>
              <w:rPr>
                <w:b/>
                <w:bCs/>
                <w:color w:val="000000"/>
                <w:sz w:val="20"/>
                <w:szCs w:val="20"/>
                <w:lang w:eastAsia="et-EE"/>
              </w:rPr>
            </w:pPr>
            <w:r w:rsidRPr="00C50854">
              <w:rPr>
                <w:b/>
                <w:bCs/>
                <w:color w:val="000000"/>
                <w:sz w:val="20"/>
                <w:szCs w:val="20"/>
                <w:lang w:eastAsia="et-EE"/>
              </w:rPr>
              <w:t>100%</w:t>
            </w:r>
          </w:p>
        </w:tc>
        <w:tc>
          <w:tcPr>
            <w:tcW w:w="1052" w:type="dxa"/>
            <w:tcBorders>
              <w:top w:val="nil"/>
              <w:left w:val="nil"/>
              <w:bottom w:val="double" w:sz="6" w:space="0" w:color="auto"/>
              <w:right w:val="double" w:sz="6" w:space="0" w:color="auto"/>
            </w:tcBorders>
            <w:shd w:val="clear" w:color="auto" w:fill="auto"/>
            <w:noWrap/>
            <w:vAlign w:val="center"/>
            <w:hideMark/>
          </w:tcPr>
          <w:p w14:paraId="7C9E3036" w14:textId="77777777" w:rsidR="00B35EC7" w:rsidRPr="00C50854" w:rsidRDefault="00B35EC7" w:rsidP="00B35EC7">
            <w:pPr>
              <w:suppressAutoHyphens w:val="0"/>
              <w:jc w:val="center"/>
              <w:rPr>
                <w:b/>
                <w:bCs/>
                <w:color w:val="000000"/>
                <w:sz w:val="20"/>
                <w:szCs w:val="20"/>
                <w:lang w:eastAsia="et-EE"/>
              </w:rPr>
            </w:pPr>
            <w:r w:rsidRPr="00C50854">
              <w:rPr>
                <w:b/>
                <w:bCs/>
                <w:color w:val="000000"/>
                <w:sz w:val="20"/>
                <w:szCs w:val="20"/>
                <w:lang w:eastAsia="et-EE"/>
              </w:rPr>
              <w:t>100%</w:t>
            </w:r>
          </w:p>
        </w:tc>
        <w:tc>
          <w:tcPr>
            <w:tcW w:w="929" w:type="dxa"/>
            <w:tcBorders>
              <w:top w:val="nil"/>
              <w:left w:val="nil"/>
              <w:bottom w:val="double" w:sz="6" w:space="0" w:color="auto"/>
              <w:right w:val="double" w:sz="6" w:space="0" w:color="auto"/>
            </w:tcBorders>
            <w:shd w:val="clear" w:color="auto" w:fill="auto"/>
            <w:noWrap/>
            <w:vAlign w:val="center"/>
            <w:hideMark/>
          </w:tcPr>
          <w:p w14:paraId="5BAC9275" w14:textId="77777777" w:rsidR="00B35EC7" w:rsidRPr="00C50854" w:rsidRDefault="00B35EC7" w:rsidP="00B35EC7">
            <w:pPr>
              <w:suppressAutoHyphens w:val="0"/>
              <w:jc w:val="center"/>
              <w:rPr>
                <w:b/>
                <w:bCs/>
                <w:color w:val="000000"/>
                <w:sz w:val="20"/>
                <w:szCs w:val="20"/>
                <w:lang w:eastAsia="et-EE"/>
              </w:rPr>
            </w:pPr>
            <w:r w:rsidRPr="00C50854">
              <w:rPr>
                <w:b/>
                <w:bCs/>
                <w:color w:val="000000"/>
                <w:sz w:val="20"/>
                <w:szCs w:val="20"/>
                <w:lang w:eastAsia="et-EE"/>
              </w:rPr>
              <w:t>100%</w:t>
            </w:r>
          </w:p>
        </w:tc>
        <w:tc>
          <w:tcPr>
            <w:tcW w:w="906" w:type="dxa"/>
            <w:tcBorders>
              <w:top w:val="nil"/>
              <w:left w:val="nil"/>
              <w:bottom w:val="double" w:sz="6" w:space="0" w:color="auto"/>
              <w:right w:val="double" w:sz="6" w:space="0" w:color="auto"/>
            </w:tcBorders>
            <w:shd w:val="clear" w:color="auto" w:fill="auto"/>
            <w:noWrap/>
            <w:vAlign w:val="center"/>
            <w:hideMark/>
          </w:tcPr>
          <w:p w14:paraId="067B82AD" w14:textId="77777777" w:rsidR="00B35EC7" w:rsidRPr="00C50854" w:rsidRDefault="00B35EC7" w:rsidP="00B35EC7">
            <w:pPr>
              <w:suppressAutoHyphens w:val="0"/>
              <w:jc w:val="center"/>
              <w:rPr>
                <w:b/>
                <w:bCs/>
                <w:color w:val="000000"/>
                <w:sz w:val="20"/>
                <w:szCs w:val="20"/>
                <w:lang w:eastAsia="et-EE"/>
              </w:rPr>
            </w:pPr>
            <w:r w:rsidRPr="00C50854">
              <w:rPr>
                <w:b/>
                <w:bCs/>
                <w:color w:val="000000"/>
                <w:sz w:val="20"/>
                <w:szCs w:val="20"/>
                <w:lang w:eastAsia="et-EE"/>
              </w:rPr>
              <w:t>100%</w:t>
            </w:r>
          </w:p>
        </w:tc>
      </w:tr>
    </w:tbl>
    <w:p w14:paraId="009D3115" w14:textId="0D8A22EA" w:rsidR="008A5A6E" w:rsidRPr="00C50854" w:rsidRDefault="00165B42" w:rsidP="00165B42">
      <w:pPr>
        <w:pStyle w:val="Pealdis"/>
        <w:rPr>
          <w:b w:val="0"/>
        </w:rPr>
      </w:pPr>
      <w:r w:rsidRPr="00C50854">
        <w:t xml:space="preserve">Tabel </w:t>
      </w:r>
      <w:fldSimple w:instr=" SEQ Tabel \* ARABIC ">
        <w:r w:rsidR="00D24389" w:rsidRPr="00C50854">
          <w:rPr>
            <w:noProof/>
          </w:rPr>
          <w:t>12</w:t>
        </w:r>
      </w:fldSimple>
      <w:r w:rsidRPr="00C50854">
        <w:t xml:space="preserve">. </w:t>
      </w:r>
      <w:r w:rsidRPr="00C50854">
        <w:rPr>
          <w:b w:val="0"/>
        </w:rPr>
        <w:t>Ettevõtjate tulud, klientide ja ühenduste arv maakondades 2016-2018</w:t>
      </w:r>
    </w:p>
    <w:p w14:paraId="4B415A28" w14:textId="68230365" w:rsidR="00165B42" w:rsidRPr="00C50854" w:rsidRDefault="000E4411"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Aastal 2018 oli Telia turuosa maakondades kokku </w:t>
      </w:r>
      <w:r w:rsidR="00AF3E4B" w:rsidRPr="00C50854">
        <w:rPr>
          <w:lang w:eastAsia="et-EE"/>
        </w:rPr>
        <w:t>...*</w:t>
      </w:r>
      <w:r w:rsidRPr="00C50854">
        <w:rPr>
          <w:lang w:eastAsia="et-EE"/>
        </w:rPr>
        <w:t xml:space="preserve">% ühenduste arvust, </w:t>
      </w:r>
      <w:r w:rsidR="00F6536D" w:rsidRPr="00C50854">
        <w:rPr>
          <w:lang w:eastAsia="et-EE"/>
        </w:rPr>
        <w:t>7</w:t>
      </w:r>
      <w:r w:rsidRPr="00C50854">
        <w:rPr>
          <w:lang w:eastAsia="et-EE"/>
        </w:rPr>
        <w:t xml:space="preserve">8% klientide arvust ning </w:t>
      </w:r>
      <w:r w:rsidR="00AF3E4B" w:rsidRPr="00C50854">
        <w:rPr>
          <w:lang w:eastAsia="et-EE"/>
        </w:rPr>
        <w:t>...*</w:t>
      </w:r>
      <w:r w:rsidRPr="00C50854">
        <w:rPr>
          <w:lang w:eastAsia="et-EE"/>
        </w:rPr>
        <w:t xml:space="preserve">% tuludest. Konkurentsis teisel kohal asetseva Teleteenuste osakaal oli vastavalt </w:t>
      </w:r>
      <w:r w:rsidR="00AF3E4B" w:rsidRPr="00C50854">
        <w:rPr>
          <w:lang w:eastAsia="et-EE"/>
        </w:rPr>
        <w:t>...*</w:t>
      </w:r>
      <w:r w:rsidRPr="00C50854">
        <w:rPr>
          <w:lang w:eastAsia="et-EE"/>
        </w:rPr>
        <w:t xml:space="preserve">%, </w:t>
      </w:r>
      <w:r w:rsidR="00F6536D" w:rsidRPr="00C50854">
        <w:rPr>
          <w:lang w:eastAsia="et-EE"/>
        </w:rPr>
        <w:t>15</w:t>
      </w:r>
      <w:r w:rsidRPr="00C50854">
        <w:rPr>
          <w:lang w:eastAsia="et-EE"/>
        </w:rPr>
        <w:t xml:space="preserve">% ning </w:t>
      </w:r>
      <w:r w:rsidR="00AF3E4B" w:rsidRPr="00C50854">
        <w:rPr>
          <w:lang w:eastAsia="et-EE"/>
        </w:rPr>
        <w:t>...*</w:t>
      </w:r>
      <w:r w:rsidRPr="00C50854">
        <w:rPr>
          <w:lang w:eastAsia="et-EE"/>
        </w:rPr>
        <w:t xml:space="preserve">%. Teiste turuosaliste turuosad jäävad kõikides näitajates alla </w:t>
      </w:r>
      <w:r w:rsidR="00AF3E4B" w:rsidRPr="00C50854">
        <w:rPr>
          <w:lang w:eastAsia="et-EE"/>
        </w:rPr>
        <w:t>...*</w:t>
      </w:r>
      <w:r w:rsidRPr="00C50854">
        <w:rPr>
          <w:lang w:eastAsia="et-EE"/>
        </w:rPr>
        <w:t>%-i.</w:t>
      </w:r>
    </w:p>
    <w:p w14:paraId="05007C86" w14:textId="6CBD187A" w:rsidR="000E4411" w:rsidRPr="00C50854" w:rsidRDefault="000E4411"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Vaadeldes üldist trendi on näha, et kolme aasta jooksul on Telia turuosa muutunud marginaalselt nii linnades kui ka maakondades. </w:t>
      </w:r>
    </w:p>
    <w:p w14:paraId="1FBEF6ED" w14:textId="77777777" w:rsidR="00F702CE" w:rsidRPr="00C50854" w:rsidRDefault="00F702CE" w:rsidP="00F702CE">
      <w:pPr>
        <w:suppressAutoHyphens w:val="0"/>
        <w:spacing w:before="120" w:after="120"/>
        <w:rPr>
          <w:rFonts w:cs="Arial"/>
          <w:b/>
          <w:bCs/>
          <w:i/>
          <w:szCs w:val="26"/>
        </w:rPr>
      </w:pPr>
      <w:r w:rsidRPr="00C50854">
        <w:rPr>
          <w:rFonts w:cs="Arial"/>
          <w:b/>
          <w:bCs/>
          <w:i/>
          <w:szCs w:val="26"/>
        </w:rPr>
        <w:t>Järeldus</w:t>
      </w:r>
    </w:p>
    <w:p w14:paraId="7C13A874" w14:textId="6A8CE7E6" w:rsidR="00F702CE" w:rsidRPr="00C50854" w:rsidRDefault="00896476" w:rsidP="00311E1F">
      <w:pPr>
        <w:numPr>
          <w:ilvl w:val="0"/>
          <w:numId w:val="13"/>
        </w:numPr>
        <w:suppressAutoHyphens w:val="0"/>
        <w:autoSpaceDE w:val="0"/>
        <w:autoSpaceDN w:val="0"/>
        <w:adjustRightInd w:val="0"/>
        <w:spacing w:before="120" w:after="120"/>
        <w:jc w:val="both"/>
        <w:rPr>
          <w:lang w:eastAsia="et-EE"/>
        </w:rPr>
      </w:pPr>
      <w:r w:rsidRPr="00C50854">
        <w:rPr>
          <w:lang w:eastAsia="et-EE"/>
        </w:rPr>
        <w:t>Telia</w:t>
      </w:r>
      <w:r w:rsidR="00447B34" w:rsidRPr="00C50854">
        <w:rPr>
          <w:lang w:eastAsia="et-EE"/>
        </w:rPr>
        <w:t xml:space="preserve"> on </w:t>
      </w:r>
      <w:r w:rsidR="00447B34" w:rsidRPr="00C50854">
        <w:t>säilitanud</w:t>
      </w:r>
      <w:r w:rsidR="00447B34" w:rsidRPr="00C50854">
        <w:rPr>
          <w:lang w:eastAsia="et-EE"/>
        </w:rPr>
        <w:t xml:space="preserve"> f</w:t>
      </w:r>
      <w:r w:rsidR="00F702CE" w:rsidRPr="00C50854">
        <w:rPr>
          <w:lang w:eastAsia="et-EE"/>
        </w:rPr>
        <w:t xml:space="preserve">ikseeritud sidevõrgu baasil elektroonilise side </w:t>
      </w:r>
      <w:r w:rsidR="00F718C0" w:rsidRPr="00C50854">
        <w:rPr>
          <w:lang w:eastAsia="et-EE"/>
        </w:rPr>
        <w:t>jae</w:t>
      </w:r>
      <w:r w:rsidR="00F702CE" w:rsidRPr="00C50854">
        <w:rPr>
          <w:lang w:eastAsia="et-EE"/>
        </w:rPr>
        <w:t xml:space="preserve">teenuste osutamisel </w:t>
      </w:r>
      <w:r w:rsidR="00F702CE" w:rsidRPr="00C50854">
        <w:t>mä</w:t>
      </w:r>
      <w:r w:rsidR="00447B34" w:rsidRPr="00C50854">
        <w:t>rkimisväärselt suure</w:t>
      </w:r>
      <w:r w:rsidR="00447B34" w:rsidRPr="00C50854">
        <w:rPr>
          <w:lang w:eastAsia="et-EE"/>
        </w:rPr>
        <w:t xml:space="preserve"> turuosa. V</w:t>
      </w:r>
      <w:r w:rsidR="00F702CE" w:rsidRPr="00C50854">
        <w:rPr>
          <w:lang w:eastAsia="et-EE"/>
        </w:rPr>
        <w:t xml:space="preserve">õrreldes teiste fikseeritud sidevõrkudes elektroonilise side </w:t>
      </w:r>
      <w:r w:rsidR="00F718C0" w:rsidRPr="00C50854">
        <w:rPr>
          <w:lang w:eastAsia="et-EE"/>
        </w:rPr>
        <w:t>jae</w:t>
      </w:r>
      <w:r w:rsidR="00F702CE" w:rsidRPr="00C50854">
        <w:rPr>
          <w:lang w:eastAsia="et-EE"/>
        </w:rPr>
        <w:t xml:space="preserve">teenuseid osutavate ettevõtjate turuosadega kokku, on </w:t>
      </w:r>
      <w:r w:rsidRPr="00C50854">
        <w:rPr>
          <w:lang w:eastAsia="et-EE"/>
        </w:rPr>
        <w:t>Telia</w:t>
      </w:r>
      <w:r w:rsidR="00F702CE" w:rsidRPr="00C50854">
        <w:rPr>
          <w:lang w:eastAsia="et-EE"/>
        </w:rPr>
        <w:t xml:space="preserve"> turuosa </w:t>
      </w:r>
      <w:r w:rsidR="008B6147" w:rsidRPr="00C50854">
        <w:t>oluliselt</w:t>
      </w:r>
      <w:r w:rsidR="00F702CE" w:rsidRPr="00C50854">
        <w:t xml:space="preserve"> suurem</w:t>
      </w:r>
      <w:r w:rsidR="00F702CE" w:rsidRPr="00C50854">
        <w:rPr>
          <w:lang w:eastAsia="et-EE"/>
        </w:rPr>
        <w:t xml:space="preserve"> nii elektroonilise side </w:t>
      </w:r>
      <w:r w:rsidR="00F718C0" w:rsidRPr="00C50854">
        <w:rPr>
          <w:lang w:eastAsia="et-EE"/>
        </w:rPr>
        <w:t>jae</w:t>
      </w:r>
      <w:r w:rsidR="00F702CE" w:rsidRPr="00C50854">
        <w:rPr>
          <w:lang w:eastAsia="et-EE"/>
        </w:rPr>
        <w:t xml:space="preserve">teenuste osutamise käibe kui ka aktiivsete kliendiliinide arvu osas (vaata </w:t>
      </w:r>
      <w:r w:rsidR="00883217" w:rsidRPr="00C50854">
        <w:rPr>
          <w:lang w:eastAsia="et-EE"/>
        </w:rPr>
        <w:fldChar w:fldCharType="begin"/>
      </w:r>
      <w:r w:rsidR="00883217" w:rsidRPr="00C50854">
        <w:rPr>
          <w:lang w:eastAsia="et-EE"/>
        </w:rPr>
        <w:instrText xml:space="preserve"> REF _Ref346267828 \h  \* MERGEFORMAT </w:instrText>
      </w:r>
      <w:r w:rsidR="00883217" w:rsidRPr="00C50854">
        <w:rPr>
          <w:lang w:eastAsia="et-EE"/>
        </w:rPr>
      </w:r>
      <w:r w:rsidR="00883217" w:rsidRPr="00C50854">
        <w:rPr>
          <w:lang w:eastAsia="et-EE"/>
        </w:rPr>
        <w:fldChar w:fldCharType="separate"/>
      </w:r>
      <w:r w:rsidR="0079054B" w:rsidRPr="00C50854">
        <w:rPr>
          <w:lang w:eastAsia="et-EE"/>
        </w:rPr>
        <w:t>Tabel 9</w:t>
      </w:r>
      <w:r w:rsidR="00883217" w:rsidRPr="00C50854">
        <w:rPr>
          <w:lang w:eastAsia="et-EE"/>
        </w:rPr>
        <w:fldChar w:fldCharType="end"/>
      </w:r>
      <w:r w:rsidR="00883217" w:rsidRPr="00C50854">
        <w:rPr>
          <w:lang w:eastAsia="et-EE"/>
        </w:rPr>
        <w:t xml:space="preserve"> </w:t>
      </w:r>
      <w:r w:rsidR="002C0318" w:rsidRPr="00C50854">
        <w:rPr>
          <w:lang w:eastAsia="et-EE"/>
        </w:rPr>
        <w:t xml:space="preserve">ja </w:t>
      </w:r>
      <w:r w:rsidR="00883217" w:rsidRPr="00C50854">
        <w:rPr>
          <w:lang w:eastAsia="et-EE"/>
        </w:rPr>
        <w:fldChar w:fldCharType="begin"/>
      </w:r>
      <w:r w:rsidR="00883217" w:rsidRPr="00C50854">
        <w:rPr>
          <w:lang w:eastAsia="et-EE"/>
        </w:rPr>
        <w:instrText xml:space="preserve"> REF _Ref346267956 \h  \* MERGEFORMAT </w:instrText>
      </w:r>
      <w:r w:rsidR="00883217" w:rsidRPr="00C50854">
        <w:rPr>
          <w:lang w:eastAsia="et-EE"/>
        </w:rPr>
      </w:r>
      <w:r w:rsidR="00883217" w:rsidRPr="00C50854">
        <w:rPr>
          <w:lang w:eastAsia="et-EE"/>
        </w:rPr>
        <w:fldChar w:fldCharType="separate"/>
      </w:r>
      <w:r w:rsidR="0079054B" w:rsidRPr="00C50854">
        <w:rPr>
          <w:lang w:eastAsia="et-EE"/>
        </w:rPr>
        <w:t>Tabel 10</w:t>
      </w:r>
      <w:r w:rsidR="00883217" w:rsidRPr="00C50854">
        <w:rPr>
          <w:lang w:eastAsia="et-EE"/>
        </w:rPr>
        <w:fldChar w:fldCharType="end"/>
      </w:r>
      <w:r w:rsidR="00447B34" w:rsidRPr="00C50854">
        <w:rPr>
          <w:lang w:eastAsia="et-EE"/>
        </w:rPr>
        <w:t>)</w:t>
      </w:r>
      <w:r w:rsidR="00770A14" w:rsidRPr="00C50854">
        <w:rPr>
          <w:lang w:eastAsia="et-EE"/>
        </w:rPr>
        <w:t xml:space="preserve">. </w:t>
      </w:r>
      <w:r w:rsidR="00F702CE" w:rsidRPr="00C50854">
        <w:rPr>
          <w:lang w:eastAsia="et-EE"/>
        </w:rPr>
        <w:t xml:space="preserve">Seega ei ole </w:t>
      </w:r>
      <w:r w:rsidRPr="00C50854">
        <w:rPr>
          <w:lang w:eastAsia="et-EE"/>
        </w:rPr>
        <w:t>Telia</w:t>
      </w:r>
      <w:r w:rsidR="00F702CE" w:rsidRPr="00C50854">
        <w:rPr>
          <w:lang w:eastAsia="et-EE"/>
        </w:rPr>
        <w:t xml:space="preserve"> </w:t>
      </w:r>
      <w:r w:rsidR="00F718C0" w:rsidRPr="00C50854">
        <w:rPr>
          <w:lang w:eastAsia="et-EE"/>
        </w:rPr>
        <w:t xml:space="preserve">vaadeldaval perioodil </w:t>
      </w:r>
      <w:r w:rsidR="00F702CE" w:rsidRPr="00C50854">
        <w:rPr>
          <w:lang w:eastAsia="et-EE"/>
        </w:rPr>
        <w:t xml:space="preserve">elektroonilise side </w:t>
      </w:r>
      <w:r w:rsidR="00F718C0" w:rsidRPr="00C50854">
        <w:rPr>
          <w:lang w:eastAsia="et-EE"/>
        </w:rPr>
        <w:t>jae</w:t>
      </w:r>
      <w:r w:rsidR="00F702CE" w:rsidRPr="00C50854">
        <w:rPr>
          <w:lang w:eastAsia="et-EE"/>
        </w:rPr>
        <w:t>teenuste turul oma positsiooni kaotanud ning tema</w:t>
      </w:r>
      <w:r w:rsidR="00447B34" w:rsidRPr="00C50854">
        <w:rPr>
          <w:lang w:eastAsia="et-EE"/>
        </w:rPr>
        <w:t xml:space="preserve"> turuosa on</w:t>
      </w:r>
      <w:r w:rsidR="00F702CE" w:rsidRPr="00C50854">
        <w:rPr>
          <w:lang w:eastAsia="et-EE"/>
        </w:rPr>
        <w:t xml:space="preserve"> elektroonilise side </w:t>
      </w:r>
      <w:r w:rsidR="00F718C0" w:rsidRPr="00C50854">
        <w:rPr>
          <w:lang w:eastAsia="et-EE"/>
        </w:rPr>
        <w:t>jae</w:t>
      </w:r>
      <w:r w:rsidR="00F702CE" w:rsidRPr="00C50854">
        <w:rPr>
          <w:lang w:eastAsia="et-EE"/>
        </w:rPr>
        <w:t>teenuste osutamisel endiselt stabiilne ning domineeriv.</w:t>
      </w:r>
    </w:p>
    <w:p w14:paraId="1932597D" w14:textId="77777777" w:rsidR="00F702CE" w:rsidRPr="00C50854" w:rsidRDefault="00F702CE" w:rsidP="00F702CE">
      <w:pPr>
        <w:suppressAutoHyphens w:val="0"/>
        <w:spacing w:before="120" w:after="120"/>
        <w:jc w:val="both"/>
        <w:rPr>
          <w:b/>
          <w:lang w:eastAsia="et-EE"/>
        </w:rPr>
      </w:pPr>
      <w:r w:rsidRPr="00C50854">
        <w:rPr>
          <w:b/>
          <w:lang w:eastAsia="et-EE"/>
        </w:rPr>
        <w:t>Kokkuvõte</w:t>
      </w:r>
    </w:p>
    <w:p w14:paraId="3B9FC0E4" w14:textId="7E69E86D" w:rsidR="00F702CE" w:rsidRPr="00C50854" w:rsidRDefault="00F702CE" w:rsidP="00311E1F">
      <w:pPr>
        <w:numPr>
          <w:ilvl w:val="0"/>
          <w:numId w:val="13"/>
        </w:numPr>
        <w:suppressAutoHyphens w:val="0"/>
        <w:autoSpaceDE w:val="0"/>
        <w:autoSpaceDN w:val="0"/>
        <w:adjustRightInd w:val="0"/>
        <w:spacing w:before="120" w:after="120"/>
        <w:jc w:val="both"/>
        <w:rPr>
          <w:lang w:eastAsia="et-EE"/>
        </w:rPr>
      </w:pPr>
      <w:r w:rsidRPr="00C50854">
        <w:rPr>
          <w:lang w:eastAsia="et-EE"/>
        </w:rPr>
        <w:t>Tarbijaharjumus</w:t>
      </w:r>
      <w:r w:rsidR="004450F0" w:rsidRPr="00C50854">
        <w:rPr>
          <w:lang w:eastAsia="et-EE"/>
        </w:rPr>
        <w:t>e</w:t>
      </w:r>
      <w:r w:rsidRPr="00C50854">
        <w:rPr>
          <w:lang w:eastAsia="et-EE"/>
        </w:rPr>
        <w:t xml:space="preserve"> </w:t>
      </w:r>
      <w:r w:rsidR="004450F0" w:rsidRPr="00C50854">
        <w:rPr>
          <w:lang w:eastAsia="et-EE"/>
        </w:rPr>
        <w:t>ja</w:t>
      </w:r>
      <w:r w:rsidRPr="00C50854">
        <w:rPr>
          <w:lang w:eastAsia="et-EE"/>
        </w:rPr>
        <w:t xml:space="preserve"> konkurentsiolukorra muutuse tõttu kasutatakse valguskaablil põhinevaid tehnoloogiad üha laiemalt ning nõudlus </w:t>
      </w:r>
      <w:r w:rsidR="00F718C0" w:rsidRPr="00C50854">
        <w:rPr>
          <w:lang w:eastAsia="et-EE"/>
        </w:rPr>
        <w:t>kiirema</w:t>
      </w:r>
      <w:r w:rsidR="00C53E14" w:rsidRPr="00C50854">
        <w:rPr>
          <w:lang w:eastAsia="et-EE"/>
        </w:rPr>
        <w:t>te</w:t>
      </w:r>
      <w:r w:rsidR="00F718C0" w:rsidRPr="00C50854">
        <w:rPr>
          <w:lang w:eastAsia="et-EE"/>
        </w:rPr>
        <w:t xml:space="preserve"> andmesidelahenduste </w:t>
      </w:r>
      <w:r w:rsidRPr="00C50854">
        <w:rPr>
          <w:lang w:eastAsia="et-EE"/>
        </w:rPr>
        <w:t xml:space="preserve">järele suureneb pidevalt. Seevastu </w:t>
      </w:r>
      <w:r w:rsidR="00CE6D2D" w:rsidRPr="00C50854">
        <w:rPr>
          <w:lang w:eastAsia="et-EE"/>
        </w:rPr>
        <w:t>vaskpaar ning raadiolahendustel</w:t>
      </w:r>
      <w:r w:rsidRPr="00C50854">
        <w:rPr>
          <w:lang w:eastAsia="et-EE"/>
        </w:rPr>
        <w:t xml:space="preserve"> baseeruvad teenused kaotavad </w:t>
      </w:r>
      <w:r w:rsidR="00F57059" w:rsidRPr="00C50854">
        <w:rPr>
          <w:lang w:eastAsia="et-EE"/>
        </w:rPr>
        <w:t>lõppkasutaja</w:t>
      </w:r>
      <w:r w:rsidRPr="00C50854">
        <w:rPr>
          <w:lang w:eastAsia="et-EE"/>
        </w:rPr>
        <w:t>te arvu aluse</w:t>
      </w:r>
      <w:r w:rsidR="00447B34" w:rsidRPr="00C50854">
        <w:rPr>
          <w:lang w:eastAsia="et-EE"/>
        </w:rPr>
        <w:t xml:space="preserve">ks võttes turuosa (vt ka </w:t>
      </w:r>
      <w:r w:rsidR="00883217" w:rsidRPr="00C50854">
        <w:rPr>
          <w:lang w:eastAsia="et-EE"/>
        </w:rPr>
        <w:fldChar w:fldCharType="begin"/>
      </w:r>
      <w:r w:rsidR="00883217" w:rsidRPr="00C50854">
        <w:rPr>
          <w:lang w:eastAsia="et-EE"/>
        </w:rPr>
        <w:instrText xml:space="preserve"> REF _Ref460231538 \h  \* MERGEFORMAT </w:instrText>
      </w:r>
      <w:r w:rsidR="00883217" w:rsidRPr="00C50854">
        <w:rPr>
          <w:lang w:eastAsia="et-EE"/>
        </w:rPr>
      </w:r>
      <w:r w:rsidR="00883217" w:rsidRPr="00C50854">
        <w:rPr>
          <w:lang w:eastAsia="et-EE"/>
        </w:rPr>
        <w:fldChar w:fldCharType="separate"/>
      </w:r>
      <w:r w:rsidR="0079054B" w:rsidRPr="00C50854">
        <w:rPr>
          <w:lang w:eastAsia="et-EE"/>
        </w:rPr>
        <w:t xml:space="preserve">Tabel </w:t>
      </w:r>
      <w:r w:rsidR="0079054B" w:rsidRPr="00C50854">
        <w:rPr>
          <w:noProof/>
          <w:lang w:eastAsia="et-EE"/>
        </w:rPr>
        <w:t>1</w:t>
      </w:r>
      <w:r w:rsidR="00883217" w:rsidRPr="00C50854">
        <w:rPr>
          <w:lang w:eastAsia="et-EE"/>
        </w:rPr>
        <w:fldChar w:fldCharType="end"/>
      </w:r>
      <w:r w:rsidR="00C6634E" w:rsidRPr="00C50854">
        <w:rPr>
          <w:lang w:eastAsia="et-EE"/>
        </w:rPr>
        <w:t>)</w:t>
      </w:r>
      <w:r w:rsidRPr="00C50854">
        <w:rPr>
          <w:lang w:eastAsia="et-EE"/>
        </w:rPr>
        <w:t>.</w:t>
      </w:r>
    </w:p>
    <w:p w14:paraId="7AB7B24E" w14:textId="6B3357C8" w:rsidR="00F702CE" w:rsidRPr="00C50854" w:rsidRDefault="00896476" w:rsidP="00311E1F">
      <w:pPr>
        <w:numPr>
          <w:ilvl w:val="0"/>
          <w:numId w:val="13"/>
        </w:numPr>
        <w:suppressAutoHyphens w:val="0"/>
        <w:autoSpaceDE w:val="0"/>
        <w:autoSpaceDN w:val="0"/>
        <w:adjustRightInd w:val="0"/>
        <w:spacing w:before="120" w:after="120"/>
        <w:jc w:val="both"/>
        <w:rPr>
          <w:lang w:eastAsia="et-EE"/>
        </w:rPr>
      </w:pPr>
      <w:r w:rsidRPr="00C50854">
        <w:rPr>
          <w:lang w:eastAsia="et-EE"/>
        </w:rPr>
        <w:t>Kohaliku</w:t>
      </w:r>
      <w:r w:rsidR="00F702CE" w:rsidRPr="00C50854">
        <w:rPr>
          <w:lang w:eastAsia="et-EE"/>
        </w:rPr>
        <w:t xml:space="preserve"> </w:t>
      </w:r>
      <w:r w:rsidR="00CB2E7F" w:rsidRPr="00C50854">
        <w:rPr>
          <w:lang w:eastAsia="et-EE"/>
        </w:rPr>
        <w:t>juurdepääsu turuga allapoole</w:t>
      </w:r>
      <w:r w:rsidR="00F702CE" w:rsidRPr="00C50854">
        <w:rPr>
          <w:lang w:eastAsia="et-EE"/>
        </w:rPr>
        <w:t xml:space="preserve"> seotud elektroonilise side teenuste jaeturul on suurimaks teenuseosutajaks </w:t>
      </w:r>
      <w:r w:rsidRPr="00C50854">
        <w:rPr>
          <w:lang w:eastAsia="et-EE"/>
        </w:rPr>
        <w:t>Telia</w:t>
      </w:r>
      <w:r w:rsidR="00F702CE" w:rsidRPr="00C50854">
        <w:rPr>
          <w:lang w:eastAsia="et-EE"/>
        </w:rPr>
        <w:t>. 201</w:t>
      </w:r>
      <w:r w:rsidR="00261B57" w:rsidRPr="00C50854">
        <w:rPr>
          <w:lang w:eastAsia="et-EE"/>
        </w:rPr>
        <w:t>8</w:t>
      </w:r>
      <w:r w:rsidR="00F702CE" w:rsidRPr="00C50854">
        <w:rPr>
          <w:lang w:eastAsia="et-EE"/>
        </w:rPr>
        <w:t xml:space="preserve">. aasta lõpus moodustas </w:t>
      </w:r>
      <w:r w:rsidRPr="00C50854">
        <w:rPr>
          <w:lang w:eastAsia="et-EE"/>
        </w:rPr>
        <w:t>Telia</w:t>
      </w:r>
      <w:r w:rsidR="00F702CE" w:rsidRPr="00C50854">
        <w:rPr>
          <w:lang w:eastAsia="et-EE"/>
        </w:rPr>
        <w:t xml:space="preserve"> turuosa fikseeritud </w:t>
      </w:r>
      <w:r w:rsidR="00F702CE" w:rsidRPr="00C50854">
        <w:rPr>
          <w:lang w:eastAsia="et-EE"/>
        </w:rPr>
        <w:lastRenderedPageBreak/>
        <w:t xml:space="preserve">sidevõrkudes lairibateenuse osutamisel teenuse käibe alusel </w:t>
      </w:r>
      <w:r w:rsidR="00AF3E4B" w:rsidRPr="00C50854">
        <w:rPr>
          <w:lang w:eastAsia="et-EE"/>
        </w:rPr>
        <w:t>...*</w:t>
      </w:r>
      <w:r w:rsidR="00F702CE" w:rsidRPr="00C50854">
        <w:rPr>
          <w:lang w:eastAsia="et-EE"/>
        </w:rPr>
        <w:t>% ja lairibateenust tarbivate ning sidevõrgule juurdepääsu omavate lõppkasutajate arvu alusel </w:t>
      </w:r>
      <w:r w:rsidR="00AF3E4B" w:rsidRPr="00C50854">
        <w:rPr>
          <w:lang w:eastAsia="et-EE"/>
        </w:rPr>
        <w:t>...*</w:t>
      </w:r>
      <w:r w:rsidR="00F702CE" w:rsidRPr="00C50854">
        <w:rPr>
          <w:lang w:eastAsia="et-EE"/>
        </w:rPr>
        <w:t>%.</w:t>
      </w:r>
      <w:r w:rsidR="00D036E4" w:rsidRPr="00C50854">
        <w:rPr>
          <w:lang w:eastAsia="et-EE"/>
        </w:rPr>
        <w:t xml:space="preserve"> </w:t>
      </w:r>
    </w:p>
    <w:p w14:paraId="7440657A" w14:textId="5697B085" w:rsidR="00F702CE" w:rsidRPr="00C50854" w:rsidRDefault="00F702CE" w:rsidP="00311E1F">
      <w:pPr>
        <w:numPr>
          <w:ilvl w:val="0"/>
          <w:numId w:val="13"/>
        </w:numPr>
        <w:suppressAutoHyphens w:val="0"/>
        <w:autoSpaceDE w:val="0"/>
        <w:autoSpaceDN w:val="0"/>
        <w:adjustRightInd w:val="0"/>
        <w:spacing w:before="120" w:after="120"/>
        <w:jc w:val="both"/>
        <w:rPr>
          <w:lang w:eastAsia="et-EE"/>
        </w:rPr>
      </w:pPr>
      <w:r w:rsidRPr="00C50854">
        <w:rPr>
          <w:lang w:eastAsia="et-EE"/>
        </w:rPr>
        <w:t>Peale elektroonilise side turu</w:t>
      </w:r>
      <w:r w:rsidR="0059100F" w:rsidRPr="00C50854">
        <w:rPr>
          <w:lang w:eastAsia="et-EE"/>
        </w:rPr>
        <w:t xml:space="preserve"> </w:t>
      </w:r>
      <w:r w:rsidRPr="00C50854">
        <w:rPr>
          <w:lang w:eastAsia="et-EE"/>
        </w:rPr>
        <w:t xml:space="preserve">avanemist 2001. aastal ei ole ükski turule sisenenud fikseeritud sidevõrkudes teenust pakkuv sideettevõtja suutnud saavutada turuosa, mis avaldaks </w:t>
      </w:r>
      <w:r w:rsidR="00896476" w:rsidRPr="00C50854">
        <w:rPr>
          <w:lang w:eastAsia="et-EE"/>
        </w:rPr>
        <w:t>Teliale</w:t>
      </w:r>
      <w:r w:rsidR="0059100F" w:rsidRPr="00C50854">
        <w:rPr>
          <w:lang w:eastAsia="et-EE"/>
        </w:rPr>
        <w:t xml:space="preserve"> piisavat konkurentsisurvet - s</w:t>
      </w:r>
      <w:r w:rsidRPr="00C50854">
        <w:rPr>
          <w:lang w:eastAsia="et-EE"/>
        </w:rPr>
        <w:t>eda nii lairibateenuse osutamisel lõppkasutajate osakaalu,</w:t>
      </w:r>
      <w:r w:rsidR="00C53E14" w:rsidRPr="00C50854">
        <w:rPr>
          <w:lang w:eastAsia="et-EE"/>
        </w:rPr>
        <w:t xml:space="preserve"> kui ka</w:t>
      </w:r>
      <w:r w:rsidRPr="00C50854">
        <w:rPr>
          <w:lang w:eastAsia="et-EE"/>
        </w:rPr>
        <w:t xml:space="preserve"> elektroonilise sideteenuse osutamiselt saadavate tulude osakaalu arvesse võttes.</w:t>
      </w:r>
    </w:p>
    <w:p w14:paraId="6581DEFF" w14:textId="77777777" w:rsidR="00F702CE" w:rsidRPr="00C50854" w:rsidRDefault="00F702CE" w:rsidP="00A32D26">
      <w:pPr>
        <w:pStyle w:val="Pealkiri2"/>
      </w:pPr>
      <w:bookmarkStart w:id="220" w:name="_Toc464639341"/>
      <w:bookmarkStart w:id="221" w:name="_Toc42072445"/>
      <w:r w:rsidRPr="00C50854">
        <w:t>4.3. Turujõu hindamine</w:t>
      </w:r>
      <w:bookmarkEnd w:id="220"/>
      <w:bookmarkEnd w:id="221"/>
    </w:p>
    <w:p w14:paraId="4254C935" w14:textId="77777777" w:rsidR="00F702CE" w:rsidRPr="00C50854" w:rsidRDefault="00F702CE" w:rsidP="00F702CE">
      <w:pPr>
        <w:pStyle w:val="Pealkiri3"/>
        <w:rPr>
          <w:i/>
        </w:rPr>
      </w:pPr>
      <w:bookmarkStart w:id="222" w:name="_Toc464639342"/>
      <w:bookmarkStart w:id="223" w:name="_Toc42072446"/>
      <w:r w:rsidRPr="00C50854">
        <w:rPr>
          <w:i/>
        </w:rPr>
        <w:t>4.3.1. Turuosad</w:t>
      </w:r>
      <w:bookmarkEnd w:id="222"/>
      <w:bookmarkEnd w:id="223"/>
    </w:p>
    <w:p w14:paraId="49B7D7A9" w14:textId="10627B27"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Ettevõtja turujõu üks olulisemaid näitajaid asjakohasel turul on tema turuosa suurus. Olulise suurusega turuosa on tähtis konkurentsieelis, kuna see annab ettevõtjale võimaluse tõsta teenuse hinda, ilma et tulud </w:t>
      </w:r>
      <w:r w:rsidR="001463D6" w:rsidRPr="00C50854">
        <w:rPr>
          <w:lang w:eastAsia="et-EE"/>
        </w:rPr>
        <w:t>võimaliku</w:t>
      </w:r>
      <w:r w:rsidRPr="00C50854">
        <w:rPr>
          <w:lang w:eastAsia="et-EE"/>
        </w:rPr>
        <w:t xml:space="preserve"> tarbimise vähenemise tõttu langeksid. Euroopa Komisjoni otsustuspraktika kohaselt võib rohkem kui 40% suurune turuosa viidata ettevõtja turgu valitsevale seisundile konkreetsel turul. Kuigi on vähetõenäoline, et turgu valitsevat seisundit omav ettevõtja ei omaks turul märkimisväärset turuosa, ei ole üksnes suur turuosa ainus faktor, mis võiks anda ettevõtjale vastaval turul märkimisväärse turujõu ja takistada konkurentsi toimimist. Märkimisväärse turujõu omamise kahtlus võib tekkida ka ettevõtja 40%-st madalama turuosa puhul, kui esinevad muud asjaolud, mis tõendavad turgu valitseva seisundi omamist.</w:t>
      </w:r>
    </w:p>
    <w:p w14:paraId="2CD94D55" w14:textId="30CC53BB"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Vastavalt turuanalüüsi ja märkimisväärse turujõu hindamise suuniste artiklis 75 viidatud Euroopa Kohtu kohtupraktikale</w:t>
      </w:r>
      <w:r w:rsidRPr="00C50854">
        <w:rPr>
          <w:vertAlign w:val="superscript"/>
          <w:lang w:eastAsia="et-EE"/>
        </w:rPr>
        <w:footnoteReference w:id="34"/>
      </w:r>
      <w:r w:rsidRPr="00C50854">
        <w:rPr>
          <w:lang w:eastAsia="et-EE"/>
        </w:rPr>
        <w:t xml:space="preserve"> loetakse väga suurt turuosa (50% ületav turuosa) iseenesest tõendiks turgu valitseva seisundi kohta, välja arvatud erandlike asjaolude korral. Suure turuosaga ettevõtja domineerivat positsiooni turul võib eeldada, kui ettevõtja turuosa on aja jooksul püsinud stabiilsena. Märkimisväärset turuosa omava ettevõtja turuosa vähenemine aastate lõikes näitab, et konkurents elektroonilise side turul tõhustub, välistamata samas märkimisväärse turujõuga ettevõtja olemasolu konkreetsel turul. Ettevõtja kõikuv turuosa võib siiski viidata turujõu puudumisele konkreetsel turul.</w:t>
      </w:r>
    </w:p>
    <w:p w14:paraId="27786EAD" w14:textId="60CD6D4E"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Ka konkurentsiseaduse § 13 lõi</w:t>
      </w:r>
      <w:r w:rsidR="00DB6556" w:rsidRPr="00C50854">
        <w:rPr>
          <w:lang w:eastAsia="et-EE"/>
        </w:rPr>
        <w:t>k</w:t>
      </w:r>
      <w:r w:rsidRPr="00C50854">
        <w:rPr>
          <w:lang w:eastAsia="et-EE"/>
        </w:rPr>
        <w:t>e 1 alusel võib eeldada turgu valitseva seisundi omamist ettevõtja puhul, kellele kuulub konkreetsel kaubaturul vähemalt 40% käibest.</w:t>
      </w:r>
    </w:p>
    <w:p w14:paraId="3093D290" w14:textId="1257E8B2" w:rsidR="00CC6E9A" w:rsidRPr="00C50854" w:rsidRDefault="00294DAE" w:rsidP="00311E1F">
      <w:pPr>
        <w:numPr>
          <w:ilvl w:val="0"/>
          <w:numId w:val="13"/>
        </w:numPr>
        <w:suppressAutoHyphens w:val="0"/>
        <w:autoSpaceDE w:val="0"/>
        <w:autoSpaceDN w:val="0"/>
        <w:adjustRightInd w:val="0"/>
        <w:spacing w:before="120" w:after="120"/>
        <w:jc w:val="both"/>
        <w:rPr>
          <w:lang w:eastAsia="et-EE"/>
        </w:rPr>
      </w:pPr>
      <w:bookmarkStart w:id="224" w:name="_Hlk25745027"/>
      <w:r w:rsidRPr="00C50854">
        <w:rPr>
          <w:lang w:eastAsia="et-EE"/>
        </w:rPr>
        <w:t>Tehnilise Järelevalve Ameti</w:t>
      </w:r>
      <w:r w:rsidR="00CC6E9A" w:rsidRPr="00C50854">
        <w:rPr>
          <w:lang w:eastAsia="et-EE"/>
        </w:rPr>
        <w:t xml:space="preserve"> </w:t>
      </w:r>
      <w:r w:rsidR="00896476" w:rsidRPr="00C50854">
        <w:rPr>
          <w:lang w:eastAsia="et-EE"/>
        </w:rPr>
        <w:t>201</w:t>
      </w:r>
      <w:r w:rsidRPr="00C50854">
        <w:rPr>
          <w:lang w:eastAsia="et-EE"/>
        </w:rPr>
        <w:t>7</w:t>
      </w:r>
      <w:r w:rsidR="00CC6E9A" w:rsidRPr="00C50854">
        <w:rPr>
          <w:lang w:eastAsia="et-EE"/>
        </w:rPr>
        <w:t xml:space="preserve">. aasta otsusega nr </w:t>
      </w:r>
      <w:r w:rsidR="00896476" w:rsidRPr="00C50854">
        <w:rPr>
          <w:lang w:eastAsia="et-EE"/>
        </w:rPr>
        <w:t>1</w:t>
      </w:r>
      <w:r w:rsidRPr="00C50854">
        <w:rPr>
          <w:lang w:eastAsia="et-EE"/>
        </w:rPr>
        <w:t>6</w:t>
      </w:r>
      <w:r w:rsidR="00896476" w:rsidRPr="00C50854">
        <w:rPr>
          <w:lang w:eastAsia="et-EE"/>
        </w:rPr>
        <w:t>.</w:t>
      </w:r>
      <w:r w:rsidRPr="00C50854">
        <w:rPr>
          <w:lang w:eastAsia="et-EE"/>
        </w:rPr>
        <w:t>06</w:t>
      </w:r>
      <w:r w:rsidR="00896476" w:rsidRPr="00C50854">
        <w:rPr>
          <w:lang w:eastAsia="et-EE"/>
        </w:rPr>
        <w:t>.1</w:t>
      </w:r>
      <w:r w:rsidRPr="00C50854">
        <w:rPr>
          <w:lang w:eastAsia="et-EE"/>
        </w:rPr>
        <w:t>7</w:t>
      </w:r>
      <w:r w:rsidR="00896476" w:rsidRPr="00C50854">
        <w:rPr>
          <w:lang w:eastAsia="et-EE"/>
        </w:rPr>
        <w:t xml:space="preserve"> nr </w:t>
      </w:r>
      <w:r w:rsidRPr="00C50854">
        <w:rPr>
          <w:lang w:eastAsia="et-EE"/>
        </w:rPr>
        <w:t xml:space="preserve">1-10/17-228 </w:t>
      </w:r>
      <w:bookmarkEnd w:id="224"/>
      <w:r w:rsidR="00CC6E9A" w:rsidRPr="00C50854">
        <w:rPr>
          <w:lang w:eastAsia="et-EE"/>
        </w:rPr>
        <w:t xml:space="preserve">määrati </w:t>
      </w:r>
      <w:r w:rsidRPr="00C50854">
        <w:rPr>
          <w:lang w:eastAsia="et-EE"/>
        </w:rPr>
        <w:t>Telia</w:t>
      </w:r>
      <w:r w:rsidR="00896476" w:rsidRPr="00C50854">
        <w:rPr>
          <w:lang w:eastAsia="et-EE"/>
        </w:rPr>
        <w:t xml:space="preserve"> </w:t>
      </w:r>
      <w:r w:rsidR="00CC6E9A" w:rsidRPr="00C50854">
        <w:rPr>
          <w:lang w:eastAsia="et-EE"/>
        </w:rPr>
        <w:t xml:space="preserve">märkimisväärse turujõuga ettevõtjaks </w:t>
      </w:r>
      <w:r w:rsidRPr="00C50854">
        <w:rPr>
          <w:lang w:eastAsia="et-EE"/>
        </w:rPr>
        <w:t>kindlaksmääratud asukohas kohaliku juurdepääsu hulgiturul</w:t>
      </w:r>
      <w:r w:rsidR="00CC6E9A" w:rsidRPr="00C50854">
        <w:rPr>
          <w:lang w:eastAsia="et-EE"/>
        </w:rPr>
        <w:t>.</w:t>
      </w:r>
    </w:p>
    <w:p w14:paraId="3201A0C6" w14:textId="631F9AEC"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Käesolevas analüüsis vaadeldakse kõiki </w:t>
      </w:r>
      <w:r w:rsidR="00896476" w:rsidRPr="00C50854">
        <w:rPr>
          <w:lang w:eastAsia="et-EE"/>
        </w:rPr>
        <w:t>kohaliku</w:t>
      </w:r>
      <w:r w:rsidRPr="00C50854">
        <w:rPr>
          <w:lang w:eastAsia="et-EE"/>
        </w:rPr>
        <w:t xml:space="preserve"> juurdepääsu hulgituru koosseisu kuuluvaid tehnoloogiaid, mis oma olemuselt ja tehnilistelt võimalustelt oleksid asendusteenusteks </w:t>
      </w:r>
      <w:r w:rsidR="00896476" w:rsidRPr="00C50854">
        <w:rPr>
          <w:lang w:eastAsia="et-EE"/>
        </w:rPr>
        <w:t>kohaliku</w:t>
      </w:r>
      <w:r w:rsidRPr="00C50854">
        <w:rPr>
          <w:lang w:eastAsia="et-EE"/>
        </w:rPr>
        <w:t xml:space="preserve"> juurdepääsu hulgituru koosseisu kuuluvatele teenustele.</w:t>
      </w:r>
    </w:p>
    <w:p w14:paraId="373DC56E" w14:textId="286E532C" w:rsidR="00363779" w:rsidRPr="00C50854" w:rsidRDefault="00363779" w:rsidP="00311E1F">
      <w:pPr>
        <w:pStyle w:val="Loendilik"/>
        <w:numPr>
          <w:ilvl w:val="0"/>
          <w:numId w:val="13"/>
        </w:numPr>
        <w:jc w:val="both"/>
        <w:rPr>
          <w:rFonts w:eastAsia="Calibri"/>
        </w:rPr>
      </w:pPr>
      <w:r w:rsidRPr="00C50854">
        <w:rPr>
          <w:rFonts w:eastAsia="Calibri"/>
        </w:rPr>
        <w:t xml:space="preserve">Vaskkaablipaari rendi vahendusel võib teine sideettevõte osutada kõneteenuseid ja valitud vaskkaablipaari rendi vahendusel andmeside teenuseid oma lõppkasutajale. </w:t>
      </w:r>
    </w:p>
    <w:p w14:paraId="2B7990E2" w14:textId="77777777" w:rsidR="00D56E6F" w:rsidRPr="00C50854" w:rsidRDefault="00D56E6F" w:rsidP="00D56E6F">
      <w:pPr>
        <w:pStyle w:val="Loendilik"/>
        <w:ind w:left="360"/>
        <w:jc w:val="both"/>
        <w:rPr>
          <w:rFonts w:eastAsia="Calibri"/>
        </w:rPr>
      </w:pPr>
    </w:p>
    <w:p w14:paraId="06A5A4F6" w14:textId="5F1B8FA5" w:rsidR="00D86A1B" w:rsidRPr="00C50854" w:rsidRDefault="00D56E6F" w:rsidP="00311E1F">
      <w:pPr>
        <w:pStyle w:val="Vahedeta"/>
        <w:numPr>
          <w:ilvl w:val="0"/>
          <w:numId w:val="13"/>
        </w:numPr>
        <w:jc w:val="both"/>
        <w:rPr>
          <w:rFonts w:ascii="Times New Roman" w:hAnsi="Times New Roman"/>
          <w:sz w:val="24"/>
          <w:szCs w:val="24"/>
        </w:rPr>
      </w:pPr>
      <w:r w:rsidRPr="00C50854">
        <w:rPr>
          <w:rFonts w:ascii="Times New Roman" w:hAnsi="Times New Roman"/>
          <w:sz w:val="24"/>
          <w:szCs w:val="24"/>
        </w:rPr>
        <w:t>Vaskkaablipaari rendi puhul pakutakse kliendile võimalust kasutada: vaskkaablipaari, mille ülekantav sagedusriba on vahemikus 0 – 3,4</w:t>
      </w:r>
      <w:r w:rsidR="005620AA" w:rsidRPr="00C50854">
        <w:rPr>
          <w:rFonts w:ascii="Times New Roman" w:hAnsi="Times New Roman"/>
          <w:sz w:val="24"/>
          <w:szCs w:val="24"/>
        </w:rPr>
        <w:t xml:space="preserve"> </w:t>
      </w:r>
      <w:r w:rsidRPr="00C50854">
        <w:rPr>
          <w:rFonts w:ascii="Times New Roman" w:hAnsi="Times New Roman"/>
          <w:sz w:val="24"/>
          <w:szCs w:val="24"/>
        </w:rPr>
        <w:t xml:space="preserve">kHz. See </w:t>
      </w:r>
      <w:r w:rsidR="003A4098" w:rsidRPr="00C50854">
        <w:rPr>
          <w:rFonts w:ascii="Times New Roman" w:hAnsi="Times New Roman"/>
          <w:sz w:val="24"/>
          <w:szCs w:val="24"/>
        </w:rPr>
        <w:t>vask</w:t>
      </w:r>
      <w:r w:rsidR="002A0A60" w:rsidRPr="00C50854">
        <w:rPr>
          <w:rFonts w:ascii="Times New Roman" w:hAnsi="Times New Roman"/>
          <w:sz w:val="24"/>
          <w:szCs w:val="24"/>
        </w:rPr>
        <w:t>paaril</w:t>
      </w:r>
      <w:r w:rsidR="003A4098" w:rsidRPr="00C50854">
        <w:rPr>
          <w:rFonts w:ascii="Times New Roman" w:hAnsi="Times New Roman"/>
          <w:sz w:val="24"/>
          <w:szCs w:val="24"/>
        </w:rPr>
        <w:t xml:space="preserve"> põhinev </w:t>
      </w:r>
      <w:r w:rsidRPr="00C50854">
        <w:rPr>
          <w:rFonts w:ascii="Times New Roman" w:hAnsi="Times New Roman"/>
          <w:sz w:val="24"/>
          <w:szCs w:val="24"/>
        </w:rPr>
        <w:t>juurdepääsu toode on mõeldud kõnesagedusega signaalide edastamiseks või selles ribas töötavate analoog</w:t>
      </w:r>
      <w:r w:rsidR="002C14CD" w:rsidRPr="00C50854">
        <w:rPr>
          <w:rFonts w:ascii="Times New Roman" w:hAnsi="Times New Roman"/>
          <w:sz w:val="24"/>
          <w:szCs w:val="24"/>
        </w:rPr>
        <w:t>-</w:t>
      </w:r>
      <w:r w:rsidRPr="00C50854">
        <w:rPr>
          <w:rFonts w:ascii="Times New Roman" w:hAnsi="Times New Roman"/>
          <w:sz w:val="24"/>
          <w:szCs w:val="24"/>
        </w:rPr>
        <w:t>modemite kasutamiseks</w:t>
      </w:r>
      <w:r w:rsidR="00D86A1B" w:rsidRPr="00C50854">
        <w:rPr>
          <w:rFonts w:ascii="Times New Roman" w:hAnsi="Times New Roman"/>
          <w:sz w:val="24"/>
          <w:szCs w:val="24"/>
        </w:rPr>
        <w:t xml:space="preserve">. </w:t>
      </w:r>
    </w:p>
    <w:p w14:paraId="27CC79E4" w14:textId="54981F24" w:rsidR="00D56E6F" w:rsidRPr="00C50854" w:rsidRDefault="00D86A1B" w:rsidP="00311E1F">
      <w:pPr>
        <w:numPr>
          <w:ilvl w:val="0"/>
          <w:numId w:val="13"/>
        </w:numPr>
        <w:suppressAutoHyphens w:val="0"/>
        <w:autoSpaceDE w:val="0"/>
        <w:autoSpaceDN w:val="0"/>
        <w:adjustRightInd w:val="0"/>
        <w:spacing w:before="120" w:after="120"/>
        <w:jc w:val="both"/>
        <w:rPr>
          <w:lang w:eastAsia="et-EE"/>
        </w:rPr>
      </w:pPr>
      <w:r w:rsidRPr="00C50854">
        <w:lastRenderedPageBreak/>
        <w:t xml:space="preserve">Teiseks juurdepääsutooteks on </w:t>
      </w:r>
      <w:r w:rsidR="00D56E6F" w:rsidRPr="00C50854">
        <w:t>valitud vaskkaablipaari</w:t>
      </w:r>
      <w:r w:rsidRPr="00C50854">
        <w:t xml:space="preserve"> toode</w:t>
      </w:r>
      <w:r w:rsidR="00D56E6F" w:rsidRPr="00C50854">
        <w:t xml:space="preserve">, mille ülekantavat </w:t>
      </w:r>
      <w:r w:rsidR="00D56E6F" w:rsidRPr="00C50854">
        <w:rPr>
          <w:lang w:eastAsia="et-EE"/>
        </w:rPr>
        <w:t>sagedusriba ei piirata. See on mõeldud tihendusseadmete või digitaalsete modemite kasutamiseks ning võimaldab osutada sh DSL-tehnoloogial põhinevaid andmesideteenuseid.</w:t>
      </w:r>
    </w:p>
    <w:p w14:paraId="44061C48" w14:textId="07516F04" w:rsidR="00363779" w:rsidRPr="00C50854" w:rsidRDefault="00363779"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Käesoleva aasta </w:t>
      </w:r>
      <w:r w:rsidR="001A126D" w:rsidRPr="00C50854">
        <w:rPr>
          <w:lang w:eastAsia="et-EE"/>
        </w:rPr>
        <w:t>esimese poolaasta</w:t>
      </w:r>
      <w:r w:rsidRPr="00C50854">
        <w:rPr>
          <w:lang w:eastAsia="et-EE"/>
        </w:rPr>
        <w:t xml:space="preserve"> seisuga on Telia poolt teistele sideettevõtetele kasutada antud  kliendiliine</w:t>
      </w:r>
      <w:r w:rsidR="001A126D" w:rsidRPr="00C50854">
        <w:rPr>
          <w:lang w:eastAsia="et-EE"/>
        </w:rPr>
        <w:t xml:space="preserve"> </w:t>
      </w:r>
      <w:r w:rsidR="00AF3E4B" w:rsidRPr="00C50854">
        <w:rPr>
          <w:lang w:eastAsia="et-EE"/>
        </w:rPr>
        <w:t>...*</w:t>
      </w:r>
      <w:r w:rsidRPr="00C50854">
        <w:rPr>
          <w:lang w:eastAsia="et-EE"/>
        </w:rPr>
        <w:t xml:space="preserve"> (</w:t>
      </w:r>
      <w:r w:rsidR="002C14CD" w:rsidRPr="00C50854">
        <w:rPr>
          <w:lang w:eastAsia="et-EE"/>
        </w:rPr>
        <w:t>T</w:t>
      </w:r>
      <w:r w:rsidRPr="00C50854">
        <w:rPr>
          <w:lang w:eastAsia="et-EE"/>
        </w:rPr>
        <w:t>abel 13). Võrdluseks – 2015. aasta</w:t>
      </w:r>
      <w:r w:rsidR="002C14CD" w:rsidRPr="00C50854">
        <w:rPr>
          <w:lang w:eastAsia="et-EE"/>
        </w:rPr>
        <w:t>l</w:t>
      </w:r>
      <w:r w:rsidRPr="00C50854">
        <w:rPr>
          <w:lang w:eastAsia="et-EE"/>
        </w:rPr>
        <w:t xml:space="preserve"> oli teistele teenuseosutajatele kasutada antud </w:t>
      </w:r>
      <w:r w:rsidR="00AF3E4B" w:rsidRPr="00C50854">
        <w:rPr>
          <w:lang w:eastAsia="et-EE"/>
        </w:rPr>
        <w:t>...*</w:t>
      </w:r>
      <w:r w:rsidRPr="00C50854">
        <w:rPr>
          <w:lang w:eastAsia="et-EE"/>
        </w:rPr>
        <w:t xml:space="preserve">  kliendiliini. </w:t>
      </w:r>
      <w:r w:rsidR="00457C08" w:rsidRPr="00C50854">
        <w:rPr>
          <w:lang w:eastAsia="et-EE"/>
        </w:rPr>
        <w:t>Suur teenuse tarbimise langus on seotud Telia poolse vaskpaar juurdepääsuvõrkude ümber ehitamisega</w:t>
      </w:r>
      <w:r w:rsidR="008C388A" w:rsidRPr="00C50854">
        <w:rPr>
          <w:lang w:eastAsia="et-EE"/>
        </w:rPr>
        <w:t>, kuna lõppkasutajatel on nõudlus kiiremate (alates 30-100 Mbit/s) ühenduste järele</w:t>
      </w:r>
      <w:r w:rsidR="00231875" w:rsidRPr="00C50854">
        <w:rPr>
          <w:lang w:eastAsia="et-EE"/>
        </w:rPr>
        <w:t>.</w:t>
      </w:r>
      <w:r w:rsidR="00457C08" w:rsidRPr="00C50854">
        <w:rPr>
          <w:lang w:eastAsia="et-EE"/>
        </w:rPr>
        <w:t xml:space="preserve"> Võrkude uuendamise käigus minnakse VDSL tehnoloogialt üle </w:t>
      </w:r>
      <w:r w:rsidR="00CA3455" w:rsidRPr="00C50854">
        <w:rPr>
          <w:lang w:eastAsia="et-EE"/>
        </w:rPr>
        <w:t xml:space="preserve">VDSL </w:t>
      </w:r>
      <w:proofErr w:type="spellStart"/>
      <w:r w:rsidR="00457C08" w:rsidRPr="00C50854">
        <w:rPr>
          <w:i/>
          <w:lang w:eastAsia="et-EE"/>
        </w:rPr>
        <w:t>vectoring</w:t>
      </w:r>
      <w:proofErr w:type="spellEnd"/>
      <w:r w:rsidR="00457C08" w:rsidRPr="00C50854">
        <w:rPr>
          <w:i/>
          <w:lang w:eastAsia="et-EE"/>
        </w:rPr>
        <w:t xml:space="preserve"> </w:t>
      </w:r>
      <w:r w:rsidR="00457C08" w:rsidRPr="00C50854">
        <w:rPr>
          <w:lang w:eastAsia="et-EE"/>
        </w:rPr>
        <w:t xml:space="preserve">tehnoloogiale ja see ei võimalda enam vaskkaabli juurdepääsu teenuste osutamist. </w:t>
      </w:r>
      <w:r w:rsidRPr="00C50854">
        <w:rPr>
          <w:lang w:eastAsia="et-EE"/>
        </w:rPr>
        <w:t xml:space="preserve">Vaskkaablipaari rendi </w:t>
      </w:r>
      <w:r w:rsidR="00457C08" w:rsidRPr="00C50854">
        <w:rPr>
          <w:lang w:eastAsia="et-EE"/>
        </w:rPr>
        <w:t xml:space="preserve">teenuste asemel saab </w:t>
      </w:r>
      <w:r w:rsidRPr="00C50854">
        <w:rPr>
          <w:lang w:eastAsia="et-EE"/>
        </w:rPr>
        <w:t>Teli</w:t>
      </w:r>
      <w:r w:rsidR="00457C08" w:rsidRPr="00C50854">
        <w:rPr>
          <w:lang w:eastAsia="et-EE"/>
        </w:rPr>
        <w:t>a võrgus tarbida valguskaabel juurdepääsu teenust või lairiba juurdepääsu teenust</w:t>
      </w:r>
      <w:r w:rsidRPr="00C50854">
        <w:rPr>
          <w:lang w:eastAsia="et-EE"/>
        </w:rPr>
        <w:t xml:space="preserve">. </w:t>
      </w:r>
    </w:p>
    <w:p w14:paraId="7A98E67F" w14:textId="4FB4B8BA" w:rsidR="00965440" w:rsidRPr="00C50854" w:rsidRDefault="00294DAE" w:rsidP="00311E1F">
      <w:pPr>
        <w:numPr>
          <w:ilvl w:val="0"/>
          <w:numId w:val="13"/>
        </w:numPr>
        <w:suppressAutoHyphens w:val="0"/>
        <w:autoSpaceDE w:val="0"/>
        <w:autoSpaceDN w:val="0"/>
        <w:adjustRightInd w:val="0"/>
        <w:spacing w:before="120" w:after="120"/>
        <w:jc w:val="both"/>
        <w:rPr>
          <w:lang w:eastAsia="et-EE"/>
        </w:rPr>
      </w:pPr>
      <w:r w:rsidRPr="00C50854">
        <w:rPr>
          <w:lang w:eastAsia="et-EE"/>
        </w:rPr>
        <w:t>T</w:t>
      </w:r>
      <w:r w:rsidR="00965440" w:rsidRPr="00C50854">
        <w:rPr>
          <w:lang w:eastAsia="et-EE"/>
        </w:rPr>
        <w:t>TJA poolt läbiviidud analüüsi tulemusena selgus, et kõik turuanalüüsi kaasatud ettevõtjad omavad fikseeritud</w:t>
      </w:r>
      <w:r w:rsidR="001463D6" w:rsidRPr="00C50854">
        <w:rPr>
          <w:lang w:eastAsia="et-EE"/>
        </w:rPr>
        <w:t xml:space="preserve"> sidevõrgus kohaliku</w:t>
      </w:r>
      <w:r w:rsidR="00965440" w:rsidRPr="00C50854">
        <w:rPr>
          <w:lang w:eastAsia="et-EE"/>
        </w:rPr>
        <w:t xml:space="preserve"> juurdepääsu hulgituru koosseisu kuuluvate teenuste osutamiseks vajalikku infrastruktuuri, kuid täielikku juurdepääsu vaskpaarile</w:t>
      </w:r>
      <w:r w:rsidR="006A0058" w:rsidRPr="00C50854">
        <w:rPr>
          <w:lang w:eastAsia="et-EE"/>
        </w:rPr>
        <w:t xml:space="preserve"> ja valguskaablile</w:t>
      </w:r>
      <w:r w:rsidR="00965440" w:rsidRPr="00C50854">
        <w:rPr>
          <w:lang w:eastAsia="et-EE"/>
        </w:rPr>
        <w:t xml:space="preserve"> osutavad </w:t>
      </w:r>
      <w:r w:rsidR="00363779" w:rsidRPr="00C50854">
        <w:rPr>
          <w:lang w:eastAsia="et-EE"/>
        </w:rPr>
        <w:t>Telia</w:t>
      </w:r>
      <w:r w:rsidR="00965440" w:rsidRPr="00C50854">
        <w:rPr>
          <w:lang w:eastAsia="et-EE"/>
        </w:rPr>
        <w:t xml:space="preserve"> </w:t>
      </w:r>
      <w:r w:rsidR="00363779" w:rsidRPr="00C50854">
        <w:rPr>
          <w:lang w:eastAsia="et-EE"/>
        </w:rPr>
        <w:t xml:space="preserve">ja </w:t>
      </w:r>
      <w:r w:rsidR="00965440" w:rsidRPr="00C50854">
        <w:rPr>
          <w:lang w:eastAsia="et-EE"/>
        </w:rPr>
        <w:t>Elisa</w:t>
      </w:r>
      <w:r w:rsidR="00FA48A4" w:rsidRPr="00C50854">
        <w:rPr>
          <w:lang w:eastAsia="et-EE"/>
        </w:rPr>
        <w:t>.</w:t>
      </w:r>
    </w:p>
    <w:p w14:paraId="2FB56977" w14:textId="06CBBB7D" w:rsidR="001463D6" w:rsidRPr="00C50854" w:rsidRDefault="001463D6" w:rsidP="00311E1F">
      <w:pPr>
        <w:numPr>
          <w:ilvl w:val="0"/>
          <w:numId w:val="13"/>
        </w:numPr>
        <w:suppressAutoHyphens w:val="0"/>
        <w:autoSpaceDE w:val="0"/>
        <w:autoSpaceDN w:val="0"/>
        <w:adjustRightInd w:val="0"/>
        <w:spacing w:before="120" w:after="120"/>
        <w:jc w:val="both"/>
        <w:rPr>
          <w:lang w:eastAsia="et-EE"/>
        </w:rPr>
      </w:pPr>
      <w:r w:rsidRPr="00C50854">
        <w:rPr>
          <w:lang w:eastAsia="et-EE"/>
        </w:rPr>
        <w:t>Tabelites 1</w:t>
      </w:r>
      <w:r w:rsidR="00541AC7" w:rsidRPr="00C50854">
        <w:rPr>
          <w:lang w:eastAsia="et-EE"/>
        </w:rPr>
        <w:t>3</w:t>
      </w:r>
      <w:r w:rsidRPr="00C50854">
        <w:rPr>
          <w:lang w:eastAsia="et-EE"/>
        </w:rPr>
        <w:t xml:space="preserve"> ja </w:t>
      </w:r>
      <w:r w:rsidR="007578FA" w:rsidRPr="00C50854">
        <w:rPr>
          <w:lang w:eastAsia="et-EE"/>
        </w:rPr>
        <w:t>1</w:t>
      </w:r>
      <w:r w:rsidR="00541AC7" w:rsidRPr="00C50854">
        <w:rPr>
          <w:lang w:eastAsia="et-EE"/>
        </w:rPr>
        <w:t>4</w:t>
      </w:r>
      <w:r w:rsidRPr="00C50854">
        <w:rPr>
          <w:lang w:eastAsia="et-EE"/>
        </w:rPr>
        <w:t xml:space="preserve"> toodud andmed näitavad sideettevõtjate poolt teistele sideettevõtjatele kasutada antud kliendiliinide arvu ja nende osakaalu muutust ajavahemikus aastatel 201</w:t>
      </w:r>
      <w:r w:rsidR="0068022F" w:rsidRPr="00C50854">
        <w:rPr>
          <w:lang w:eastAsia="et-EE"/>
        </w:rPr>
        <w:t>6</w:t>
      </w:r>
      <w:r w:rsidRPr="00C50854">
        <w:rPr>
          <w:lang w:eastAsia="et-EE"/>
        </w:rPr>
        <w:t>–201</w:t>
      </w:r>
      <w:r w:rsidR="0068022F" w:rsidRPr="00C50854">
        <w:rPr>
          <w:lang w:eastAsia="et-EE"/>
        </w:rPr>
        <w:t>9</w:t>
      </w:r>
      <w:r w:rsidR="00541AA4" w:rsidRPr="00C50854">
        <w:rPr>
          <w:lang w:eastAsia="et-EE"/>
        </w:rPr>
        <w:t xml:space="preserve"> I</w:t>
      </w:r>
      <w:r w:rsidRPr="00C50854">
        <w:rPr>
          <w:lang w:eastAsia="et-EE"/>
        </w:rPr>
        <w:t xml:space="preserve"> </w:t>
      </w:r>
      <w:r w:rsidR="0068022F" w:rsidRPr="00C50854">
        <w:rPr>
          <w:lang w:eastAsia="et-EE"/>
        </w:rPr>
        <w:t>poolaasta</w:t>
      </w:r>
      <w:r w:rsidR="00B5073D" w:rsidRPr="00C50854">
        <w:rPr>
          <w:lang w:eastAsia="et-EE"/>
        </w:rPr>
        <w:t>l</w:t>
      </w:r>
      <w:r w:rsidRPr="00C50854">
        <w:rPr>
          <w:lang w:eastAsia="et-EE"/>
        </w:rPr>
        <w:t>. Andmetest nähtub, et suur</w:t>
      </w:r>
      <w:r w:rsidR="00D910C3" w:rsidRPr="00C50854">
        <w:rPr>
          <w:lang w:eastAsia="et-EE"/>
        </w:rPr>
        <w:t>i</w:t>
      </w:r>
      <w:r w:rsidRPr="00C50854">
        <w:rPr>
          <w:lang w:eastAsia="et-EE"/>
        </w:rPr>
        <w:t>maks teenuseosutajaks on Telia, kelle poolt osutatavad kohaliku juurdepääsu hulgiteenused moodustavad 201</w:t>
      </w:r>
      <w:r w:rsidR="00B5073D" w:rsidRPr="00C50854">
        <w:rPr>
          <w:lang w:eastAsia="et-EE"/>
        </w:rPr>
        <w:t>9</w:t>
      </w:r>
      <w:r w:rsidRPr="00C50854">
        <w:rPr>
          <w:lang w:eastAsia="et-EE"/>
        </w:rPr>
        <w:t xml:space="preserve">. aasta I </w:t>
      </w:r>
      <w:r w:rsidR="00B5073D" w:rsidRPr="00C50854">
        <w:rPr>
          <w:lang w:eastAsia="et-EE"/>
        </w:rPr>
        <w:t>poolaasta</w:t>
      </w:r>
      <w:r w:rsidRPr="00C50854">
        <w:rPr>
          <w:lang w:eastAsia="et-EE"/>
        </w:rPr>
        <w:t xml:space="preserve"> seisuga koguturu mahust </w:t>
      </w:r>
      <w:r w:rsidR="00AF3E4B" w:rsidRPr="00C50854">
        <w:t>...*</w:t>
      </w:r>
      <w:r w:rsidRPr="00C50854">
        <w:rPr>
          <w:lang w:eastAsia="et-EE"/>
        </w:rPr>
        <w:t>%.</w:t>
      </w:r>
      <w:r w:rsidR="00E901CB" w:rsidRPr="00C50854">
        <w:rPr>
          <w:lang w:eastAsia="et-EE"/>
        </w:rPr>
        <w:t xml:space="preserve"> Telia turuosa on </w:t>
      </w:r>
      <w:r w:rsidR="00E901CB" w:rsidRPr="00C50854">
        <w:t>vähenenud</w:t>
      </w:r>
      <w:r w:rsidR="00E901CB" w:rsidRPr="00C50854">
        <w:rPr>
          <w:lang w:eastAsia="et-EE"/>
        </w:rPr>
        <w:t xml:space="preserve"> </w:t>
      </w:r>
      <w:r w:rsidR="0008383D" w:rsidRPr="00C50854">
        <w:rPr>
          <w:lang w:eastAsia="et-EE"/>
        </w:rPr>
        <w:t>nimetatud perioodil</w:t>
      </w:r>
      <w:r w:rsidR="00E901CB" w:rsidRPr="00C50854">
        <w:rPr>
          <w:lang w:eastAsia="et-EE"/>
        </w:rPr>
        <w:t xml:space="preserve"> </w:t>
      </w:r>
      <w:r w:rsidR="00AF3E4B" w:rsidRPr="00C50854">
        <w:t>...*</w:t>
      </w:r>
      <w:r w:rsidR="00E901CB" w:rsidRPr="00C50854">
        <w:rPr>
          <w:lang w:eastAsia="et-EE"/>
        </w:rPr>
        <w:t>%.</w:t>
      </w:r>
      <w:r w:rsidR="000226E1" w:rsidRPr="00C50854">
        <w:rPr>
          <w:lang w:eastAsia="et-EE"/>
        </w:rPr>
        <w:t xml:space="preserve"> </w:t>
      </w:r>
      <w:r w:rsidR="0035339C" w:rsidRPr="00C50854">
        <w:rPr>
          <w:lang w:eastAsia="et-EE"/>
        </w:rPr>
        <w:t xml:space="preserve">2018. aastal </w:t>
      </w:r>
      <w:r w:rsidR="00AF3E4B" w:rsidRPr="00C50854">
        <w:rPr>
          <w:lang w:eastAsia="et-EE"/>
        </w:rPr>
        <w:t>...*</w:t>
      </w:r>
      <w:r w:rsidR="000226E1" w:rsidRPr="00C50854">
        <w:rPr>
          <w:lang w:eastAsia="et-EE"/>
        </w:rPr>
        <w:t xml:space="preserve"> Telia teenuse maht </w:t>
      </w:r>
      <w:r w:rsidR="0035339C" w:rsidRPr="00C50854">
        <w:rPr>
          <w:lang w:eastAsia="et-EE"/>
        </w:rPr>
        <w:t>kuna Telia alustas</w:t>
      </w:r>
      <w:r w:rsidR="000226E1" w:rsidRPr="00C50854">
        <w:rPr>
          <w:lang w:eastAsia="et-EE"/>
        </w:rPr>
        <w:t xml:space="preserve"> vaskpaar juurdepääsu võrkude ümberehitamisest </w:t>
      </w:r>
      <w:r w:rsidR="006662E1" w:rsidRPr="00C50854">
        <w:rPr>
          <w:lang w:eastAsia="et-EE"/>
        </w:rPr>
        <w:t>VDSL</w:t>
      </w:r>
      <w:r w:rsidR="006662E1" w:rsidRPr="00C50854">
        <w:rPr>
          <w:i/>
          <w:lang w:eastAsia="et-EE"/>
        </w:rPr>
        <w:t xml:space="preserve"> </w:t>
      </w:r>
      <w:proofErr w:type="spellStart"/>
      <w:r w:rsidR="006662E1" w:rsidRPr="00C50854">
        <w:rPr>
          <w:i/>
          <w:lang w:eastAsia="et-EE"/>
        </w:rPr>
        <w:t>vectoring</w:t>
      </w:r>
      <w:proofErr w:type="spellEnd"/>
      <w:r w:rsidR="006662E1" w:rsidRPr="00C50854">
        <w:rPr>
          <w:lang w:eastAsia="et-EE"/>
        </w:rPr>
        <w:t xml:space="preserve"> </w:t>
      </w:r>
      <w:r w:rsidR="000226E1" w:rsidRPr="00C50854">
        <w:rPr>
          <w:lang w:eastAsia="et-EE"/>
        </w:rPr>
        <w:t>tehnoloogi</w:t>
      </w:r>
      <w:r w:rsidR="00926394" w:rsidRPr="00C50854">
        <w:rPr>
          <w:lang w:eastAsia="et-EE"/>
        </w:rPr>
        <w:t>a</w:t>
      </w:r>
      <w:r w:rsidR="000226E1" w:rsidRPr="00C50854">
        <w:rPr>
          <w:lang w:eastAsia="et-EE"/>
        </w:rPr>
        <w:t xml:space="preserve"> põhiseks. </w:t>
      </w:r>
    </w:p>
    <w:p w14:paraId="13D12F4F" w14:textId="54BD3871" w:rsidR="006662E1" w:rsidRPr="00C50854" w:rsidRDefault="006662E1" w:rsidP="00311E1F">
      <w:pPr>
        <w:numPr>
          <w:ilvl w:val="0"/>
          <w:numId w:val="13"/>
        </w:numPr>
        <w:suppressAutoHyphens w:val="0"/>
        <w:spacing w:before="120" w:after="120"/>
        <w:jc w:val="both"/>
        <w:rPr>
          <w:lang w:eastAsia="et-EE"/>
        </w:rPr>
      </w:pPr>
      <w:r w:rsidRPr="00C50854">
        <w:rPr>
          <w:lang w:eastAsia="et-EE"/>
        </w:rPr>
        <w:t xml:space="preserve">Telia asus oma VDSL </w:t>
      </w:r>
      <w:proofErr w:type="spellStart"/>
      <w:r w:rsidRPr="00C50854">
        <w:rPr>
          <w:i/>
          <w:lang w:eastAsia="et-EE"/>
        </w:rPr>
        <w:t>vectoring</w:t>
      </w:r>
      <w:proofErr w:type="spellEnd"/>
      <w:r w:rsidRPr="00C50854">
        <w:rPr>
          <w:lang w:eastAsia="et-EE"/>
        </w:rPr>
        <w:t xml:space="preserve"> tehnoloogiaga seotud tegevuste protsessi ringi korraldama juba 2018.a suvel. TTJA-</w:t>
      </w:r>
      <w:proofErr w:type="spellStart"/>
      <w:r w:rsidRPr="00C50854">
        <w:rPr>
          <w:lang w:eastAsia="et-EE"/>
        </w:rPr>
        <w:t>le</w:t>
      </w:r>
      <w:proofErr w:type="spellEnd"/>
      <w:r w:rsidRPr="00C50854">
        <w:rPr>
          <w:lang w:eastAsia="et-EE"/>
        </w:rPr>
        <w:t xml:space="preserve"> esitatud andmetest nähtub, et 2019 aasta esimeseks poolaastaks oli VDSL</w:t>
      </w:r>
      <w:r w:rsidRPr="00C50854">
        <w:rPr>
          <w:i/>
          <w:lang w:eastAsia="et-EE"/>
        </w:rPr>
        <w:t xml:space="preserve"> </w:t>
      </w:r>
      <w:proofErr w:type="spellStart"/>
      <w:r w:rsidRPr="00C50854">
        <w:rPr>
          <w:i/>
          <w:lang w:eastAsia="et-EE"/>
        </w:rPr>
        <w:t>vectoring</w:t>
      </w:r>
      <w:proofErr w:type="spellEnd"/>
      <w:r w:rsidRPr="00C50854">
        <w:rPr>
          <w:lang w:eastAsia="et-EE"/>
        </w:rPr>
        <w:t xml:space="preserve"> tehnoloogiale üle läinud </w:t>
      </w:r>
      <w:r w:rsidR="00AF3E4B" w:rsidRPr="00C50854">
        <w:rPr>
          <w:lang w:eastAsia="et-EE"/>
        </w:rPr>
        <w:t>...*</w:t>
      </w:r>
      <w:r w:rsidRPr="00C50854">
        <w:rPr>
          <w:lang w:eastAsia="et-EE"/>
        </w:rPr>
        <w:t xml:space="preserve"> </w:t>
      </w:r>
      <w:r w:rsidR="00AF3E4B" w:rsidRPr="00C50854">
        <w:rPr>
          <w:lang w:eastAsia="et-EE"/>
        </w:rPr>
        <w:t>...*</w:t>
      </w:r>
      <w:r w:rsidRPr="00C50854">
        <w:rPr>
          <w:lang w:eastAsia="et-EE"/>
        </w:rPr>
        <w:t xml:space="preserve"> klienti.</w:t>
      </w:r>
    </w:p>
    <w:tbl>
      <w:tblPr>
        <w:tblW w:w="932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68"/>
        <w:gridCol w:w="1098"/>
        <w:gridCol w:w="1100"/>
        <w:gridCol w:w="1098"/>
        <w:gridCol w:w="1098"/>
        <w:gridCol w:w="1267"/>
      </w:tblGrid>
      <w:tr w:rsidR="00F81347" w:rsidRPr="00C50854" w14:paraId="534D9199" w14:textId="77777777" w:rsidTr="00D42075">
        <w:trPr>
          <w:trHeight w:val="344"/>
        </w:trPr>
        <w:tc>
          <w:tcPr>
            <w:tcW w:w="3668" w:type="dxa"/>
            <w:shd w:val="clear" w:color="auto" w:fill="CCFFCC"/>
            <w:noWrap/>
            <w:hideMark/>
          </w:tcPr>
          <w:p w14:paraId="0381AA32" w14:textId="5C6DE5EA" w:rsidR="00F81347" w:rsidRPr="00C50854" w:rsidRDefault="006662E1" w:rsidP="00F81347">
            <w:pPr>
              <w:suppressAutoHyphens w:val="0"/>
              <w:spacing w:before="120"/>
              <w:rPr>
                <w:rFonts w:eastAsia="Calibri"/>
                <w:b/>
                <w:sz w:val="20"/>
                <w:szCs w:val="20"/>
                <w:lang w:eastAsia="et-EE"/>
              </w:rPr>
            </w:pPr>
            <w:r w:rsidRPr="00C50854">
              <w:rPr>
                <w:lang w:eastAsia="et-EE"/>
              </w:rPr>
              <w:br w:type="page"/>
            </w:r>
            <w:r w:rsidR="00F81347" w:rsidRPr="00C50854">
              <w:rPr>
                <w:rFonts w:eastAsia="Calibri"/>
                <w:b/>
                <w:sz w:val="20"/>
                <w:szCs w:val="20"/>
                <w:lang w:eastAsia="et-EE"/>
              </w:rPr>
              <w:t>Ettevõtja</w:t>
            </w:r>
          </w:p>
        </w:tc>
        <w:tc>
          <w:tcPr>
            <w:tcW w:w="1098" w:type="dxa"/>
            <w:shd w:val="clear" w:color="auto" w:fill="CCFFCC"/>
            <w:noWrap/>
            <w:hideMark/>
          </w:tcPr>
          <w:p w14:paraId="206AE09C" w14:textId="0991F031" w:rsidR="00F81347" w:rsidRPr="00C50854" w:rsidRDefault="00F81347" w:rsidP="00F81347">
            <w:pPr>
              <w:suppressAutoHyphens w:val="0"/>
              <w:spacing w:before="120"/>
              <w:jc w:val="center"/>
            </w:pPr>
            <w:r w:rsidRPr="00C50854">
              <w:rPr>
                <w:rFonts w:eastAsia="Calibri"/>
                <w:b/>
                <w:sz w:val="20"/>
                <w:szCs w:val="20"/>
                <w:lang w:eastAsia="et-EE"/>
              </w:rPr>
              <w:t>2015</w:t>
            </w:r>
          </w:p>
        </w:tc>
        <w:tc>
          <w:tcPr>
            <w:tcW w:w="1100" w:type="dxa"/>
            <w:shd w:val="clear" w:color="auto" w:fill="CCFFCC"/>
            <w:noWrap/>
            <w:hideMark/>
          </w:tcPr>
          <w:p w14:paraId="3F378D19" w14:textId="7B5918DD" w:rsidR="00F81347" w:rsidRPr="00C50854" w:rsidRDefault="00F81347" w:rsidP="00F81347">
            <w:pPr>
              <w:suppressAutoHyphens w:val="0"/>
              <w:spacing w:before="120"/>
              <w:jc w:val="center"/>
              <w:rPr>
                <w:rFonts w:eastAsia="Calibri"/>
                <w:b/>
                <w:sz w:val="20"/>
                <w:szCs w:val="20"/>
                <w:lang w:eastAsia="et-EE"/>
              </w:rPr>
            </w:pPr>
            <w:r w:rsidRPr="00C50854">
              <w:rPr>
                <w:rFonts w:eastAsia="Calibri"/>
                <w:b/>
                <w:sz w:val="20"/>
                <w:szCs w:val="20"/>
                <w:lang w:eastAsia="et-EE"/>
              </w:rPr>
              <w:t>2016</w:t>
            </w:r>
          </w:p>
        </w:tc>
        <w:tc>
          <w:tcPr>
            <w:tcW w:w="1098" w:type="dxa"/>
            <w:shd w:val="clear" w:color="auto" w:fill="CCFFCC"/>
            <w:noWrap/>
            <w:hideMark/>
          </w:tcPr>
          <w:p w14:paraId="512CDC69" w14:textId="5B004B28" w:rsidR="00F81347" w:rsidRPr="00C50854" w:rsidRDefault="00F81347" w:rsidP="00F81347">
            <w:pPr>
              <w:suppressAutoHyphens w:val="0"/>
              <w:spacing w:before="120"/>
              <w:jc w:val="center"/>
              <w:rPr>
                <w:rFonts w:eastAsia="Calibri"/>
                <w:b/>
                <w:sz w:val="20"/>
                <w:szCs w:val="20"/>
                <w:lang w:eastAsia="et-EE"/>
              </w:rPr>
            </w:pPr>
            <w:r w:rsidRPr="00C50854">
              <w:rPr>
                <w:rFonts w:eastAsia="Calibri"/>
                <w:b/>
                <w:sz w:val="20"/>
                <w:szCs w:val="20"/>
                <w:lang w:eastAsia="et-EE"/>
              </w:rPr>
              <w:t>2017</w:t>
            </w:r>
          </w:p>
        </w:tc>
        <w:tc>
          <w:tcPr>
            <w:tcW w:w="1098" w:type="dxa"/>
            <w:shd w:val="clear" w:color="auto" w:fill="CCFFCC"/>
            <w:noWrap/>
            <w:hideMark/>
          </w:tcPr>
          <w:p w14:paraId="41108A4D" w14:textId="5D977DEE" w:rsidR="00F81347" w:rsidRPr="00C50854" w:rsidRDefault="00F81347" w:rsidP="00F81347">
            <w:pPr>
              <w:suppressAutoHyphens w:val="0"/>
              <w:spacing w:before="120"/>
              <w:jc w:val="center"/>
              <w:rPr>
                <w:rFonts w:eastAsia="Calibri"/>
                <w:b/>
                <w:sz w:val="20"/>
                <w:szCs w:val="20"/>
                <w:lang w:eastAsia="et-EE"/>
              </w:rPr>
            </w:pPr>
            <w:r w:rsidRPr="00C50854">
              <w:rPr>
                <w:rFonts w:eastAsia="Calibri"/>
                <w:b/>
                <w:sz w:val="20"/>
                <w:szCs w:val="20"/>
                <w:lang w:eastAsia="et-EE"/>
              </w:rPr>
              <w:t>2018</w:t>
            </w:r>
          </w:p>
        </w:tc>
        <w:tc>
          <w:tcPr>
            <w:tcW w:w="1267" w:type="dxa"/>
            <w:shd w:val="clear" w:color="auto" w:fill="CCFFCC"/>
            <w:noWrap/>
            <w:hideMark/>
          </w:tcPr>
          <w:p w14:paraId="329683DD" w14:textId="493C2A19" w:rsidR="00F81347" w:rsidRPr="00C50854" w:rsidRDefault="00F81347" w:rsidP="00F81347">
            <w:pPr>
              <w:suppressAutoHyphens w:val="0"/>
              <w:spacing w:before="120"/>
              <w:jc w:val="center"/>
              <w:rPr>
                <w:rFonts w:eastAsia="Calibri"/>
                <w:b/>
                <w:sz w:val="20"/>
                <w:szCs w:val="20"/>
                <w:lang w:eastAsia="et-EE"/>
              </w:rPr>
            </w:pPr>
            <w:r w:rsidRPr="00C50854">
              <w:rPr>
                <w:rFonts w:eastAsia="Calibri"/>
                <w:b/>
                <w:sz w:val="20"/>
                <w:szCs w:val="20"/>
                <w:lang w:eastAsia="et-EE"/>
              </w:rPr>
              <w:t xml:space="preserve">I </w:t>
            </w:r>
            <w:proofErr w:type="spellStart"/>
            <w:r w:rsidRPr="00C50854">
              <w:rPr>
                <w:rFonts w:eastAsia="Calibri"/>
                <w:b/>
                <w:sz w:val="20"/>
                <w:szCs w:val="20"/>
                <w:lang w:eastAsia="et-EE"/>
              </w:rPr>
              <w:t>pa</w:t>
            </w:r>
            <w:proofErr w:type="spellEnd"/>
            <w:r w:rsidRPr="00C50854">
              <w:rPr>
                <w:rFonts w:eastAsia="Calibri"/>
                <w:b/>
                <w:sz w:val="20"/>
                <w:szCs w:val="20"/>
                <w:lang w:eastAsia="et-EE"/>
              </w:rPr>
              <w:t xml:space="preserve"> 2019</w:t>
            </w:r>
          </w:p>
        </w:tc>
      </w:tr>
      <w:tr w:rsidR="00F81347" w:rsidRPr="00C50854" w14:paraId="7B7D157D" w14:textId="77777777" w:rsidTr="00D42075">
        <w:trPr>
          <w:trHeight w:val="344"/>
        </w:trPr>
        <w:tc>
          <w:tcPr>
            <w:tcW w:w="3668" w:type="dxa"/>
            <w:shd w:val="clear" w:color="auto" w:fill="auto"/>
            <w:noWrap/>
            <w:hideMark/>
          </w:tcPr>
          <w:p w14:paraId="61D76C07" w14:textId="77777777" w:rsidR="00F81347" w:rsidRPr="00C50854" w:rsidRDefault="00F81347" w:rsidP="00F81347">
            <w:pPr>
              <w:suppressAutoHyphens w:val="0"/>
              <w:rPr>
                <w:rFonts w:eastAsia="Calibri"/>
                <w:sz w:val="20"/>
                <w:szCs w:val="20"/>
                <w:lang w:eastAsia="et-EE"/>
              </w:rPr>
            </w:pPr>
            <w:r w:rsidRPr="00C50854">
              <w:rPr>
                <w:rFonts w:eastAsia="Calibri"/>
                <w:sz w:val="20"/>
                <w:szCs w:val="20"/>
                <w:lang w:eastAsia="et-EE"/>
              </w:rPr>
              <w:t>Telia poolt kasutada antud kliendiliinid</w:t>
            </w:r>
          </w:p>
        </w:tc>
        <w:tc>
          <w:tcPr>
            <w:tcW w:w="1098" w:type="dxa"/>
            <w:shd w:val="clear" w:color="auto" w:fill="auto"/>
            <w:noWrap/>
            <w:hideMark/>
          </w:tcPr>
          <w:p w14:paraId="20583365" w14:textId="675F710B" w:rsidR="00F81347" w:rsidRPr="00C50854" w:rsidRDefault="00AF3E4B" w:rsidP="00D42075">
            <w:pPr>
              <w:suppressAutoHyphens w:val="0"/>
              <w:spacing w:before="120"/>
              <w:jc w:val="center"/>
              <w:rPr>
                <w:rFonts w:eastAsia="Calibri"/>
                <w:sz w:val="20"/>
                <w:szCs w:val="20"/>
                <w:lang w:eastAsia="et-EE"/>
              </w:rPr>
            </w:pPr>
            <w:r w:rsidRPr="00C50854">
              <w:rPr>
                <w:rFonts w:eastAsia="Calibri"/>
                <w:sz w:val="20"/>
                <w:szCs w:val="20"/>
                <w:lang w:eastAsia="et-EE"/>
              </w:rPr>
              <w:t>...*</w:t>
            </w:r>
          </w:p>
        </w:tc>
        <w:tc>
          <w:tcPr>
            <w:tcW w:w="1100" w:type="dxa"/>
            <w:shd w:val="clear" w:color="auto" w:fill="auto"/>
            <w:noWrap/>
            <w:hideMark/>
          </w:tcPr>
          <w:p w14:paraId="72B85DEA" w14:textId="0AD203ED" w:rsidR="00F81347" w:rsidRPr="00C50854" w:rsidRDefault="00AF3E4B" w:rsidP="00F81347">
            <w:pPr>
              <w:suppressAutoHyphens w:val="0"/>
              <w:spacing w:before="120"/>
              <w:jc w:val="center"/>
              <w:rPr>
                <w:rFonts w:eastAsia="Calibri"/>
                <w:sz w:val="20"/>
                <w:szCs w:val="20"/>
                <w:lang w:eastAsia="et-EE"/>
              </w:rPr>
            </w:pPr>
            <w:r w:rsidRPr="00C50854">
              <w:rPr>
                <w:rFonts w:eastAsia="Calibri"/>
                <w:sz w:val="20"/>
                <w:szCs w:val="20"/>
                <w:lang w:eastAsia="et-EE"/>
              </w:rPr>
              <w:t>...*</w:t>
            </w:r>
          </w:p>
        </w:tc>
        <w:tc>
          <w:tcPr>
            <w:tcW w:w="1098" w:type="dxa"/>
            <w:shd w:val="clear" w:color="auto" w:fill="auto"/>
            <w:noWrap/>
            <w:hideMark/>
          </w:tcPr>
          <w:p w14:paraId="25F7CB00" w14:textId="6F39490D" w:rsidR="00F81347" w:rsidRPr="00C50854" w:rsidRDefault="00AF3E4B" w:rsidP="00F81347">
            <w:pPr>
              <w:suppressAutoHyphens w:val="0"/>
              <w:spacing w:before="120"/>
              <w:jc w:val="center"/>
              <w:rPr>
                <w:rFonts w:eastAsia="Calibri"/>
                <w:sz w:val="20"/>
                <w:szCs w:val="20"/>
                <w:lang w:eastAsia="et-EE"/>
              </w:rPr>
            </w:pPr>
            <w:r w:rsidRPr="00C50854">
              <w:rPr>
                <w:rFonts w:eastAsia="Calibri"/>
                <w:sz w:val="20"/>
                <w:szCs w:val="20"/>
                <w:lang w:eastAsia="et-EE"/>
              </w:rPr>
              <w:t>...*</w:t>
            </w:r>
          </w:p>
        </w:tc>
        <w:tc>
          <w:tcPr>
            <w:tcW w:w="1098" w:type="dxa"/>
            <w:shd w:val="clear" w:color="auto" w:fill="auto"/>
            <w:noWrap/>
            <w:hideMark/>
          </w:tcPr>
          <w:p w14:paraId="2E33958B" w14:textId="39FFB829" w:rsidR="00F81347" w:rsidRPr="00C50854" w:rsidRDefault="00AF3E4B" w:rsidP="00F81347">
            <w:pPr>
              <w:suppressAutoHyphens w:val="0"/>
              <w:spacing w:before="120"/>
              <w:jc w:val="center"/>
              <w:rPr>
                <w:rFonts w:eastAsia="Calibri"/>
                <w:sz w:val="20"/>
                <w:szCs w:val="20"/>
                <w:lang w:eastAsia="et-EE"/>
              </w:rPr>
            </w:pPr>
            <w:r w:rsidRPr="00C50854">
              <w:rPr>
                <w:rFonts w:eastAsia="Calibri"/>
                <w:sz w:val="20"/>
                <w:szCs w:val="20"/>
                <w:lang w:eastAsia="et-EE"/>
              </w:rPr>
              <w:t>...*</w:t>
            </w:r>
          </w:p>
        </w:tc>
        <w:tc>
          <w:tcPr>
            <w:tcW w:w="1267" w:type="dxa"/>
            <w:shd w:val="clear" w:color="auto" w:fill="auto"/>
            <w:noWrap/>
            <w:hideMark/>
          </w:tcPr>
          <w:p w14:paraId="0BFCC779" w14:textId="5E62E77A" w:rsidR="00F81347" w:rsidRPr="00C50854" w:rsidRDefault="00AF3E4B" w:rsidP="00F81347">
            <w:pPr>
              <w:suppressAutoHyphens w:val="0"/>
              <w:spacing w:before="120"/>
              <w:jc w:val="center"/>
              <w:rPr>
                <w:rFonts w:eastAsia="Calibri"/>
                <w:sz w:val="20"/>
                <w:szCs w:val="20"/>
                <w:lang w:eastAsia="et-EE"/>
              </w:rPr>
            </w:pPr>
            <w:r w:rsidRPr="00C50854">
              <w:rPr>
                <w:rFonts w:eastAsia="Calibri"/>
                <w:sz w:val="20"/>
                <w:szCs w:val="20"/>
                <w:lang w:eastAsia="et-EE"/>
              </w:rPr>
              <w:t>...*</w:t>
            </w:r>
          </w:p>
        </w:tc>
      </w:tr>
      <w:tr w:rsidR="00F81347" w:rsidRPr="00C50854" w14:paraId="47C578BD" w14:textId="77777777" w:rsidTr="00D42075">
        <w:trPr>
          <w:trHeight w:val="344"/>
        </w:trPr>
        <w:tc>
          <w:tcPr>
            <w:tcW w:w="3668" w:type="dxa"/>
            <w:shd w:val="clear" w:color="auto" w:fill="auto"/>
            <w:noWrap/>
            <w:hideMark/>
          </w:tcPr>
          <w:p w14:paraId="08AE66E2" w14:textId="5F713138" w:rsidR="00F81347" w:rsidRPr="00C50854" w:rsidRDefault="00F81347" w:rsidP="00F81347">
            <w:pPr>
              <w:suppressAutoHyphens w:val="0"/>
              <w:rPr>
                <w:rFonts w:eastAsia="Calibri"/>
                <w:sz w:val="20"/>
                <w:szCs w:val="20"/>
                <w:lang w:eastAsia="et-EE"/>
              </w:rPr>
            </w:pPr>
            <w:r w:rsidRPr="00C50854">
              <w:rPr>
                <w:rFonts w:eastAsia="Calibri"/>
                <w:sz w:val="20"/>
                <w:szCs w:val="20"/>
                <w:lang w:eastAsia="et-EE"/>
              </w:rPr>
              <w:t>Elisa poolt kasutada antud kliendiliinid</w:t>
            </w:r>
          </w:p>
        </w:tc>
        <w:tc>
          <w:tcPr>
            <w:tcW w:w="1098" w:type="dxa"/>
            <w:shd w:val="clear" w:color="auto" w:fill="auto"/>
            <w:noWrap/>
            <w:hideMark/>
          </w:tcPr>
          <w:p w14:paraId="25AD92FE" w14:textId="10C86B3B" w:rsidR="00F81347" w:rsidRPr="00C50854" w:rsidRDefault="00AF3E4B" w:rsidP="00D42075">
            <w:pPr>
              <w:suppressAutoHyphens w:val="0"/>
              <w:spacing w:before="120"/>
              <w:jc w:val="center"/>
              <w:rPr>
                <w:rFonts w:eastAsia="Calibri"/>
                <w:sz w:val="20"/>
                <w:szCs w:val="20"/>
                <w:lang w:eastAsia="et-EE"/>
              </w:rPr>
            </w:pPr>
            <w:r w:rsidRPr="00C50854">
              <w:rPr>
                <w:rFonts w:eastAsia="Calibri"/>
                <w:sz w:val="20"/>
                <w:szCs w:val="20"/>
                <w:lang w:eastAsia="et-EE"/>
              </w:rPr>
              <w:t>...*</w:t>
            </w:r>
          </w:p>
        </w:tc>
        <w:tc>
          <w:tcPr>
            <w:tcW w:w="1100" w:type="dxa"/>
            <w:shd w:val="clear" w:color="auto" w:fill="auto"/>
            <w:noWrap/>
            <w:hideMark/>
          </w:tcPr>
          <w:p w14:paraId="0EECD82B" w14:textId="1CB78E61" w:rsidR="00F81347" w:rsidRPr="00C50854" w:rsidRDefault="00AF3E4B" w:rsidP="00F81347">
            <w:pPr>
              <w:suppressAutoHyphens w:val="0"/>
              <w:spacing w:before="120"/>
              <w:jc w:val="center"/>
              <w:rPr>
                <w:rFonts w:eastAsia="Calibri"/>
                <w:sz w:val="20"/>
                <w:szCs w:val="20"/>
                <w:lang w:eastAsia="et-EE"/>
              </w:rPr>
            </w:pPr>
            <w:r w:rsidRPr="00C50854">
              <w:rPr>
                <w:rFonts w:eastAsia="Calibri"/>
                <w:sz w:val="20"/>
                <w:szCs w:val="20"/>
                <w:lang w:eastAsia="et-EE"/>
              </w:rPr>
              <w:t>...*</w:t>
            </w:r>
          </w:p>
        </w:tc>
        <w:tc>
          <w:tcPr>
            <w:tcW w:w="1098" w:type="dxa"/>
            <w:shd w:val="clear" w:color="auto" w:fill="auto"/>
            <w:noWrap/>
            <w:hideMark/>
          </w:tcPr>
          <w:p w14:paraId="2F2D9E72" w14:textId="05BD908C" w:rsidR="00F81347" w:rsidRPr="00C50854" w:rsidRDefault="00AF3E4B" w:rsidP="00F81347">
            <w:pPr>
              <w:suppressAutoHyphens w:val="0"/>
              <w:spacing w:before="120"/>
              <w:jc w:val="center"/>
              <w:rPr>
                <w:rFonts w:eastAsia="Calibri"/>
                <w:sz w:val="20"/>
                <w:szCs w:val="20"/>
                <w:lang w:eastAsia="et-EE"/>
              </w:rPr>
            </w:pPr>
            <w:r w:rsidRPr="00C50854">
              <w:rPr>
                <w:rFonts w:eastAsia="Calibri"/>
                <w:sz w:val="20"/>
                <w:szCs w:val="20"/>
                <w:lang w:eastAsia="et-EE"/>
              </w:rPr>
              <w:t>...*</w:t>
            </w:r>
          </w:p>
        </w:tc>
        <w:tc>
          <w:tcPr>
            <w:tcW w:w="1098" w:type="dxa"/>
            <w:shd w:val="clear" w:color="auto" w:fill="auto"/>
            <w:noWrap/>
            <w:hideMark/>
          </w:tcPr>
          <w:p w14:paraId="0424576E" w14:textId="5A25085D" w:rsidR="00F81347" w:rsidRPr="00C50854" w:rsidRDefault="00AF3E4B" w:rsidP="00F81347">
            <w:pPr>
              <w:suppressAutoHyphens w:val="0"/>
              <w:spacing w:before="120"/>
              <w:jc w:val="center"/>
              <w:rPr>
                <w:rFonts w:eastAsia="Calibri"/>
                <w:sz w:val="20"/>
                <w:szCs w:val="20"/>
                <w:lang w:eastAsia="et-EE"/>
              </w:rPr>
            </w:pPr>
            <w:r w:rsidRPr="00C50854">
              <w:rPr>
                <w:rFonts w:eastAsia="Calibri"/>
                <w:sz w:val="20"/>
                <w:szCs w:val="20"/>
                <w:lang w:eastAsia="et-EE"/>
              </w:rPr>
              <w:t>...*</w:t>
            </w:r>
          </w:p>
        </w:tc>
        <w:tc>
          <w:tcPr>
            <w:tcW w:w="1267" w:type="dxa"/>
            <w:shd w:val="clear" w:color="auto" w:fill="auto"/>
            <w:noWrap/>
            <w:hideMark/>
          </w:tcPr>
          <w:p w14:paraId="013ACC8A" w14:textId="049CCE32" w:rsidR="00F81347" w:rsidRPr="00C50854" w:rsidRDefault="00AF3E4B" w:rsidP="00F81347">
            <w:pPr>
              <w:suppressAutoHyphens w:val="0"/>
              <w:spacing w:before="120"/>
              <w:jc w:val="center"/>
              <w:rPr>
                <w:rFonts w:eastAsia="Calibri"/>
                <w:sz w:val="20"/>
                <w:szCs w:val="20"/>
                <w:lang w:eastAsia="et-EE"/>
              </w:rPr>
            </w:pPr>
            <w:r w:rsidRPr="00C50854">
              <w:rPr>
                <w:rFonts w:eastAsia="Calibri"/>
                <w:sz w:val="20"/>
                <w:szCs w:val="20"/>
                <w:lang w:eastAsia="et-EE"/>
              </w:rPr>
              <w:t>...*</w:t>
            </w:r>
          </w:p>
        </w:tc>
      </w:tr>
      <w:tr w:rsidR="00F81347" w:rsidRPr="00C50854" w14:paraId="35AA8B42" w14:textId="77777777" w:rsidTr="00D42075">
        <w:trPr>
          <w:trHeight w:val="344"/>
        </w:trPr>
        <w:tc>
          <w:tcPr>
            <w:tcW w:w="3668" w:type="dxa"/>
            <w:shd w:val="clear" w:color="auto" w:fill="auto"/>
            <w:noWrap/>
          </w:tcPr>
          <w:p w14:paraId="7DB5C3BF" w14:textId="2907DA2E" w:rsidR="00F81347" w:rsidRPr="00C50854" w:rsidRDefault="00F81347" w:rsidP="00F81347">
            <w:pPr>
              <w:suppressAutoHyphens w:val="0"/>
              <w:rPr>
                <w:rFonts w:eastAsia="Calibri"/>
                <w:sz w:val="20"/>
                <w:szCs w:val="20"/>
                <w:lang w:eastAsia="et-EE"/>
              </w:rPr>
            </w:pPr>
            <w:r w:rsidRPr="00C50854">
              <w:rPr>
                <w:rFonts w:eastAsia="Calibri"/>
                <w:b/>
                <w:sz w:val="20"/>
                <w:szCs w:val="20"/>
                <w:lang w:eastAsia="et-EE"/>
              </w:rPr>
              <w:t>Kokku kasutada antud kliendiliine</w:t>
            </w:r>
          </w:p>
        </w:tc>
        <w:tc>
          <w:tcPr>
            <w:tcW w:w="1098" w:type="dxa"/>
            <w:shd w:val="clear" w:color="auto" w:fill="auto"/>
            <w:noWrap/>
          </w:tcPr>
          <w:p w14:paraId="412380EE" w14:textId="7B7184ED" w:rsidR="00F81347" w:rsidRPr="00C50854" w:rsidRDefault="00F81347" w:rsidP="00F81347">
            <w:pPr>
              <w:suppressAutoHyphens w:val="0"/>
              <w:jc w:val="center"/>
              <w:rPr>
                <w:rFonts w:eastAsia="Calibri"/>
                <w:sz w:val="20"/>
              </w:rPr>
            </w:pPr>
            <w:r w:rsidRPr="00C50854">
              <w:rPr>
                <w:b/>
                <w:sz w:val="20"/>
                <w:szCs w:val="20"/>
                <w:lang w:eastAsia="et-EE"/>
              </w:rPr>
              <w:t>3 570</w:t>
            </w:r>
          </w:p>
        </w:tc>
        <w:tc>
          <w:tcPr>
            <w:tcW w:w="1100" w:type="dxa"/>
            <w:shd w:val="clear" w:color="auto" w:fill="auto"/>
            <w:noWrap/>
          </w:tcPr>
          <w:p w14:paraId="0A15FEC2" w14:textId="1DE10562" w:rsidR="00F81347" w:rsidRPr="00C50854" w:rsidRDefault="00F81347" w:rsidP="00F81347">
            <w:pPr>
              <w:suppressAutoHyphens w:val="0"/>
              <w:jc w:val="center"/>
              <w:rPr>
                <w:b/>
                <w:sz w:val="20"/>
                <w:szCs w:val="20"/>
                <w:lang w:eastAsia="et-EE"/>
              </w:rPr>
            </w:pPr>
            <w:r w:rsidRPr="00C50854">
              <w:rPr>
                <w:b/>
                <w:sz w:val="20"/>
                <w:szCs w:val="20"/>
                <w:lang w:eastAsia="et-EE"/>
              </w:rPr>
              <w:t>3046</w:t>
            </w:r>
          </w:p>
        </w:tc>
        <w:tc>
          <w:tcPr>
            <w:tcW w:w="1098" w:type="dxa"/>
            <w:shd w:val="clear" w:color="auto" w:fill="auto"/>
            <w:noWrap/>
          </w:tcPr>
          <w:p w14:paraId="08DB1938" w14:textId="5C982FBB" w:rsidR="00F81347" w:rsidRPr="00C50854" w:rsidRDefault="00F81347" w:rsidP="00F81347">
            <w:pPr>
              <w:suppressAutoHyphens w:val="0"/>
              <w:jc w:val="center"/>
              <w:rPr>
                <w:b/>
                <w:sz w:val="20"/>
                <w:szCs w:val="20"/>
                <w:lang w:eastAsia="et-EE"/>
              </w:rPr>
            </w:pPr>
            <w:r w:rsidRPr="00C50854">
              <w:rPr>
                <w:b/>
                <w:sz w:val="20"/>
                <w:szCs w:val="20"/>
                <w:lang w:eastAsia="et-EE"/>
              </w:rPr>
              <w:t>2474</w:t>
            </w:r>
          </w:p>
        </w:tc>
        <w:tc>
          <w:tcPr>
            <w:tcW w:w="1098" w:type="dxa"/>
            <w:shd w:val="clear" w:color="auto" w:fill="auto"/>
            <w:noWrap/>
          </w:tcPr>
          <w:p w14:paraId="58632A6C" w14:textId="556BFC70" w:rsidR="00F81347" w:rsidRPr="00C50854" w:rsidRDefault="00F81347" w:rsidP="00F81347">
            <w:pPr>
              <w:suppressAutoHyphens w:val="0"/>
              <w:jc w:val="center"/>
              <w:rPr>
                <w:b/>
                <w:sz w:val="20"/>
                <w:szCs w:val="20"/>
                <w:lang w:eastAsia="et-EE"/>
              </w:rPr>
            </w:pPr>
            <w:r w:rsidRPr="00C50854">
              <w:rPr>
                <w:b/>
                <w:sz w:val="20"/>
                <w:szCs w:val="20"/>
                <w:lang w:eastAsia="et-EE"/>
              </w:rPr>
              <w:t>1164</w:t>
            </w:r>
          </w:p>
        </w:tc>
        <w:tc>
          <w:tcPr>
            <w:tcW w:w="1267" w:type="dxa"/>
            <w:shd w:val="clear" w:color="auto" w:fill="auto"/>
            <w:noWrap/>
          </w:tcPr>
          <w:p w14:paraId="6F5F4A19" w14:textId="2AC036EC" w:rsidR="00F81347" w:rsidRPr="00C50854" w:rsidRDefault="00F81347" w:rsidP="00F81347">
            <w:pPr>
              <w:suppressAutoHyphens w:val="0"/>
              <w:jc w:val="center"/>
              <w:rPr>
                <w:b/>
                <w:sz w:val="20"/>
                <w:szCs w:val="20"/>
                <w:lang w:eastAsia="et-EE"/>
              </w:rPr>
            </w:pPr>
            <w:r w:rsidRPr="00C50854">
              <w:rPr>
                <w:b/>
                <w:sz w:val="20"/>
                <w:szCs w:val="20"/>
                <w:lang w:eastAsia="et-EE"/>
              </w:rPr>
              <w:t>754</w:t>
            </w:r>
          </w:p>
        </w:tc>
      </w:tr>
    </w:tbl>
    <w:p w14:paraId="42085F38" w14:textId="0BF63F61" w:rsidR="00CC6E9A" w:rsidRPr="00C50854" w:rsidRDefault="00CC6E9A" w:rsidP="0059100F">
      <w:pPr>
        <w:suppressAutoHyphens w:val="0"/>
        <w:spacing w:before="120" w:after="120"/>
        <w:rPr>
          <w:bCs/>
          <w:sz w:val="20"/>
          <w:szCs w:val="20"/>
          <w:lang w:eastAsia="et-EE"/>
        </w:rPr>
      </w:pPr>
      <w:bookmarkStart w:id="225" w:name="_Ref225646870"/>
      <w:r w:rsidRPr="00C50854">
        <w:rPr>
          <w:b/>
          <w:bCs/>
          <w:sz w:val="20"/>
          <w:szCs w:val="20"/>
          <w:lang w:eastAsia="et-EE"/>
        </w:rPr>
        <w:t xml:space="preserve">Tabel </w:t>
      </w:r>
      <w:r w:rsidR="00341D2F" w:rsidRPr="00C50854">
        <w:rPr>
          <w:b/>
          <w:bCs/>
          <w:sz w:val="20"/>
          <w:szCs w:val="20"/>
          <w:lang w:eastAsia="et-EE"/>
        </w:rPr>
        <w:fldChar w:fldCharType="begin"/>
      </w:r>
      <w:r w:rsidR="00341D2F" w:rsidRPr="00C50854">
        <w:rPr>
          <w:b/>
          <w:bCs/>
          <w:sz w:val="20"/>
          <w:szCs w:val="20"/>
          <w:lang w:eastAsia="et-EE"/>
        </w:rPr>
        <w:instrText xml:space="preserve"> SEQ Tabel \* ARABIC </w:instrText>
      </w:r>
      <w:r w:rsidR="00341D2F" w:rsidRPr="00C50854">
        <w:rPr>
          <w:b/>
          <w:bCs/>
          <w:sz w:val="20"/>
          <w:szCs w:val="20"/>
          <w:lang w:eastAsia="et-EE"/>
        </w:rPr>
        <w:fldChar w:fldCharType="separate"/>
      </w:r>
      <w:r w:rsidR="00D24389" w:rsidRPr="00C50854">
        <w:rPr>
          <w:b/>
          <w:bCs/>
          <w:noProof/>
          <w:sz w:val="20"/>
          <w:szCs w:val="20"/>
          <w:lang w:eastAsia="et-EE"/>
        </w:rPr>
        <w:t>13</w:t>
      </w:r>
      <w:r w:rsidR="00341D2F" w:rsidRPr="00C50854">
        <w:rPr>
          <w:b/>
          <w:bCs/>
          <w:sz w:val="20"/>
          <w:szCs w:val="20"/>
          <w:lang w:eastAsia="et-EE"/>
        </w:rPr>
        <w:fldChar w:fldCharType="end"/>
      </w:r>
      <w:bookmarkEnd w:id="225"/>
      <w:r w:rsidRPr="00C50854">
        <w:rPr>
          <w:b/>
          <w:bCs/>
          <w:sz w:val="20"/>
          <w:szCs w:val="20"/>
          <w:lang w:eastAsia="et-EE"/>
        </w:rPr>
        <w:t>.</w:t>
      </w:r>
      <w:r w:rsidR="001463D6" w:rsidRPr="00C50854">
        <w:rPr>
          <w:b/>
          <w:bCs/>
          <w:sz w:val="20"/>
          <w:szCs w:val="20"/>
          <w:lang w:eastAsia="et-EE"/>
        </w:rPr>
        <w:t xml:space="preserve"> </w:t>
      </w:r>
      <w:r w:rsidR="001463D6" w:rsidRPr="00C50854">
        <w:rPr>
          <w:bCs/>
          <w:sz w:val="20"/>
          <w:szCs w:val="20"/>
          <w:lang w:eastAsia="et-EE"/>
        </w:rPr>
        <w:t>Teistele sideettevõtjatele</w:t>
      </w:r>
      <w:r w:rsidRPr="00C50854">
        <w:rPr>
          <w:bCs/>
          <w:sz w:val="20"/>
          <w:szCs w:val="20"/>
          <w:lang w:eastAsia="et-EE"/>
        </w:rPr>
        <w:t xml:space="preserve"> </w:t>
      </w:r>
      <w:r w:rsidR="001463D6" w:rsidRPr="00C50854">
        <w:rPr>
          <w:bCs/>
          <w:sz w:val="20"/>
          <w:szCs w:val="20"/>
          <w:lang w:eastAsia="et-EE"/>
        </w:rPr>
        <w:t>k</w:t>
      </w:r>
      <w:r w:rsidRPr="00C50854">
        <w:rPr>
          <w:bCs/>
          <w:sz w:val="20"/>
          <w:szCs w:val="20"/>
          <w:lang w:eastAsia="et-EE"/>
        </w:rPr>
        <w:t xml:space="preserve">asutusse antud kliendiliinide arv perioodil </w:t>
      </w:r>
      <w:r w:rsidR="00537193" w:rsidRPr="00C50854">
        <w:rPr>
          <w:bCs/>
          <w:sz w:val="20"/>
          <w:szCs w:val="20"/>
          <w:lang w:eastAsia="et-EE"/>
        </w:rPr>
        <w:t>201</w:t>
      </w:r>
      <w:r w:rsidR="00B56E1A" w:rsidRPr="00C50854">
        <w:rPr>
          <w:bCs/>
          <w:sz w:val="20"/>
          <w:szCs w:val="20"/>
          <w:lang w:eastAsia="et-EE"/>
        </w:rPr>
        <w:t>5</w:t>
      </w:r>
      <w:r w:rsidR="00537193" w:rsidRPr="00C50854">
        <w:rPr>
          <w:bCs/>
          <w:sz w:val="20"/>
          <w:szCs w:val="20"/>
          <w:lang w:eastAsia="et-EE"/>
        </w:rPr>
        <w:t xml:space="preserve"> </w:t>
      </w:r>
      <w:r w:rsidRPr="00C50854">
        <w:rPr>
          <w:bCs/>
          <w:sz w:val="20"/>
          <w:szCs w:val="20"/>
          <w:lang w:eastAsia="et-EE"/>
        </w:rPr>
        <w:t>-</w:t>
      </w:r>
      <w:r w:rsidR="005C5129" w:rsidRPr="00C50854">
        <w:rPr>
          <w:bCs/>
          <w:sz w:val="20"/>
          <w:szCs w:val="20"/>
          <w:lang w:eastAsia="et-EE"/>
        </w:rPr>
        <w:t xml:space="preserve"> </w:t>
      </w:r>
      <w:r w:rsidR="00541AA4" w:rsidRPr="00C50854">
        <w:rPr>
          <w:bCs/>
          <w:sz w:val="20"/>
          <w:szCs w:val="20"/>
          <w:lang w:eastAsia="et-EE"/>
        </w:rPr>
        <w:t>I</w:t>
      </w:r>
      <w:r w:rsidR="005C5129" w:rsidRPr="00C50854">
        <w:rPr>
          <w:bCs/>
          <w:sz w:val="20"/>
          <w:szCs w:val="20"/>
          <w:lang w:eastAsia="et-EE"/>
        </w:rPr>
        <w:t xml:space="preserve"> </w:t>
      </w:r>
      <w:r w:rsidR="00B56E1A" w:rsidRPr="00C50854">
        <w:rPr>
          <w:bCs/>
          <w:sz w:val="20"/>
          <w:szCs w:val="20"/>
          <w:lang w:eastAsia="et-EE"/>
        </w:rPr>
        <w:t>p</w:t>
      </w:r>
      <w:r w:rsidR="002C14CD" w:rsidRPr="00C50854">
        <w:rPr>
          <w:bCs/>
          <w:sz w:val="20"/>
          <w:szCs w:val="20"/>
          <w:lang w:eastAsia="et-EE"/>
        </w:rPr>
        <w:t>oola</w:t>
      </w:r>
      <w:r w:rsidR="00B56E1A" w:rsidRPr="00C50854">
        <w:rPr>
          <w:bCs/>
          <w:sz w:val="20"/>
          <w:szCs w:val="20"/>
          <w:lang w:eastAsia="et-EE"/>
        </w:rPr>
        <w:t>a</w:t>
      </w:r>
      <w:r w:rsidR="002C14CD" w:rsidRPr="00C50854">
        <w:rPr>
          <w:bCs/>
          <w:sz w:val="20"/>
          <w:szCs w:val="20"/>
          <w:lang w:eastAsia="et-EE"/>
        </w:rPr>
        <w:t>sta</w:t>
      </w:r>
      <w:r w:rsidRPr="00C50854">
        <w:rPr>
          <w:bCs/>
          <w:sz w:val="20"/>
          <w:szCs w:val="20"/>
          <w:lang w:eastAsia="et-EE"/>
        </w:rPr>
        <w:t xml:space="preserve"> 20</w:t>
      </w:r>
      <w:r w:rsidR="00513125" w:rsidRPr="00C50854">
        <w:rPr>
          <w:bCs/>
          <w:sz w:val="20"/>
          <w:szCs w:val="20"/>
          <w:lang w:eastAsia="et-EE"/>
        </w:rPr>
        <w:t>1</w:t>
      </w:r>
      <w:r w:rsidR="00B56E1A" w:rsidRPr="00C50854">
        <w:rPr>
          <w:bCs/>
          <w:sz w:val="20"/>
          <w:szCs w:val="20"/>
          <w:lang w:eastAsia="et-EE"/>
        </w:rPr>
        <w:t>9</w:t>
      </w:r>
    </w:p>
    <w:p w14:paraId="053A77C1" w14:textId="77777777" w:rsidR="00D86A1B" w:rsidRPr="00C50854" w:rsidRDefault="00D86A1B" w:rsidP="0059100F">
      <w:pPr>
        <w:suppressAutoHyphens w:val="0"/>
        <w:spacing w:before="120" w:after="120"/>
        <w:rPr>
          <w:b/>
          <w:bCs/>
          <w:sz w:val="20"/>
          <w:szCs w:val="20"/>
          <w:lang w:eastAsia="et-EE"/>
        </w:rPr>
      </w:pPr>
    </w:p>
    <w:tbl>
      <w:tblPr>
        <w:tblW w:w="9134" w:type="dxa"/>
        <w:tblInd w:w="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531"/>
        <w:gridCol w:w="1101"/>
        <w:gridCol w:w="1102"/>
        <w:gridCol w:w="1101"/>
        <w:gridCol w:w="1101"/>
        <w:gridCol w:w="1198"/>
      </w:tblGrid>
      <w:tr w:rsidR="00F81347" w:rsidRPr="00C50854" w14:paraId="58D1D9FD" w14:textId="77777777" w:rsidTr="00D42075">
        <w:trPr>
          <w:trHeight w:val="224"/>
        </w:trPr>
        <w:tc>
          <w:tcPr>
            <w:tcW w:w="3531" w:type="dxa"/>
            <w:shd w:val="clear" w:color="auto" w:fill="CCFFCC"/>
            <w:noWrap/>
            <w:vAlign w:val="bottom"/>
            <w:hideMark/>
          </w:tcPr>
          <w:p w14:paraId="5639BB56" w14:textId="77777777" w:rsidR="00F81347" w:rsidRPr="00C50854" w:rsidRDefault="00F81347" w:rsidP="00F81347">
            <w:pPr>
              <w:suppressAutoHyphens w:val="0"/>
              <w:spacing w:before="120"/>
              <w:rPr>
                <w:b/>
                <w:sz w:val="20"/>
                <w:szCs w:val="20"/>
                <w:lang w:eastAsia="et-EE"/>
              </w:rPr>
            </w:pPr>
            <w:r w:rsidRPr="00C50854">
              <w:rPr>
                <w:b/>
                <w:sz w:val="20"/>
                <w:szCs w:val="20"/>
                <w:lang w:eastAsia="et-EE"/>
              </w:rPr>
              <w:t>Ettevõtja</w:t>
            </w:r>
          </w:p>
        </w:tc>
        <w:tc>
          <w:tcPr>
            <w:tcW w:w="1101" w:type="dxa"/>
            <w:shd w:val="clear" w:color="auto" w:fill="CCFFCC"/>
            <w:noWrap/>
            <w:hideMark/>
          </w:tcPr>
          <w:p w14:paraId="7FD4C3D4" w14:textId="50C5B273" w:rsidR="00F81347" w:rsidRPr="00C50854" w:rsidRDefault="00F81347" w:rsidP="00F81347">
            <w:pPr>
              <w:suppressAutoHyphens w:val="0"/>
              <w:spacing w:before="120"/>
              <w:jc w:val="center"/>
              <w:rPr>
                <w:rFonts w:eastAsia="Calibri"/>
                <w:b/>
                <w:sz w:val="20"/>
                <w:szCs w:val="20"/>
                <w:lang w:eastAsia="et-EE"/>
              </w:rPr>
            </w:pPr>
            <w:r w:rsidRPr="00C50854">
              <w:rPr>
                <w:rFonts w:eastAsia="Calibri"/>
                <w:b/>
                <w:sz w:val="20"/>
                <w:szCs w:val="20"/>
                <w:lang w:eastAsia="et-EE"/>
              </w:rPr>
              <w:t>2015</w:t>
            </w:r>
          </w:p>
        </w:tc>
        <w:tc>
          <w:tcPr>
            <w:tcW w:w="1102" w:type="dxa"/>
            <w:shd w:val="clear" w:color="auto" w:fill="CCFFCC"/>
            <w:noWrap/>
            <w:hideMark/>
          </w:tcPr>
          <w:p w14:paraId="2069AA4F" w14:textId="1B6DEF94" w:rsidR="00F81347" w:rsidRPr="00C50854" w:rsidRDefault="00F81347" w:rsidP="00F81347">
            <w:pPr>
              <w:suppressAutoHyphens w:val="0"/>
              <w:spacing w:before="120"/>
              <w:jc w:val="center"/>
              <w:rPr>
                <w:rFonts w:eastAsia="Calibri"/>
                <w:b/>
                <w:sz w:val="20"/>
                <w:szCs w:val="20"/>
                <w:lang w:eastAsia="et-EE"/>
              </w:rPr>
            </w:pPr>
            <w:r w:rsidRPr="00C50854">
              <w:rPr>
                <w:rFonts w:eastAsia="Calibri"/>
                <w:b/>
                <w:sz w:val="20"/>
                <w:szCs w:val="20"/>
                <w:lang w:eastAsia="et-EE"/>
              </w:rPr>
              <w:t>2016</w:t>
            </w:r>
          </w:p>
        </w:tc>
        <w:tc>
          <w:tcPr>
            <w:tcW w:w="1101" w:type="dxa"/>
            <w:shd w:val="clear" w:color="auto" w:fill="CCFFCC"/>
            <w:noWrap/>
            <w:hideMark/>
          </w:tcPr>
          <w:p w14:paraId="10B749C8" w14:textId="2B8636AF" w:rsidR="00F81347" w:rsidRPr="00C50854" w:rsidRDefault="00F81347" w:rsidP="00F81347">
            <w:pPr>
              <w:suppressAutoHyphens w:val="0"/>
              <w:spacing w:before="120"/>
              <w:jc w:val="center"/>
              <w:rPr>
                <w:rFonts w:eastAsia="Calibri"/>
                <w:b/>
                <w:sz w:val="20"/>
                <w:szCs w:val="20"/>
                <w:lang w:eastAsia="et-EE"/>
              </w:rPr>
            </w:pPr>
            <w:r w:rsidRPr="00C50854">
              <w:rPr>
                <w:rFonts w:eastAsia="Calibri"/>
                <w:b/>
                <w:sz w:val="20"/>
                <w:szCs w:val="20"/>
                <w:lang w:eastAsia="et-EE"/>
              </w:rPr>
              <w:t>2017</w:t>
            </w:r>
          </w:p>
        </w:tc>
        <w:tc>
          <w:tcPr>
            <w:tcW w:w="1101" w:type="dxa"/>
            <w:shd w:val="clear" w:color="auto" w:fill="CCFFCC"/>
            <w:noWrap/>
            <w:hideMark/>
          </w:tcPr>
          <w:p w14:paraId="62963028" w14:textId="4E87C1E6" w:rsidR="00F81347" w:rsidRPr="00C50854" w:rsidRDefault="00F81347" w:rsidP="00F81347">
            <w:pPr>
              <w:suppressAutoHyphens w:val="0"/>
              <w:spacing w:before="120"/>
              <w:jc w:val="center"/>
              <w:rPr>
                <w:rFonts w:eastAsia="Calibri"/>
                <w:b/>
                <w:sz w:val="20"/>
                <w:szCs w:val="20"/>
                <w:lang w:eastAsia="et-EE"/>
              </w:rPr>
            </w:pPr>
            <w:r w:rsidRPr="00C50854">
              <w:rPr>
                <w:rFonts w:eastAsia="Calibri"/>
                <w:b/>
                <w:sz w:val="20"/>
                <w:szCs w:val="20"/>
                <w:lang w:eastAsia="et-EE"/>
              </w:rPr>
              <w:t>2018</w:t>
            </w:r>
          </w:p>
        </w:tc>
        <w:tc>
          <w:tcPr>
            <w:tcW w:w="1198" w:type="dxa"/>
            <w:shd w:val="clear" w:color="auto" w:fill="CCFFCC"/>
            <w:noWrap/>
            <w:hideMark/>
          </w:tcPr>
          <w:p w14:paraId="36C258B5" w14:textId="635A3F5E" w:rsidR="00F81347" w:rsidRPr="00C50854" w:rsidRDefault="00F81347" w:rsidP="00F81347">
            <w:pPr>
              <w:suppressAutoHyphens w:val="0"/>
              <w:spacing w:before="120"/>
              <w:jc w:val="center"/>
              <w:rPr>
                <w:rFonts w:eastAsia="Calibri"/>
                <w:b/>
                <w:sz w:val="20"/>
                <w:szCs w:val="20"/>
                <w:lang w:eastAsia="et-EE"/>
              </w:rPr>
            </w:pPr>
            <w:r w:rsidRPr="00C50854">
              <w:rPr>
                <w:rFonts w:eastAsia="Calibri"/>
                <w:b/>
                <w:sz w:val="20"/>
                <w:szCs w:val="20"/>
                <w:lang w:eastAsia="et-EE"/>
              </w:rPr>
              <w:t xml:space="preserve">I </w:t>
            </w:r>
            <w:proofErr w:type="spellStart"/>
            <w:r w:rsidRPr="00C50854">
              <w:rPr>
                <w:rFonts w:eastAsia="Calibri"/>
                <w:b/>
                <w:sz w:val="20"/>
                <w:szCs w:val="20"/>
                <w:lang w:eastAsia="et-EE"/>
              </w:rPr>
              <w:t>pa</w:t>
            </w:r>
            <w:proofErr w:type="spellEnd"/>
            <w:r w:rsidRPr="00C50854">
              <w:rPr>
                <w:rFonts w:eastAsia="Calibri"/>
                <w:b/>
                <w:sz w:val="20"/>
                <w:szCs w:val="20"/>
                <w:lang w:eastAsia="et-EE"/>
              </w:rPr>
              <w:t xml:space="preserve"> 2019</w:t>
            </w:r>
          </w:p>
        </w:tc>
      </w:tr>
      <w:tr w:rsidR="00AF3E4B" w:rsidRPr="00C50854" w14:paraId="346D203F" w14:textId="77777777" w:rsidTr="00D42075">
        <w:trPr>
          <w:trHeight w:val="224"/>
        </w:trPr>
        <w:tc>
          <w:tcPr>
            <w:tcW w:w="3531" w:type="dxa"/>
            <w:shd w:val="clear" w:color="auto" w:fill="auto"/>
            <w:noWrap/>
            <w:vAlign w:val="bottom"/>
            <w:hideMark/>
          </w:tcPr>
          <w:p w14:paraId="05A4AEA2" w14:textId="77777777" w:rsidR="00AF3E4B" w:rsidRPr="00C50854" w:rsidRDefault="00AF3E4B" w:rsidP="00AF3E4B">
            <w:pPr>
              <w:suppressAutoHyphens w:val="0"/>
              <w:spacing w:before="120"/>
              <w:rPr>
                <w:sz w:val="20"/>
                <w:szCs w:val="20"/>
                <w:lang w:eastAsia="et-EE"/>
              </w:rPr>
            </w:pPr>
            <w:r w:rsidRPr="00C50854">
              <w:rPr>
                <w:sz w:val="20"/>
                <w:szCs w:val="20"/>
                <w:lang w:eastAsia="et-EE"/>
              </w:rPr>
              <w:t>Telia poolt kasutada antud kliendiliinid</w:t>
            </w:r>
          </w:p>
        </w:tc>
        <w:tc>
          <w:tcPr>
            <w:tcW w:w="1101" w:type="dxa"/>
            <w:shd w:val="clear" w:color="auto" w:fill="auto"/>
            <w:noWrap/>
            <w:hideMark/>
          </w:tcPr>
          <w:p w14:paraId="19CC29A9" w14:textId="716AAA11" w:rsidR="00AF3E4B" w:rsidRPr="00C50854" w:rsidRDefault="00AF3E4B" w:rsidP="00AF3E4B">
            <w:pPr>
              <w:suppressAutoHyphens w:val="0"/>
              <w:jc w:val="center"/>
              <w:rPr>
                <w:rFonts w:eastAsia="Calibri"/>
                <w:sz w:val="20"/>
              </w:rPr>
            </w:pPr>
            <w:r w:rsidRPr="00C50854">
              <w:rPr>
                <w:sz w:val="20"/>
                <w:szCs w:val="20"/>
              </w:rPr>
              <w:t>...*%</w:t>
            </w:r>
          </w:p>
        </w:tc>
        <w:tc>
          <w:tcPr>
            <w:tcW w:w="1102" w:type="dxa"/>
            <w:noWrap/>
            <w:hideMark/>
          </w:tcPr>
          <w:p w14:paraId="486703B3" w14:textId="715A15C0" w:rsidR="00AF3E4B" w:rsidRPr="00C50854" w:rsidRDefault="00AF3E4B" w:rsidP="00AF3E4B">
            <w:pPr>
              <w:suppressAutoHyphens w:val="0"/>
              <w:jc w:val="center"/>
              <w:rPr>
                <w:rFonts w:eastAsia="Calibri"/>
                <w:sz w:val="20"/>
              </w:rPr>
            </w:pPr>
            <w:r w:rsidRPr="00C50854">
              <w:rPr>
                <w:sz w:val="20"/>
                <w:szCs w:val="20"/>
              </w:rPr>
              <w:t>...*%</w:t>
            </w:r>
          </w:p>
        </w:tc>
        <w:tc>
          <w:tcPr>
            <w:tcW w:w="1101" w:type="dxa"/>
            <w:noWrap/>
            <w:hideMark/>
          </w:tcPr>
          <w:p w14:paraId="3305B28F" w14:textId="4314EA83" w:rsidR="00AF3E4B" w:rsidRPr="00C50854" w:rsidRDefault="00AF3E4B" w:rsidP="00AF3E4B">
            <w:pPr>
              <w:suppressAutoHyphens w:val="0"/>
              <w:jc w:val="center"/>
              <w:rPr>
                <w:rFonts w:eastAsia="Calibri"/>
                <w:sz w:val="20"/>
              </w:rPr>
            </w:pPr>
            <w:r w:rsidRPr="00C50854">
              <w:rPr>
                <w:sz w:val="20"/>
                <w:szCs w:val="20"/>
              </w:rPr>
              <w:t>...*%</w:t>
            </w:r>
          </w:p>
        </w:tc>
        <w:tc>
          <w:tcPr>
            <w:tcW w:w="1101" w:type="dxa"/>
            <w:noWrap/>
            <w:hideMark/>
          </w:tcPr>
          <w:p w14:paraId="7C9FEB31" w14:textId="0CA91609" w:rsidR="00AF3E4B" w:rsidRPr="00C50854" w:rsidRDefault="00AF3E4B" w:rsidP="00AF3E4B">
            <w:pPr>
              <w:suppressAutoHyphens w:val="0"/>
              <w:jc w:val="center"/>
              <w:rPr>
                <w:rFonts w:eastAsia="Calibri"/>
                <w:sz w:val="20"/>
              </w:rPr>
            </w:pPr>
            <w:r w:rsidRPr="00C50854">
              <w:rPr>
                <w:sz w:val="20"/>
                <w:szCs w:val="20"/>
              </w:rPr>
              <w:t>...*%</w:t>
            </w:r>
          </w:p>
        </w:tc>
        <w:tc>
          <w:tcPr>
            <w:tcW w:w="1198" w:type="dxa"/>
            <w:noWrap/>
            <w:hideMark/>
          </w:tcPr>
          <w:p w14:paraId="1E0EAF70" w14:textId="73029192" w:rsidR="00AF3E4B" w:rsidRPr="00C50854" w:rsidRDefault="00AF3E4B" w:rsidP="00AF3E4B">
            <w:pPr>
              <w:suppressAutoHyphens w:val="0"/>
              <w:jc w:val="center"/>
              <w:rPr>
                <w:rFonts w:eastAsia="Calibri"/>
                <w:sz w:val="20"/>
              </w:rPr>
            </w:pPr>
            <w:r w:rsidRPr="00C50854">
              <w:rPr>
                <w:sz w:val="20"/>
                <w:szCs w:val="20"/>
              </w:rPr>
              <w:t>...*%</w:t>
            </w:r>
          </w:p>
        </w:tc>
      </w:tr>
      <w:tr w:rsidR="00AF3E4B" w:rsidRPr="00C50854" w14:paraId="272E63EA" w14:textId="77777777" w:rsidTr="00D42075">
        <w:trPr>
          <w:trHeight w:val="224"/>
        </w:trPr>
        <w:tc>
          <w:tcPr>
            <w:tcW w:w="3531" w:type="dxa"/>
            <w:shd w:val="clear" w:color="auto" w:fill="auto"/>
            <w:noWrap/>
            <w:vAlign w:val="bottom"/>
          </w:tcPr>
          <w:p w14:paraId="7D1577AF" w14:textId="77777777" w:rsidR="00AF3E4B" w:rsidRPr="00C50854" w:rsidRDefault="00AF3E4B" w:rsidP="00AF3E4B">
            <w:pPr>
              <w:suppressAutoHyphens w:val="0"/>
              <w:spacing w:before="120"/>
              <w:rPr>
                <w:sz w:val="20"/>
                <w:szCs w:val="20"/>
                <w:lang w:eastAsia="et-EE"/>
              </w:rPr>
            </w:pPr>
            <w:r w:rsidRPr="00C50854">
              <w:rPr>
                <w:sz w:val="20"/>
                <w:szCs w:val="20"/>
                <w:lang w:eastAsia="et-EE"/>
              </w:rPr>
              <w:t>Elisa poolt kasutada antud kliendiliinid</w:t>
            </w:r>
          </w:p>
        </w:tc>
        <w:tc>
          <w:tcPr>
            <w:tcW w:w="1101" w:type="dxa"/>
            <w:shd w:val="clear" w:color="auto" w:fill="auto"/>
            <w:noWrap/>
          </w:tcPr>
          <w:p w14:paraId="3B9D73BA" w14:textId="5F0A4529" w:rsidR="00AF3E4B" w:rsidRPr="00C50854" w:rsidRDefault="00AF3E4B" w:rsidP="00AF3E4B">
            <w:pPr>
              <w:suppressAutoHyphens w:val="0"/>
              <w:jc w:val="center"/>
              <w:rPr>
                <w:rFonts w:eastAsia="Calibri"/>
                <w:sz w:val="20"/>
              </w:rPr>
            </w:pPr>
            <w:r w:rsidRPr="00C50854">
              <w:rPr>
                <w:sz w:val="20"/>
                <w:szCs w:val="20"/>
              </w:rPr>
              <w:t>...*%</w:t>
            </w:r>
          </w:p>
        </w:tc>
        <w:tc>
          <w:tcPr>
            <w:tcW w:w="1102" w:type="dxa"/>
            <w:noWrap/>
          </w:tcPr>
          <w:p w14:paraId="226D89DA" w14:textId="58A0D2C5" w:rsidR="00AF3E4B" w:rsidRPr="00C50854" w:rsidRDefault="00AF3E4B" w:rsidP="00AF3E4B">
            <w:pPr>
              <w:suppressAutoHyphens w:val="0"/>
              <w:jc w:val="center"/>
              <w:rPr>
                <w:rFonts w:eastAsia="Calibri"/>
                <w:sz w:val="20"/>
              </w:rPr>
            </w:pPr>
            <w:r w:rsidRPr="00C50854">
              <w:rPr>
                <w:sz w:val="20"/>
                <w:szCs w:val="20"/>
              </w:rPr>
              <w:t>...*%</w:t>
            </w:r>
          </w:p>
        </w:tc>
        <w:tc>
          <w:tcPr>
            <w:tcW w:w="1101" w:type="dxa"/>
            <w:noWrap/>
          </w:tcPr>
          <w:p w14:paraId="5F4E3D85" w14:textId="7C847DAB" w:rsidR="00AF3E4B" w:rsidRPr="00C50854" w:rsidRDefault="00AF3E4B" w:rsidP="00AF3E4B">
            <w:pPr>
              <w:suppressAutoHyphens w:val="0"/>
              <w:jc w:val="center"/>
              <w:rPr>
                <w:rFonts w:eastAsia="Calibri"/>
                <w:sz w:val="20"/>
              </w:rPr>
            </w:pPr>
            <w:r w:rsidRPr="00C50854">
              <w:rPr>
                <w:sz w:val="20"/>
                <w:szCs w:val="20"/>
              </w:rPr>
              <w:t>...*%</w:t>
            </w:r>
          </w:p>
        </w:tc>
        <w:tc>
          <w:tcPr>
            <w:tcW w:w="1101" w:type="dxa"/>
            <w:noWrap/>
          </w:tcPr>
          <w:p w14:paraId="579B028A" w14:textId="36A7378F" w:rsidR="00AF3E4B" w:rsidRPr="00C50854" w:rsidRDefault="00AF3E4B" w:rsidP="00AF3E4B">
            <w:pPr>
              <w:suppressAutoHyphens w:val="0"/>
              <w:jc w:val="center"/>
              <w:rPr>
                <w:rFonts w:eastAsia="Calibri"/>
                <w:sz w:val="20"/>
              </w:rPr>
            </w:pPr>
            <w:r w:rsidRPr="00C50854">
              <w:rPr>
                <w:sz w:val="20"/>
                <w:szCs w:val="20"/>
              </w:rPr>
              <w:t>...*%</w:t>
            </w:r>
          </w:p>
        </w:tc>
        <w:tc>
          <w:tcPr>
            <w:tcW w:w="1198" w:type="dxa"/>
            <w:noWrap/>
          </w:tcPr>
          <w:p w14:paraId="70BD3F32" w14:textId="01E018D0" w:rsidR="00AF3E4B" w:rsidRPr="00C50854" w:rsidRDefault="00AF3E4B" w:rsidP="00AF3E4B">
            <w:pPr>
              <w:suppressAutoHyphens w:val="0"/>
              <w:jc w:val="center"/>
              <w:rPr>
                <w:rFonts w:eastAsia="Calibri"/>
                <w:sz w:val="20"/>
              </w:rPr>
            </w:pPr>
            <w:r w:rsidRPr="00C50854">
              <w:rPr>
                <w:sz w:val="20"/>
                <w:szCs w:val="20"/>
              </w:rPr>
              <w:t>...*%</w:t>
            </w:r>
          </w:p>
        </w:tc>
      </w:tr>
      <w:tr w:rsidR="00537193" w:rsidRPr="00C50854" w14:paraId="144033DD" w14:textId="77777777" w:rsidTr="00D42075">
        <w:trPr>
          <w:trHeight w:val="224"/>
        </w:trPr>
        <w:tc>
          <w:tcPr>
            <w:tcW w:w="3531" w:type="dxa"/>
            <w:shd w:val="clear" w:color="auto" w:fill="auto"/>
            <w:noWrap/>
            <w:vAlign w:val="bottom"/>
            <w:hideMark/>
          </w:tcPr>
          <w:p w14:paraId="39BBE080" w14:textId="77777777" w:rsidR="00537193" w:rsidRPr="00C50854" w:rsidRDefault="00537193" w:rsidP="00CC6E9A">
            <w:pPr>
              <w:suppressAutoHyphens w:val="0"/>
              <w:spacing w:before="120"/>
              <w:rPr>
                <w:b/>
                <w:sz w:val="20"/>
                <w:szCs w:val="20"/>
                <w:lang w:eastAsia="et-EE"/>
              </w:rPr>
            </w:pPr>
            <w:r w:rsidRPr="00C50854">
              <w:rPr>
                <w:b/>
                <w:sz w:val="20"/>
                <w:szCs w:val="20"/>
                <w:lang w:eastAsia="et-EE"/>
              </w:rPr>
              <w:t>Kokku kasutada antud kliendiliine</w:t>
            </w:r>
          </w:p>
        </w:tc>
        <w:tc>
          <w:tcPr>
            <w:tcW w:w="1101" w:type="dxa"/>
            <w:shd w:val="clear" w:color="auto" w:fill="auto"/>
            <w:noWrap/>
            <w:vAlign w:val="bottom"/>
            <w:hideMark/>
          </w:tcPr>
          <w:p w14:paraId="77A055D4" w14:textId="28AF686D" w:rsidR="00537193" w:rsidRPr="00C50854" w:rsidRDefault="00537193" w:rsidP="00541AA4">
            <w:pPr>
              <w:suppressAutoHyphens w:val="0"/>
              <w:spacing w:before="120"/>
              <w:jc w:val="center"/>
              <w:rPr>
                <w:b/>
                <w:sz w:val="20"/>
                <w:szCs w:val="20"/>
                <w:lang w:eastAsia="et-EE"/>
              </w:rPr>
            </w:pPr>
            <w:r w:rsidRPr="00C50854">
              <w:rPr>
                <w:b/>
                <w:sz w:val="20"/>
                <w:szCs w:val="20"/>
                <w:lang w:eastAsia="et-EE"/>
              </w:rPr>
              <w:t>100%</w:t>
            </w:r>
          </w:p>
        </w:tc>
        <w:tc>
          <w:tcPr>
            <w:tcW w:w="1102" w:type="dxa"/>
            <w:shd w:val="clear" w:color="auto" w:fill="auto"/>
            <w:noWrap/>
            <w:vAlign w:val="bottom"/>
            <w:hideMark/>
          </w:tcPr>
          <w:p w14:paraId="5D09A338" w14:textId="77777777" w:rsidR="00537193" w:rsidRPr="00C50854" w:rsidRDefault="00537193" w:rsidP="00541AA4">
            <w:pPr>
              <w:suppressAutoHyphens w:val="0"/>
              <w:spacing w:before="120"/>
              <w:jc w:val="center"/>
              <w:rPr>
                <w:b/>
                <w:sz w:val="20"/>
                <w:szCs w:val="20"/>
                <w:lang w:eastAsia="et-EE"/>
              </w:rPr>
            </w:pPr>
            <w:r w:rsidRPr="00C50854">
              <w:rPr>
                <w:b/>
                <w:sz w:val="20"/>
                <w:szCs w:val="20"/>
                <w:lang w:eastAsia="et-EE"/>
              </w:rPr>
              <w:t>100%</w:t>
            </w:r>
          </w:p>
        </w:tc>
        <w:tc>
          <w:tcPr>
            <w:tcW w:w="1101" w:type="dxa"/>
            <w:shd w:val="clear" w:color="auto" w:fill="auto"/>
            <w:noWrap/>
            <w:vAlign w:val="bottom"/>
            <w:hideMark/>
          </w:tcPr>
          <w:p w14:paraId="55C78943" w14:textId="77777777" w:rsidR="00537193" w:rsidRPr="00C50854" w:rsidRDefault="00537193" w:rsidP="00541AA4">
            <w:pPr>
              <w:suppressAutoHyphens w:val="0"/>
              <w:spacing w:before="120"/>
              <w:jc w:val="center"/>
              <w:rPr>
                <w:b/>
                <w:sz w:val="20"/>
                <w:szCs w:val="20"/>
                <w:lang w:eastAsia="et-EE"/>
              </w:rPr>
            </w:pPr>
            <w:r w:rsidRPr="00C50854">
              <w:rPr>
                <w:b/>
                <w:sz w:val="20"/>
                <w:szCs w:val="20"/>
                <w:lang w:eastAsia="et-EE"/>
              </w:rPr>
              <w:t>100%</w:t>
            </w:r>
          </w:p>
        </w:tc>
        <w:tc>
          <w:tcPr>
            <w:tcW w:w="1101" w:type="dxa"/>
            <w:shd w:val="clear" w:color="auto" w:fill="auto"/>
            <w:noWrap/>
            <w:vAlign w:val="bottom"/>
            <w:hideMark/>
          </w:tcPr>
          <w:p w14:paraId="62E9BB16" w14:textId="77777777" w:rsidR="00537193" w:rsidRPr="00C50854" w:rsidRDefault="00537193" w:rsidP="00541AA4">
            <w:pPr>
              <w:suppressAutoHyphens w:val="0"/>
              <w:spacing w:before="120"/>
              <w:jc w:val="center"/>
              <w:rPr>
                <w:b/>
                <w:sz w:val="20"/>
                <w:szCs w:val="20"/>
                <w:lang w:eastAsia="et-EE"/>
              </w:rPr>
            </w:pPr>
            <w:r w:rsidRPr="00C50854">
              <w:rPr>
                <w:b/>
                <w:sz w:val="20"/>
                <w:szCs w:val="20"/>
                <w:lang w:eastAsia="et-EE"/>
              </w:rPr>
              <w:t>100%</w:t>
            </w:r>
          </w:p>
        </w:tc>
        <w:tc>
          <w:tcPr>
            <w:tcW w:w="1198" w:type="dxa"/>
            <w:shd w:val="clear" w:color="auto" w:fill="auto"/>
            <w:noWrap/>
            <w:vAlign w:val="bottom"/>
            <w:hideMark/>
          </w:tcPr>
          <w:p w14:paraId="3BBB1C79" w14:textId="77777777" w:rsidR="00537193" w:rsidRPr="00C50854" w:rsidRDefault="00537193" w:rsidP="00541AA4">
            <w:pPr>
              <w:suppressAutoHyphens w:val="0"/>
              <w:spacing w:before="120"/>
              <w:jc w:val="center"/>
              <w:rPr>
                <w:b/>
                <w:sz w:val="20"/>
                <w:szCs w:val="20"/>
                <w:lang w:eastAsia="et-EE"/>
              </w:rPr>
            </w:pPr>
            <w:r w:rsidRPr="00C50854">
              <w:rPr>
                <w:b/>
                <w:sz w:val="20"/>
                <w:szCs w:val="20"/>
                <w:lang w:eastAsia="et-EE"/>
              </w:rPr>
              <w:t>100%</w:t>
            </w:r>
          </w:p>
        </w:tc>
      </w:tr>
    </w:tbl>
    <w:p w14:paraId="21120072" w14:textId="3A7AD0C6" w:rsidR="00CC6E9A" w:rsidRPr="00C50854" w:rsidRDefault="00CC6E9A" w:rsidP="00CC6E9A">
      <w:pPr>
        <w:suppressAutoHyphens w:val="0"/>
        <w:spacing w:before="120" w:after="120"/>
        <w:rPr>
          <w:bCs/>
          <w:sz w:val="20"/>
          <w:szCs w:val="20"/>
          <w:lang w:eastAsia="et-EE"/>
        </w:rPr>
      </w:pPr>
      <w:bookmarkStart w:id="226" w:name="_Ref346279653"/>
      <w:r w:rsidRPr="00C50854">
        <w:rPr>
          <w:b/>
          <w:bCs/>
          <w:sz w:val="20"/>
          <w:szCs w:val="20"/>
          <w:lang w:eastAsia="et-EE"/>
        </w:rPr>
        <w:t xml:space="preserve">Tabel </w:t>
      </w:r>
      <w:r w:rsidR="00341D2F" w:rsidRPr="00C50854">
        <w:rPr>
          <w:b/>
          <w:bCs/>
          <w:sz w:val="20"/>
          <w:szCs w:val="20"/>
          <w:lang w:eastAsia="et-EE"/>
        </w:rPr>
        <w:fldChar w:fldCharType="begin"/>
      </w:r>
      <w:r w:rsidR="00341D2F" w:rsidRPr="00C50854">
        <w:rPr>
          <w:b/>
          <w:bCs/>
          <w:sz w:val="20"/>
          <w:szCs w:val="20"/>
          <w:lang w:eastAsia="et-EE"/>
        </w:rPr>
        <w:instrText xml:space="preserve"> SEQ Tabel \* ARABIC </w:instrText>
      </w:r>
      <w:r w:rsidR="00341D2F" w:rsidRPr="00C50854">
        <w:rPr>
          <w:b/>
          <w:bCs/>
          <w:sz w:val="20"/>
          <w:szCs w:val="20"/>
          <w:lang w:eastAsia="et-EE"/>
        </w:rPr>
        <w:fldChar w:fldCharType="separate"/>
      </w:r>
      <w:r w:rsidR="00D24389" w:rsidRPr="00C50854">
        <w:rPr>
          <w:b/>
          <w:bCs/>
          <w:noProof/>
          <w:sz w:val="20"/>
          <w:szCs w:val="20"/>
          <w:lang w:eastAsia="et-EE"/>
        </w:rPr>
        <w:t>14</w:t>
      </w:r>
      <w:r w:rsidR="00341D2F" w:rsidRPr="00C50854">
        <w:rPr>
          <w:b/>
          <w:bCs/>
          <w:sz w:val="20"/>
          <w:szCs w:val="20"/>
          <w:lang w:eastAsia="et-EE"/>
        </w:rPr>
        <w:fldChar w:fldCharType="end"/>
      </w:r>
      <w:bookmarkEnd w:id="226"/>
      <w:r w:rsidRPr="00C50854">
        <w:rPr>
          <w:b/>
          <w:bCs/>
          <w:sz w:val="20"/>
          <w:szCs w:val="20"/>
          <w:lang w:eastAsia="et-EE"/>
        </w:rPr>
        <w:t xml:space="preserve">. </w:t>
      </w:r>
      <w:r w:rsidR="001463D6" w:rsidRPr="00C50854">
        <w:rPr>
          <w:bCs/>
          <w:sz w:val="20"/>
          <w:szCs w:val="20"/>
          <w:lang w:eastAsia="et-EE"/>
        </w:rPr>
        <w:t xml:space="preserve">Teistel sideettevõtjatele kasutusse antud kliendiliinide </w:t>
      </w:r>
      <w:r w:rsidR="004F0A22" w:rsidRPr="00C50854">
        <w:rPr>
          <w:bCs/>
          <w:sz w:val="20"/>
          <w:szCs w:val="20"/>
          <w:lang w:eastAsia="et-EE"/>
        </w:rPr>
        <w:t xml:space="preserve">arvu </w:t>
      </w:r>
      <w:r w:rsidR="001463D6" w:rsidRPr="00C50854">
        <w:rPr>
          <w:bCs/>
          <w:sz w:val="20"/>
          <w:szCs w:val="20"/>
          <w:lang w:eastAsia="et-EE"/>
        </w:rPr>
        <w:t>osakaalud</w:t>
      </w:r>
      <w:r w:rsidRPr="00C50854">
        <w:rPr>
          <w:bCs/>
          <w:sz w:val="20"/>
          <w:szCs w:val="20"/>
          <w:lang w:eastAsia="et-EE"/>
        </w:rPr>
        <w:t xml:space="preserve"> </w:t>
      </w:r>
      <w:r w:rsidR="00E901CB" w:rsidRPr="00C50854">
        <w:rPr>
          <w:bCs/>
          <w:sz w:val="20"/>
          <w:szCs w:val="20"/>
          <w:lang w:eastAsia="et-EE"/>
        </w:rPr>
        <w:t xml:space="preserve">perioodil </w:t>
      </w:r>
      <w:r w:rsidR="00C54721" w:rsidRPr="00C50854">
        <w:rPr>
          <w:bCs/>
          <w:sz w:val="20"/>
          <w:szCs w:val="20"/>
          <w:lang w:eastAsia="et-EE"/>
        </w:rPr>
        <w:t>201</w:t>
      </w:r>
      <w:r w:rsidR="00733FD4" w:rsidRPr="00C50854">
        <w:rPr>
          <w:bCs/>
          <w:sz w:val="20"/>
          <w:szCs w:val="20"/>
          <w:lang w:eastAsia="et-EE"/>
        </w:rPr>
        <w:t>5</w:t>
      </w:r>
      <w:r w:rsidR="000130AE" w:rsidRPr="00C50854">
        <w:rPr>
          <w:bCs/>
          <w:sz w:val="20"/>
          <w:szCs w:val="20"/>
          <w:lang w:eastAsia="et-EE"/>
        </w:rPr>
        <w:t>–I</w:t>
      </w:r>
      <w:r w:rsidR="00513125" w:rsidRPr="00C50854">
        <w:rPr>
          <w:bCs/>
          <w:sz w:val="20"/>
          <w:szCs w:val="20"/>
          <w:lang w:eastAsia="et-EE"/>
        </w:rPr>
        <w:t xml:space="preserve"> </w:t>
      </w:r>
      <w:r w:rsidR="00E473D6" w:rsidRPr="00C50854">
        <w:rPr>
          <w:bCs/>
          <w:sz w:val="20"/>
          <w:szCs w:val="20"/>
          <w:lang w:eastAsia="et-EE"/>
        </w:rPr>
        <w:t>p</w:t>
      </w:r>
      <w:r w:rsidR="002C14CD" w:rsidRPr="00C50854">
        <w:rPr>
          <w:bCs/>
          <w:sz w:val="20"/>
          <w:szCs w:val="20"/>
          <w:lang w:eastAsia="et-EE"/>
        </w:rPr>
        <w:t>oolaast</w:t>
      </w:r>
      <w:r w:rsidR="00E473D6" w:rsidRPr="00C50854">
        <w:rPr>
          <w:bCs/>
          <w:sz w:val="20"/>
          <w:szCs w:val="20"/>
          <w:lang w:eastAsia="et-EE"/>
        </w:rPr>
        <w:t>a</w:t>
      </w:r>
      <w:r w:rsidR="00513125" w:rsidRPr="00C50854">
        <w:rPr>
          <w:bCs/>
          <w:sz w:val="20"/>
          <w:szCs w:val="20"/>
          <w:lang w:eastAsia="et-EE"/>
        </w:rPr>
        <w:t xml:space="preserve"> 201</w:t>
      </w:r>
      <w:r w:rsidR="00E473D6" w:rsidRPr="00C50854">
        <w:rPr>
          <w:bCs/>
          <w:sz w:val="20"/>
          <w:szCs w:val="20"/>
          <w:lang w:eastAsia="et-EE"/>
        </w:rPr>
        <w:t>9</w:t>
      </w:r>
    </w:p>
    <w:p w14:paraId="23651265" w14:textId="0E4C8AD9"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Juurdepääsu turul osutavate teenuste mahud on </w:t>
      </w:r>
      <w:r w:rsidR="00CC05FF" w:rsidRPr="00C50854">
        <w:rPr>
          <w:lang w:eastAsia="et-EE"/>
        </w:rPr>
        <w:t xml:space="preserve">eelmise </w:t>
      </w:r>
      <w:r w:rsidRPr="00C50854">
        <w:rPr>
          <w:lang w:eastAsia="et-EE"/>
        </w:rPr>
        <w:t xml:space="preserve">ja käesoleva turuanalüüsis vaadeldava aja jooksul </w:t>
      </w:r>
      <w:r w:rsidR="00CC05FF" w:rsidRPr="00C50854">
        <w:rPr>
          <w:lang w:eastAsia="et-EE"/>
        </w:rPr>
        <w:t>pidevalt langenud</w:t>
      </w:r>
      <w:r w:rsidR="009C416D" w:rsidRPr="00C50854">
        <w:rPr>
          <w:lang w:eastAsia="et-EE"/>
        </w:rPr>
        <w:t>. Kui a</w:t>
      </w:r>
      <w:r w:rsidRPr="00C50854">
        <w:rPr>
          <w:lang w:eastAsia="et-EE"/>
        </w:rPr>
        <w:t xml:space="preserve">astatel </w:t>
      </w:r>
      <w:r w:rsidR="002D0150" w:rsidRPr="00C50854">
        <w:rPr>
          <w:lang w:eastAsia="et-EE"/>
        </w:rPr>
        <w:t>2005</w:t>
      </w:r>
      <w:r w:rsidR="004B3C3B" w:rsidRPr="00C50854">
        <w:rPr>
          <w:lang w:eastAsia="et-EE"/>
        </w:rPr>
        <w:t>-</w:t>
      </w:r>
      <w:r w:rsidR="002D0150" w:rsidRPr="00C50854">
        <w:rPr>
          <w:lang w:eastAsia="et-EE"/>
        </w:rPr>
        <w:t xml:space="preserve">2010 </w:t>
      </w:r>
      <w:r w:rsidRPr="00C50854">
        <w:rPr>
          <w:lang w:eastAsia="et-EE"/>
        </w:rPr>
        <w:t>kasvasid turu mahud ca</w:t>
      </w:r>
      <w:r w:rsidR="009C416D" w:rsidRPr="00C50854">
        <w:rPr>
          <w:lang w:eastAsia="et-EE"/>
        </w:rPr>
        <w:t xml:space="preserve"> </w:t>
      </w:r>
      <w:r w:rsidR="004B3C3B" w:rsidRPr="00C50854">
        <w:rPr>
          <w:lang w:eastAsia="et-EE"/>
        </w:rPr>
        <w:t>5-12</w:t>
      </w:r>
      <w:r w:rsidR="009C416D" w:rsidRPr="00C50854">
        <w:rPr>
          <w:lang w:eastAsia="et-EE"/>
        </w:rPr>
        <w:t>% aastas</w:t>
      </w:r>
      <w:r w:rsidR="00DB6556" w:rsidRPr="00C50854">
        <w:rPr>
          <w:lang w:eastAsia="et-EE"/>
        </w:rPr>
        <w:t>,</w:t>
      </w:r>
      <w:r w:rsidR="000226E1" w:rsidRPr="00C50854">
        <w:rPr>
          <w:lang w:eastAsia="et-EE"/>
        </w:rPr>
        <w:t xml:space="preserve"> siis</w:t>
      </w:r>
      <w:r w:rsidR="009C416D" w:rsidRPr="00C50854">
        <w:rPr>
          <w:lang w:eastAsia="et-EE"/>
        </w:rPr>
        <w:t xml:space="preserve"> aasta</w:t>
      </w:r>
      <w:r w:rsidR="000226E1" w:rsidRPr="00C50854">
        <w:rPr>
          <w:lang w:eastAsia="et-EE"/>
        </w:rPr>
        <w:t>tel</w:t>
      </w:r>
      <w:r w:rsidRPr="00C50854">
        <w:rPr>
          <w:lang w:eastAsia="et-EE"/>
        </w:rPr>
        <w:t xml:space="preserve"> 201</w:t>
      </w:r>
      <w:r w:rsidR="004B3C3B" w:rsidRPr="00C50854">
        <w:rPr>
          <w:lang w:eastAsia="et-EE"/>
        </w:rPr>
        <w:t>2</w:t>
      </w:r>
      <w:r w:rsidRPr="00C50854">
        <w:rPr>
          <w:lang w:eastAsia="et-EE"/>
        </w:rPr>
        <w:t>-201</w:t>
      </w:r>
      <w:r w:rsidR="004B3C3B" w:rsidRPr="00C50854">
        <w:rPr>
          <w:lang w:eastAsia="et-EE"/>
        </w:rPr>
        <w:t>6</w:t>
      </w:r>
      <w:r w:rsidRPr="00C50854">
        <w:rPr>
          <w:lang w:eastAsia="et-EE"/>
        </w:rPr>
        <w:t xml:space="preserve"> iseloomustab turgu teenuse </w:t>
      </w:r>
      <w:r w:rsidR="00910650" w:rsidRPr="00C50854">
        <w:rPr>
          <w:lang w:eastAsia="et-EE"/>
        </w:rPr>
        <w:t xml:space="preserve">mahtude </w:t>
      </w:r>
      <w:r w:rsidR="006D61FA" w:rsidRPr="00C50854">
        <w:rPr>
          <w:lang w:eastAsia="et-EE"/>
        </w:rPr>
        <w:t>ca 10-15</w:t>
      </w:r>
      <w:r w:rsidR="009C416D" w:rsidRPr="00C50854">
        <w:rPr>
          <w:lang w:eastAsia="et-EE"/>
        </w:rPr>
        <w:t xml:space="preserve">% </w:t>
      </w:r>
      <w:r w:rsidRPr="00C50854">
        <w:rPr>
          <w:lang w:eastAsia="et-EE"/>
        </w:rPr>
        <w:t>langus</w:t>
      </w:r>
      <w:r w:rsidR="00910650" w:rsidRPr="00C50854">
        <w:rPr>
          <w:lang w:eastAsia="et-EE"/>
        </w:rPr>
        <w:t xml:space="preserve"> aastas</w:t>
      </w:r>
      <w:r w:rsidRPr="00C50854">
        <w:rPr>
          <w:lang w:eastAsia="et-EE"/>
        </w:rPr>
        <w:t xml:space="preserve"> </w:t>
      </w:r>
      <w:r w:rsidR="00D42075" w:rsidRPr="00C50854">
        <w:rPr>
          <w:lang w:eastAsia="et-EE"/>
        </w:rPr>
        <w:t>ning 2019</w:t>
      </w:r>
      <w:r w:rsidR="00DB6556" w:rsidRPr="00C50854">
        <w:rPr>
          <w:lang w:eastAsia="et-EE"/>
        </w:rPr>
        <w:t>.</w:t>
      </w:r>
      <w:r w:rsidR="00D42075" w:rsidRPr="00C50854">
        <w:rPr>
          <w:lang w:eastAsia="et-EE"/>
        </w:rPr>
        <w:t xml:space="preserve"> aasta esimese poolaasta lõpuks on võrreldes 2016. aastaga lang</w:t>
      </w:r>
      <w:r w:rsidR="000226E1" w:rsidRPr="00C50854">
        <w:rPr>
          <w:lang w:eastAsia="et-EE"/>
        </w:rPr>
        <w:t xml:space="preserve">us oluliselt kiirenenud </w:t>
      </w:r>
      <w:r w:rsidR="00DB6556" w:rsidRPr="00C50854">
        <w:rPr>
          <w:lang w:eastAsia="et-EE"/>
        </w:rPr>
        <w:t>-</w:t>
      </w:r>
      <w:r w:rsidR="00D42075" w:rsidRPr="00C50854">
        <w:rPr>
          <w:lang w:eastAsia="et-EE"/>
        </w:rPr>
        <w:t xml:space="preserve"> </w:t>
      </w:r>
      <w:r w:rsidR="00AF3E4B" w:rsidRPr="00C50854">
        <w:rPr>
          <w:lang w:eastAsia="et-EE"/>
        </w:rPr>
        <w:t>...*</w:t>
      </w:r>
      <w:r w:rsidR="00D42075" w:rsidRPr="00C50854">
        <w:rPr>
          <w:lang w:eastAsia="et-EE"/>
        </w:rPr>
        <w:t xml:space="preserve">% </w:t>
      </w:r>
      <w:r w:rsidR="00910650" w:rsidRPr="00C50854">
        <w:rPr>
          <w:lang w:eastAsia="et-EE"/>
        </w:rPr>
        <w:t>(vt</w:t>
      </w:r>
      <w:r w:rsidR="0050489D" w:rsidRPr="00C50854">
        <w:rPr>
          <w:lang w:eastAsia="et-EE"/>
        </w:rPr>
        <w:t xml:space="preserve"> </w:t>
      </w:r>
      <w:r w:rsidR="00976AEB" w:rsidRPr="00C50854">
        <w:rPr>
          <w:lang w:eastAsia="et-EE"/>
        </w:rPr>
        <w:fldChar w:fldCharType="begin"/>
      </w:r>
      <w:r w:rsidR="00976AEB" w:rsidRPr="00C50854">
        <w:rPr>
          <w:lang w:eastAsia="et-EE"/>
        </w:rPr>
        <w:instrText xml:space="preserve"> REF _Ref42070281 \h </w:instrText>
      </w:r>
      <w:r w:rsidR="00C50854">
        <w:rPr>
          <w:lang w:eastAsia="et-EE"/>
        </w:rPr>
        <w:instrText xml:space="preserve"> \* MERGEFORMAT </w:instrText>
      </w:r>
      <w:r w:rsidR="00976AEB" w:rsidRPr="00C50854">
        <w:rPr>
          <w:lang w:eastAsia="et-EE"/>
        </w:rPr>
      </w:r>
      <w:r w:rsidR="00976AEB" w:rsidRPr="00C50854">
        <w:rPr>
          <w:lang w:eastAsia="et-EE"/>
        </w:rPr>
        <w:fldChar w:fldCharType="separate"/>
      </w:r>
      <w:r w:rsidR="00976AEB" w:rsidRPr="00C50854">
        <w:t xml:space="preserve">Joonis </w:t>
      </w:r>
      <w:r w:rsidR="00976AEB" w:rsidRPr="00C50854">
        <w:rPr>
          <w:noProof/>
        </w:rPr>
        <w:t>5</w:t>
      </w:r>
      <w:r w:rsidR="00976AEB" w:rsidRPr="00C50854">
        <w:rPr>
          <w:lang w:eastAsia="et-EE"/>
        </w:rPr>
        <w:fldChar w:fldCharType="end"/>
      </w:r>
      <w:r w:rsidRPr="00C50854">
        <w:rPr>
          <w:lang w:eastAsia="et-EE"/>
        </w:rPr>
        <w:t xml:space="preserve">). </w:t>
      </w:r>
    </w:p>
    <w:p w14:paraId="7EC258C8" w14:textId="796BAAA3" w:rsidR="00CC6E9A" w:rsidRPr="00C50854" w:rsidRDefault="00527079" w:rsidP="00CC6E9A">
      <w:pPr>
        <w:suppressAutoHyphens w:val="0"/>
        <w:spacing w:before="120" w:after="120"/>
        <w:rPr>
          <w:lang w:eastAsia="et-EE"/>
        </w:rPr>
      </w:pPr>
      <w:r w:rsidRPr="00C50854">
        <w:rPr>
          <w:noProof/>
        </w:rPr>
        <w:lastRenderedPageBreak/>
        <w:drawing>
          <wp:inline distT="0" distB="0" distL="0" distR="0" wp14:anchorId="327E199D" wp14:editId="285CF711">
            <wp:extent cx="5867400" cy="1981200"/>
            <wp:effectExtent l="0" t="0" r="0" b="0"/>
            <wp:docPr id="11" name="Diagramm 11">
              <a:extLst xmlns:a="http://schemas.openxmlformats.org/drawingml/2006/main">
                <a:ext uri="{FF2B5EF4-FFF2-40B4-BE49-F238E27FC236}">
                  <a16:creationId xmlns:a16="http://schemas.microsoft.com/office/drawing/2014/main" id="{F178EB7F-348A-4490-B7C6-299FE3898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98D480" w14:textId="634E6BCE" w:rsidR="00CC6E9A" w:rsidRPr="00C50854" w:rsidRDefault="00AC345F" w:rsidP="00D6793A">
      <w:pPr>
        <w:pStyle w:val="Pealdis"/>
        <w:rPr>
          <w:b w:val="0"/>
          <w:bCs w:val="0"/>
          <w:color w:val="000000"/>
          <w:lang w:eastAsia="et-EE"/>
        </w:rPr>
      </w:pPr>
      <w:bookmarkStart w:id="227" w:name="_Ref42070281"/>
      <w:r w:rsidRPr="00C50854">
        <w:t xml:space="preserve">Joonis </w:t>
      </w:r>
      <w:fldSimple w:instr=" SEQ Joonis \* ARABIC ">
        <w:r w:rsidR="00976AEB" w:rsidRPr="00C50854">
          <w:rPr>
            <w:noProof/>
          </w:rPr>
          <w:t>5</w:t>
        </w:r>
      </w:fldSimple>
      <w:bookmarkEnd w:id="227"/>
      <w:r w:rsidR="00C10A36" w:rsidRPr="00C50854">
        <w:rPr>
          <w:b w:val="0"/>
          <w:bCs w:val="0"/>
          <w:noProof/>
          <w:lang w:eastAsia="et-EE"/>
        </w:rPr>
        <w:t>.</w:t>
      </w:r>
      <w:r w:rsidR="00CC6E9A" w:rsidRPr="00C50854">
        <w:rPr>
          <w:b w:val="0"/>
          <w:bCs w:val="0"/>
          <w:lang w:eastAsia="et-EE"/>
        </w:rPr>
        <w:t xml:space="preserve"> </w:t>
      </w:r>
      <w:r w:rsidR="00E901CB" w:rsidRPr="00C50854">
        <w:rPr>
          <w:b w:val="0"/>
          <w:bCs w:val="0"/>
          <w:lang w:eastAsia="et-EE"/>
        </w:rPr>
        <w:t>Teistele sideettevõtjatele k</w:t>
      </w:r>
      <w:r w:rsidR="00CC6E9A" w:rsidRPr="00C50854">
        <w:rPr>
          <w:b w:val="0"/>
          <w:bCs w:val="0"/>
          <w:lang w:eastAsia="et-EE"/>
        </w:rPr>
        <w:t>asutada antud kliendiliinid</w:t>
      </w:r>
      <w:r w:rsidR="00E901CB" w:rsidRPr="00C50854">
        <w:rPr>
          <w:b w:val="0"/>
          <w:bCs w:val="0"/>
          <w:lang w:eastAsia="et-EE"/>
        </w:rPr>
        <w:t>e arv</w:t>
      </w:r>
      <w:r w:rsidR="00CC6E9A" w:rsidRPr="00C50854">
        <w:rPr>
          <w:b w:val="0"/>
          <w:bCs w:val="0"/>
          <w:lang w:eastAsia="et-EE"/>
        </w:rPr>
        <w:t xml:space="preserve"> </w:t>
      </w:r>
      <w:r w:rsidR="00E901CB" w:rsidRPr="00C50854">
        <w:rPr>
          <w:b w:val="0"/>
          <w:bCs w:val="0"/>
          <w:lang w:eastAsia="et-EE"/>
        </w:rPr>
        <w:t>perioodil</w:t>
      </w:r>
      <w:r w:rsidR="00CC6E9A" w:rsidRPr="00C50854">
        <w:rPr>
          <w:b w:val="0"/>
          <w:bCs w:val="0"/>
          <w:lang w:eastAsia="et-EE"/>
        </w:rPr>
        <w:t xml:space="preserve"> 2012</w:t>
      </w:r>
      <w:r w:rsidR="000130AE" w:rsidRPr="00C50854">
        <w:rPr>
          <w:b w:val="0"/>
          <w:bCs w:val="0"/>
          <w:lang w:eastAsia="et-EE"/>
        </w:rPr>
        <w:t>-2016 I</w:t>
      </w:r>
      <w:r w:rsidR="00F03B0C" w:rsidRPr="00C50854">
        <w:rPr>
          <w:b w:val="0"/>
          <w:bCs w:val="0"/>
          <w:lang w:eastAsia="et-EE"/>
        </w:rPr>
        <w:t xml:space="preserve"> kv</w:t>
      </w:r>
    </w:p>
    <w:p w14:paraId="1C8E6A49" w14:textId="2557C507" w:rsidR="00D86A1B" w:rsidRPr="00C50854" w:rsidRDefault="00500305"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Eelmisi </w:t>
      </w:r>
      <w:r w:rsidR="00EE5543" w:rsidRPr="00C50854">
        <w:rPr>
          <w:lang w:eastAsia="et-EE"/>
        </w:rPr>
        <w:t>turuanalüüs</w:t>
      </w:r>
      <w:r w:rsidRPr="00C50854">
        <w:rPr>
          <w:lang w:eastAsia="et-EE"/>
        </w:rPr>
        <w:t>e</w:t>
      </w:r>
      <w:r w:rsidR="00EE5543" w:rsidRPr="00C50854">
        <w:rPr>
          <w:lang w:eastAsia="et-EE"/>
        </w:rPr>
        <w:t xml:space="preserve"> </w:t>
      </w:r>
      <w:r w:rsidRPr="00C50854">
        <w:rPr>
          <w:lang w:eastAsia="et-EE"/>
        </w:rPr>
        <w:t>läbivalt saatnud</w:t>
      </w:r>
      <w:r w:rsidR="003D05BE" w:rsidRPr="00C50854">
        <w:rPr>
          <w:lang w:eastAsia="et-EE"/>
        </w:rPr>
        <w:t xml:space="preserve"> </w:t>
      </w:r>
      <w:r w:rsidR="00684117" w:rsidRPr="00C50854">
        <w:rPr>
          <w:lang w:eastAsia="et-EE"/>
        </w:rPr>
        <w:t>kasutada antud vask</w:t>
      </w:r>
      <w:r w:rsidR="00DB6556" w:rsidRPr="00C50854">
        <w:rPr>
          <w:lang w:eastAsia="et-EE"/>
        </w:rPr>
        <w:t>kaabli</w:t>
      </w:r>
      <w:r w:rsidR="00684117" w:rsidRPr="00C50854">
        <w:rPr>
          <w:lang w:eastAsia="et-EE"/>
        </w:rPr>
        <w:t>paaride mahtude langus jätkus ka vaadeldaval perioodil</w:t>
      </w:r>
      <w:r w:rsidR="00CC6E9A" w:rsidRPr="00C50854">
        <w:rPr>
          <w:lang w:eastAsia="et-EE"/>
        </w:rPr>
        <w:t>. Juurdepääsu</w:t>
      </w:r>
      <w:r w:rsidR="00684117" w:rsidRPr="00C50854">
        <w:rPr>
          <w:lang w:eastAsia="et-EE"/>
        </w:rPr>
        <w:t xml:space="preserve"> </w:t>
      </w:r>
      <w:r w:rsidR="003E4623" w:rsidRPr="00C50854">
        <w:rPr>
          <w:lang w:eastAsia="et-EE"/>
        </w:rPr>
        <w:t>hulgi</w:t>
      </w:r>
      <w:r w:rsidR="00684117" w:rsidRPr="00C50854">
        <w:rPr>
          <w:lang w:eastAsia="et-EE"/>
        </w:rPr>
        <w:t>teenuse o</w:t>
      </w:r>
      <w:r w:rsidR="00FC49A5" w:rsidRPr="00C50854">
        <w:rPr>
          <w:lang w:eastAsia="et-EE"/>
        </w:rPr>
        <w:t>sutamise mahud on 201</w:t>
      </w:r>
      <w:r w:rsidR="00D42075" w:rsidRPr="00C50854">
        <w:rPr>
          <w:lang w:eastAsia="et-EE"/>
        </w:rPr>
        <w:t>9</w:t>
      </w:r>
      <w:r w:rsidR="00FC49A5" w:rsidRPr="00C50854">
        <w:rPr>
          <w:lang w:eastAsia="et-EE"/>
        </w:rPr>
        <w:t>. aasta I</w:t>
      </w:r>
      <w:r w:rsidR="00CC6E9A" w:rsidRPr="00C50854">
        <w:rPr>
          <w:lang w:eastAsia="et-EE"/>
        </w:rPr>
        <w:t xml:space="preserve"> </w:t>
      </w:r>
      <w:r w:rsidR="00D42075" w:rsidRPr="00C50854">
        <w:rPr>
          <w:lang w:eastAsia="et-EE"/>
        </w:rPr>
        <w:t xml:space="preserve">poolaasta </w:t>
      </w:r>
      <w:r w:rsidR="00684117" w:rsidRPr="00C50854">
        <w:rPr>
          <w:lang w:eastAsia="et-EE"/>
        </w:rPr>
        <w:t xml:space="preserve">lõpuks </w:t>
      </w:r>
      <w:r w:rsidR="00882BB6" w:rsidRPr="00C50854">
        <w:rPr>
          <w:lang w:eastAsia="et-EE"/>
        </w:rPr>
        <w:t xml:space="preserve">vähenenud </w:t>
      </w:r>
      <w:r w:rsidR="00D42075" w:rsidRPr="00C50854">
        <w:rPr>
          <w:lang w:eastAsia="et-EE"/>
        </w:rPr>
        <w:t>754 vaskpaar kliendiliinini</w:t>
      </w:r>
      <w:r w:rsidR="005F65B3" w:rsidRPr="00C50854">
        <w:rPr>
          <w:lang w:eastAsia="et-EE"/>
        </w:rPr>
        <w:t>.</w:t>
      </w:r>
      <w:r w:rsidR="00D86A1B" w:rsidRPr="00C50854">
        <w:rPr>
          <w:lang w:eastAsia="et-EE"/>
        </w:rPr>
        <w:t xml:space="preserve"> </w:t>
      </w:r>
    </w:p>
    <w:p w14:paraId="34D54212" w14:textId="03D03892" w:rsidR="00D86A1B" w:rsidRPr="00C50854" w:rsidRDefault="00D86A1B" w:rsidP="00311E1F">
      <w:pPr>
        <w:numPr>
          <w:ilvl w:val="0"/>
          <w:numId w:val="13"/>
        </w:numPr>
        <w:suppressAutoHyphens w:val="0"/>
        <w:autoSpaceDE w:val="0"/>
        <w:autoSpaceDN w:val="0"/>
        <w:adjustRightInd w:val="0"/>
        <w:spacing w:before="120" w:after="120"/>
        <w:jc w:val="both"/>
        <w:rPr>
          <w:lang w:eastAsia="et-EE"/>
        </w:rPr>
      </w:pPr>
      <w:r w:rsidRPr="00C50854">
        <w:rPr>
          <w:lang w:eastAsia="et-EE"/>
        </w:rPr>
        <w:t>Nimetatud liinide puhul on 99% tegemist tavalise vaskkaablipaari rendi juurdepääsuteenusega.</w:t>
      </w:r>
      <w:r w:rsidR="000226E1" w:rsidRPr="00C50854">
        <w:rPr>
          <w:lang w:eastAsia="et-EE"/>
        </w:rPr>
        <w:t xml:space="preserve"> </w:t>
      </w:r>
      <w:r w:rsidR="00993D33" w:rsidRPr="00C50854">
        <w:rPr>
          <w:lang w:eastAsia="et-EE"/>
        </w:rPr>
        <w:t xml:space="preserve">Suure tõenäosusega </w:t>
      </w:r>
      <w:r w:rsidR="000226E1" w:rsidRPr="00C50854">
        <w:rPr>
          <w:lang w:eastAsia="et-EE"/>
        </w:rPr>
        <w:t xml:space="preserve">aasta möödudes </w:t>
      </w:r>
      <w:r w:rsidR="0035339C" w:rsidRPr="00C50854">
        <w:rPr>
          <w:lang w:eastAsia="et-EE"/>
        </w:rPr>
        <w:t xml:space="preserve">ei soovi </w:t>
      </w:r>
      <w:r w:rsidR="009423E1" w:rsidRPr="00C50854">
        <w:rPr>
          <w:lang w:eastAsia="et-EE"/>
        </w:rPr>
        <w:t>vaskpaarjuurdepääsu teenuseid enam ükski teenuse osutaja tarbida.</w:t>
      </w:r>
    </w:p>
    <w:p w14:paraId="29181943" w14:textId="594D3DF0" w:rsidR="003E4623" w:rsidRPr="00C50854" w:rsidRDefault="003E4623" w:rsidP="00311E1F">
      <w:pPr>
        <w:numPr>
          <w:ilvl w:val="0"/>
          <w:numId w:val="13"/>
        </w:numPr>
        <w:suppressAutoHyphens w:val="0"/>
        <w:autoSpaceDE w:val="0"/>
        <w:autoSpaceDN w:val="0"/>
        <w:adjustRightInd w:val="0"/>
        <w:spacing w:before="120" w:after="120"/>
        <w:jc w:val="both"/>
        <w:rPr>
          <w:lang w:eastAsia="et-EE"/>
        </w:rPr>
      </w:pPr>
      <w:r w:rsidRPr="00C50854">
        <w:rPr>
          <w:lang w:eastAsia="et-EE"/>
        </w:rPr>
        <w:t>Nagu</w:t>
      </w:r>
      <w:r w:rsidR="002C14CD" w:rsidRPr="00C50854">
        <w:rPr>
          <w:lang w:eastAsia="et-EE"/>
        </w:rPr>
        <w:t xml:space="preserve"> </w:t>
      </w:r>
      <w:r w:rsidR="00976AEB" w:rsidRPr="00C50854">
        <w:rPr>
          <w:lang w:eastAsia="et-EE"/>
        </w:rPr>
        <w:t>al</w:t>
      </w:r>
      <w:r w:rsidR="002C14CD" w:rsidRPr="00C50854">
        <w:rPr>
          <w:lang w:eastAsia="et-EE"/>
        </w:rPr>
        <w:t>ltoodu</w:t>
      </w:r>
      <w:r w:rsidR="00976AEB" w:rsidRPr="00C50854">
        <w:rPr>
          <w:lang w:eastAsia="et-EE"/>
        </w:rPr>
        <w:t>st</w:t>
      </w:r>
      <w:r w:rsidR="002C14CD" w:rsidRPr="00C50854">
        <w:rPr>
          <w:lang w:eastAsia="et-EE"/>
        </w:rPr>
        <w:t xml:space="preserve"> (</w:t>
      </w:r>
      <w:r w:rsidRPr="00C50854">
        <w:rPr>
          <w:lang w:eastAsia="et-EE"/>
        </w:rPr>
        <w:fldChar w:fldCharType="begin"/>
      </w:r>
      <w:r w:rsidRPr="00C50854">
        <w:rPr>
          <w:lang w:eastAsia="et-EE"/>
        </w:rPr>
        <w:instrText xml:space="preserve"> REF _Ref463614769 \h </w:instrText>
      </w:r>
      <w:r w:rsidR="00072A34" w:rsidRPr="00C50854">
        <w:rPr>
          <w:lang w:eastAsia="et-EE"/>
        </w:rPr>
        <w:instrText xml:space="preserve"> \* MERGEFORMAT </w:instrText>
      </w:r>
      <w:r w:rsidRPr="00C50854">
        <w:rPr>
          <w:lang w:eastAsia="et-EE"/>
        </w:rPr>
      </w:r>
      <w:r w:rsidRPr="00C50854">
        <w:rPr>
          <w:lang w:eastAsia="et-EE"/>
        </w:rPr>
        <w:fldChar w:fldCharType="separate"/>
      </w:r>
      <w:r w:rsidR="0035339C" w:rsidRPr="00C50854">
        <w:rPr>
          <w:lang w:eastAsia="et-EE"/>
        </w:rPr>
        <w:t>Tabel 15</w:t>
      </w:r>
      <w:r w:rsidRPr="00C50854">
        <w:rPr>
          <w:lang w:eastAsia="et-EE"/>
        </w:rPr>
        <w:fldChar w:fldCharType="end"/>
      </w:r>
      <w:r w:rsidR="002C14CD" w:rsidRPr="00C50854">
        <w:rPr>
          <w:lang w:eastAsia="et-EE"/>
        </w:rPr>
        <w:t xml:space="preserve">) </w:t>
      </w:r>
      <w:r w:rsidRPr="00C50854">
        <w:rPr>
          <w:lang w:eastAsia="et-EE"/>
        </w:rPr>
        <w:t>näha võib on täieliku juurdepääsuga valguskaabel kliendiliinide arv hulgitasandil peaaegu olematu. Telial oli 201</w:t>
      </w:r>
      <w:r w:rsidR="0026639F" w:rsidRPr="00C50854">
        <w:rPr>
          <w:lang w:eastAsia="et-EE"/>
        </w:rPr>
        <w:t>8</w:t>
      </w:r>
      <w:r w:rsidR="00DB6556" w:rsidRPr="00C50854">
        <w:rPr>
          <w:lang w:eastAsia="et-EE"/>
        </w:rPr>
        <w:t>.</w:t>
      </w:r>
      <w:r w:rsidRPr="00C50854">
        <w:rPr>
          <w:lang w:eastAsia="et-EE"/>
        </w:rPr>
        <w:t xml:space="preserve"> aasta seisuga hulgitasandil </w:t>
      </w:r>
      <w:r w:rsidR="00FA36E0" w:rsidRPr="00C50854">
        <w:rPr>
          <w:lang w:eastAsia="et-EE"/>
        </w:rPr>
        <w:t xml:space="preserve">välja </w:t>
      </w:r>
      <w:r w:rsidR="007578FA" w:rsidRPr="00C50854">
        <w:rPr>
          <w:lang w:eastAsia="et-EE"/>
        </w:rPr>
        <w:t xml:space="preserve">renditud </w:t>
      </w:r>
      <w:r w:rsidRPr="00C50854">
        <w:rPr>
          <w:lang w:eastAsia="et-EE"/>
        </w:rPr>
        <w:t>6 täieliku juurdepääsuga valguskaabel kliendiliini</w:t>
      </w:r>
      <w:r w:rsidR="0026639F" w:rsidRPr="00C50854">
        <w:rPr>
          <w:lang w:eastAsia="et-EE"/>
        </w:rPr>
        <w:t xml:space="preserve"> ja</w:t>
      </w:r>
      <w:r w:rsidRPr="00C50854">
        <w:rPr>
          <w:lang w:eastAsia="et-EE"/>
        </w:rPr>
        <w:t xml:space="preserve"> Elisal </w:t>
      </w:r>
      <w:r w:rsidR="00AF3E4B" w:rsidRPr="00C50854">
        <w:rPr>
          <w:lang w:eastAsia="et-EE"/>
        </w:rPr>
        <w:t>...*</w:t>
      </w:r>
      <w:r w:rsidRPr="00C50854">
        <w:rPr>
          <w:lang w:eastAsia="et-EE"/>
        </w:rPr>
        <w:t xml:space="preserve">. </w:t>
      </w:r>
    </w:p>
    <w:tbl>
      <w:tblPr>
        <w:tblW w:w="932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485"/>
        <w:gridCol w:w="4836"/>
      </w:tblGrid>
      <w:tr w:rsidR="006A0058" w:rsidRPr="00C50854" w14:paraId="29D3A88C" w14:textId="77777777" w:rsidTr="0026639F">
        <w:trPr>
          <w:trHeight w:val="337"/>
        </w:trPr>
        <w:tc>
          <w:tcPr>
            <w:tcW w:w="4485" w:type="dxa"/>
            <w:tcBorders>
              <w:top w:val="double" w:sz="4" w:space="0" w:color="auto"/>
              <w:bottom w:val="double" w:sz="4" w:space="0" w:color="auto"/>
            </w:tcBorders>
            <w:shd w:val="clear" w:color="auto" w:fill="CCFFCC"/>
            <w:noWrap/>
            <w:vAlign w:val="bottom"/>
            <w:hideMark/>
          </w:tcPr>
          <w:p w14:paraId="13756BD0" w14:textId="74CE99C6" w:rsidR="006A0058" w:rsidRPr="00C50854" w:rsidRDefault="006A0058" w:rsidP="006E4EFF">
            <w:pPr>
              <w:suppressAutoHyphens w:val="0"/>
              <w:rPr>
                <w:b/>
                <w:sz w:val="20"/>
                <w:szCs w:val="20"/>
                <w:lang w:eastAsia="et-EE"/>
              </w:rPr>
            </w:pPr>
            <w:r w:rsidRPr="00C50854">
              <w:rPr>
                <w:b/>
                <w:sz w:val="20"/>
                <w:szCs w:val="20"/>
                <w:lang w:eastAsia="et-EE"/>
              </w:rPr>
              <w:t> Ettevõtja</w:t>
            </w:r>
          </w:p>
        </w:tc>
        <w:tc>
          <w:tcPr>
            <w:tcW w:w="4836" w:type="dxa"/>
            <w:tcBorders>
              <w:top w:val="double" w:sz="4" w:space="0" w:color="auto"/>
              <w:bottom w:val="double" w:sz="4" w:space="0" w:color="auto"/>
            </w:tcBorders>
            <w:shd w:val="clear" w:color="auto" w:fill="CCFFCC"/>
            <w:noWrap/>
            <w:vAlign w:val="bottom"/>
            <w:hideMark/>
          </w:tcPr>
          <w:p w14:paraId="27C0C85F" w14:textId="2EAC3087" w:rsidR="006A0058" w:rsidRPr="00C50854" w:rsidRDefault="006A0058" w:rsidP="006E4EFF">
            <w:pPr>
              <w:suppressAutoHyphens w:val="0"/>
              <w:jc w:val="center"/>
              <w:rPr>
                <w:b/>
                <w:sz w:val="20"/>
                <w:szCs w:val="20"/>
                <w:lang w:eastAsia="et-EE"/>
              </w:rPr>
            </w:pPr>
            <w:r w:rsidRPr="00C50854">
              <w:rPr>
                <w:b/>
                <w:sz w:val="20"/>
                <w:szCs w:val="20"/>
                <w:lang w:eastAsia="et-EE"/>
              </w:rPr>
              <w:t>201</w:t>
            </w:r>
            <w:r w:rsidR="006443E4" w:rsidRPr="00C50854">
              <w:rPr>
                <w:b/>
                <w:sz w:val="20"/>
                <w:szCs w:val="20"/>
                <w:lang w:eastAsia="et-EE"/>
              </w:rPr>
              <w:t>8</w:t>
            </w:r>
          </w:p>
        </w:tc>
      </w:tr>
      <w:tr w:rsidR="006A0058" w:rsidRPr="00C50854" w14:paraId="7FFF0BE9" w14:textId="77777777" w:rsidTr="0026639F">
        <w:trPr>
          <w:trHeight w:val="337"/>
        </w:trPr>
        <w:tc>
          <w:tcPr>
            <w:tcW w:w="4485" w:type="dxa"/>
            <w:tcBorders>
              <w:top w:val="double" w:sz="4" w:space="0" w:color="auto"/>
              <w:bottom w:val="double" w:sz="4" w:space="0" w:color="auto"/>
              <w:right w:val="double" w:sz="4" w:space="0" w:color="auto"/>
            </w:tcBorders>
            <w:shd w:val="clear" w:color="auto" w:fill="auto"/>
            <w:noWrap/>
            <w:vAlign w:val="bottom"/>
            <w:hideMark/>
          </w:tcPr>
          <w:p w14:paraId="6E9E9BD9" w14:textId="77777777" w:rsidR="006A0058" w:rsidRPr="00C50854" w:rsidRDefault="006A0058" w:rsidP="006E4EFF">
            <w:pPr>
              <w:suppressAutoHyphens w:val="0"/>
              <w:rPr>
                <w:sz w:val="20"/>
                <w:szCs w:val="20"/>
                <w:lang w:eastAsia="et-EE"/>
              </w:rPr>
            </w:pPr>
            <w:r w:rsidRPr="00C50854">
              <w:rPr>
                <w:sz w:val="20"/>
                <w:szCs w:val="20"/>
                <w:lang w:eastAsia="et-EE"/>
              </w:rPr>
              <w:t>Elisa</w:t>
            </w:r>
          </w:p>
        </w:tc>
        <w:tc>
          <w:tcPr>
            <w:tcW w:w="4836" w:type="dxa"/>
            <w:tcBorders>
              <w:top w:val="double" w:sz="4" w:space="0" w:color="auto"/>
              <w:left w:val="double" w:sz="4" w:space="0" w:color="auto"/>
              <w:bottom w:val="double" w:sz="4" w:space="0" w:color="auto"/>
            </w:tcBorders>
            <w:shd w:val="clear" w:color="auto" w:fill="auto"/>
            <w:noWrap/>
            <w:vAlign w:val="bottom"/>
            <w:hideMark/>
          </w:tcPr>
          <w:p w14:paraId="5B16426C" w14:textId="61D9AC13" w:rsidR="006A0058" w:rsidRPr="00C50854" w:rsidRDefault="00AF3E4B" w:rsidP="006E4EFF">
            <w:pPr>
              <w:suppressAutoHyphens w:val="0"/>
              <w:jc w:val="center"/>
              <w:rPr>
                <w:sz w:val="20"/>
              </w:rPr>
            </w:pPr>
            <w:r w:rsidRPr="00C50854">
              <w:rPr>
                <w:sz w:val="20"/>
              </w:rPr>
              <w:t>...*</w:t>
            </w:r>
          </w:p>
        </w:tc>
      </w:tr>
      <w:tr w:rsidR="006A0058" w:rsidRPr="00C50854" w14:paraId="5A070272" w14:textId="77777777" w:rsidTr="0026639F">
        <w:trPr>
          <w:trHeight w:val="414"/>
        </w:trPr>
        <w:tc>
          <w:tcPr>
            <w:tcW w:w="4485" w:type="dxa"/>
            <w:tcBorders>
              <w:top w:val="double" w:sz="4" w:space="0" w:color="auto"/>
              <w:bottom w:val="double" w:sz="4" w:space="0" w:color="auto"/>
              <w:right w:val="double" w:sz="4" w:space="0" w:color="auto"/>
            </w:tcBorders>
            <w:shd w:val="clear" w:color="auto" w:fill="auto"/>
            <w:noWrap/>
            <w:vAlign w:val="bottom"/>
            <w:hideMark/>
          </w:tcPr>
          <w:p w14:paraId="7678F250" w14:textId="77777777" w:rsidR="006A0058" w:rsidRPr="00C50854" w:rsidRDefault="006A0058" w:rsidP="006E4EFF">
            <w:pPr>
              <w:suppressAutoHyphens w:val="0"/>
              <w:rPr>
                <w:sz w:val="20"/>
                <w:szCs w:val="20"/>
                <w:lang w:eastAsia="et-EE"/>
              </w:rPr>
            </w:pPr>
            <w:r w:rsidRPr="00C50854">
              <w:rPr>
                <w:sz w:val="20"/>
                <w:szCs w:val="20"/>
                <w:lang w:eastAsia="et-EE"/>
              </w:rPr>
              <w:t>Telia</w:t>
            </w:r>
          </w:p>
        </w:tc>
        <w:tc>
          <w:tcPr>
            <w:tcW w:w="4836" w:type="dxa"/>
            <w:tcBorders>
              <w:top w:val="double" w:sz="4" w:space="0" w:color="auto"/>
              <w:left w:val="double" w:sz="4" w:space="0" w:color="auto"/>
              <w:bottom w:val="double" w:sz="4" w:space="0" w:color="auto"/>
            </w:tcBorders>
            <w:shd w:val="clear" w:color="auto" w:fill="auto"/>
            <w:noWrap/>
            <w:vAlign w:val="bottom"/>
            <w:hideMark/>
          </w:tcPr>
          <w:p w14:paraId="7BC89B9E" w14:textId="0289A9CD" w:rsidR="006A0058" w:rsidRPr="00C50854" w:rsidRDefault="00305C05" w:rsidP="006E4EFF">
            <w:pPr>
              <w:suppressAutoHyphens w:val="0"/>
              <w:jc w:val="center"/>
              <w:rPr>
                <w:sz w:val="20"/>
              </w:rPr>
            </w:pPr>
            <w:r>
              <w:rPr>
                <w:sz w:val="20"/>
              </w:rPr>
              <w:t>…*</w:t>
            </w:r>
          </w:p>
        </w:tc>
      </w:tr>
      <w:tr w:rsidR="006A0058" w:rsidRPr="00C50854" w14:paraId="240B9090" w14:textId="77777777" w:rsidTr="0026639F">
        <w:trPr>
          <w:trHeight w:val="337"/>
        </w:trPr>
        <w:tc>
          <w:tcPr>
            <w:tcW w:w="4485" w:type="dxa"/>
            <w:tcBorders>
              <w:top w:val="double" w:sz="4" w:space="0" w:color="auto"/>
              <w:bottom w:val="double" w:sz="4" w:space="0" w:color="auto"/>
            </w:tcBorders>
            <w:shd w:val="clear" w:color="auto" w:fill="auto"/>
            <w:noWrap/>
            <w:vAlign w:val="bottom"/>
            <w:hideMark/>
          </w:tcPr>
          <w:p w14:paraId="59F5BE88" w14:textId="77777777" w:rsidR="006A0058" w:rsidRPr="00C50854" w:rsidRDefault="006A0058" w:rsidP="006E4EFF">
            <w:pPr>
              <w:suppressAutoHyphens w:val="0"/>
              <w:rPr>
                <w:b/>
                <w:sz w:val="20"/>
                <w:szCs w:val="20"/>
                <w:lang w:eastAsia="et-EE"/>
              </w:rPr>
            </w:pPr>
            <w:r w:rsidRPr="00C50854">
              <w:rPr>
                <w:b/>
                <w:sz w:val="20"/>
                <w:szCs w:val="20"/>
                <w:lang w:eastAsia="et-EE"/>
              </w:rPr>
              <w:t>Kokku</w:t>
            </w:r>
          </w:p>
        </w:tc>
        <w:tc>
          <w:tcPr>
            <w:tcW w:w="4836" w:type="dxa"/>
            <w:tcBorders>
              <w:top w:val="double" w:sz="4" w:space="0" w:color="auto"/>
              <w:bottom w:val="double" w:sz="4" w:space="0" w:color="auto"/>
            </w:tcBorders>
            <w:shd w:val="clear" w:color="auto" w:fill="auto"/>
            <w:noWrap/>
            <w:vAlign w:val="bottom"/>
            <w:hideMark/>
          </w:tcPr>
          <w:p w14:paraId="39704B75" w14:textId="58C5EF9A" w:rsidR="006A0058" w:rsidRPr="00C50854" w:rsidRDefault="006A0058" w:rsidP="006E4EFF">
            <w:pPr>
              <w:suppressAutoHyphens w:val="0"/>
              <w:jc w:val="center"/>
              <w:rPr>
                <w:b/>
                <w:sz w:val="20"/>
                <w:szCs w:val="20"/>
                <w:lang w:eastAsia="et-EE"/>
              </w:rPr>
            </w:pPr>
            <w:r w:rsidRPr="00C50854">
              <w:rPr>
                <w:b/>
                <w:sz w:val="20"/>
                <w:szCs w:val="20"/>
                <w:lang w:eastAsia="et-EE"/>
              </w:rPr>
              <w:t>1</w:t>
            </w:r>
            <w:r w:rsidR="0026639F" w:rsidRPr="00C50854">
              <w:rPr>
                <w:b/>
                <w:sz w:val="20"/>
                <w:szCs w:val="20"/>
                <w:lang w:eastAsia="et-EE"/>
              </w:rPr>
              <w:t>0</w:t>
            </w:r>
          </w:p>
        </w:tc>
      </w:tr>
    </w:tbl>
    <w:p w14:paraId="444F37A8" w14:textId="6B70D120" w:rsidR="006A0058" w:rsidRPr="00C50854" w:rsidRDefault="006A0058" w:rsidP="006A0058">
      <w:pPr>
        <w:pStyle w:val="Pealdis"/>
        <w:rPr>
          <w:b w:val="0"/>
          <w:lang w:eastAsia="et-EE"/>
        </w:rPr>
      </w:pPr>
      <w:bookmarkStart w:id="228" w:name="_Ref463614769"/>
      <w:r w:rsidRPr="00C50854">
        <w:t xml:space="preserve">Tabel </w:t>
      </w:r>
      <w:fldSimple w:instr=" SEQ Tabel \* ARABIC ">
        <w:r w:rsidR="00D24389" w:rsidRPr="00C50854">
          <w:rPr>
            <w:noProof/>
          </w:rPr>
          <w:t>15</w:t>
        </w:r>
      </w:fldSimple>
      <w:bookmarkEnd w:id="228"/>
      <w:r w:rsidRPr="00C50854">
        <w:t xml:space="preserve"> </w:t>
      </w:r>
      <w:r w:rsidRPr="00C50854">
        <w:rPr>
          <w:b w:val="0"/>
          <w:lang w:eastAsia="et-EE"/>
        </w:rPr>
        <w:t>Täieliku juurdepääsuga (</w:t>
      </w:r>
      <w:proofErr w:type="spellStart"/>
      <w:r w:rsidRPr="00C50854">
        <w:rPr>
          <w:b w:val="0"/>
          <w:i/>
          <w:lang w:eastAsia="et-EE"/>
        </w:rPr>
        <w:t>fully</w:t>
      </w:r>
      <w:proofErr w:type="spellEnd"/>
      <w:r w:rsidRPr="00C50854">
        <w:rPr>
          <w:b w:val="0"/>
          <w:i/>
          <w:lang w:eastAsia="et-EE"/>
        </w:rPr>
        <w:t xml:space="preserve"> </w:t>
      </w:r>
      <w:proofErr w:type="spellStart"/>
      <w:r w:rsidRPr="00C50854">
        <w:rPr>
          <w:b w:val="0"/>
          <w:i/>
          <w:lang w:eastAsia="et-EE"/>
        </w:rPr>
        <w:t>unbundled</w:t>
      </w:r>
      <w:proofErr w:type="spellEnd"/>
      <w:r w:rsidRPr="00C50854">
        <w:rPr>
          <w:b w:val="0"/>
          <w:i/>
          <w:lang w:eastAsia="et-EE"/>
        </w:rPr>
        <w:t xml:space="preserve"> </w:t>
      </w:r>
      <w:proofErr w:type="spellStart"/>
      <w:r w:rsidRPr="00C50854">
        <w:rPr>
          <w:b w:val="0"/>
          <w:i/>
          <w:lang w:eastAsia="et-EE"/>
        </w:rPr>
        <w:t>access</w:t>
      </w:r>
      <w:proofErr w:type="spellEnd"/>
      <w:r w:rsidRPr="00C50854">
        <w:rPr>
          <w:b w:val="0"/>
          <w:lang w:eastAsia="et-EE"/>
        </w:rPr>
        <w:t>) valguskaabel kliendiliinide arv 201</w:t>
      </w:r>
      <w:r w:rsidR="0026639F" w:rsidRPr="00C50854">
        <w:rPr>
          <w:b w:val="0"/>
          <w:lang w:eastAsia="et-EE"/>
        </w:rPr>
        <w:t>8</w:t>
      </w:r>
    </w:p>
    <w:p w14:paraId="273EDC02" w14:textId="4586D958" w:rsidR="00D86A1B"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Kõik analüüsi kaasatud ettevõtjad varustavad vertikaalselt integreeritud ettevõtjana ennast vaskpaarile ja/või valguskaablile juurdepääsu </w:t>
      </w:r>
      <w:proofErr w:type="spellStart"/>
      <w:r w:rsidR="003E4623" w:rsidRPr="00C50854">
        <w:rPr>
          <w:lang w:eastAsia="et-EE"/>
        </w:rPr>
        <w:t>hulgi</w:t>
      </w:r>
      <w:r w:rsidRPr="00C50854">
        <w:rPr>
          <w:lang w:eastAsia="et-EE"/>
        </w:rPr>
        <w:t>teenustega</w:t>
      </w:r>
      <w:proofErr w:type="spellEnd"/>
      <w:r w:rsidRPr="00C50854">
        <w:rPr>
          <w:lang w:eastAsia="et-EE"/>
        </w:rPr>
        <w:t xml:space="preserve"> ettevõttesiseselt (nn </w:t>
      </w:r>
      <w:proofErr w:type="spellStart"/>
      <w:r w:rsidRPr="00C50854">
        <w:rPr>
          <w:i/>
          <w:lang w:eastAsia="et-EE"/>
        </w:rPr>
        <w:t>self-supply</w:t>
      </w:r>
      <w:proofErr w:type="spellEnd"/>
      <w:r w:rsidR="002E6567" w:rsidRPr="00C50854">
        <w:rPr>
          <w:lang w:eastAsia="et-EE"/>
        </w:rPr>
        <w:t xml:space="preserve"> ehk sisemine varustamine), </w:t>
      </w:r>
      <w:r w:rsidRPr="00C50854">
        <w:rPr>
          <w:lang w:eastAsia="et-EE"/>
        </w:rPr>
        <w:t xml:space="preserve">eesmärgiga osutada </w:t>
      </w:r>
      <w:proofErr w:type="spellStart"/>
      <w:r w:rsidRPr="00C50854">
        <w:rPr>
          <w:lang w:eastAsia="et-EE"/>
        </w:rPr>
        <w:t>jaeteenuseid</w:t>
      </w:r>
      <w:proofErr w:type="spellEnd"/>
      <w:r w:rsidRPr="00C50854">
        <w:rPr>
          <w:lang w:eastAsia="et-EE"/>
        </w:rPr>
        <w:t xml:space="preserve"> lõppkasutajatele</w:t>
      </w:r>
      <w:r w:rsidR="00C415BC" w:rsidRPr="00C50854">
        <w:rPr>
          <w:lang w:eastAsia="et-EE"/>
        </w:rPr>
        <w:t xml:space="preserve"> (</w:t>
      </w:r>
      <w:r w:rsidR="00C415BC" w:rsidRPr="00C50854">
        <w:rPr>
          <w:lang w:eastAsia="et-EE"/>
        </w:rPr>
        <w:fldChar w:fldCharType="begin"/>
      </w:r>
      <w:r w:rsidR="00C415BC" w:rsidRPr="00C50854">
        <w:rPr>
          <w:lang w:eastAsia="et-EE"/>
        </w:rPr>
        <w:instrText xml:space="preserve"> REF _Ref465259400 \h </w:instrText>
      </w:r>
      <w:r w:rsidR="00072A34" w:rsidRPr="00C50854">
        <w:rPr>
          <w:lang w:eastAsia="et-EE"/>
        </w:rPr>
        <w:instrText xml:space="preserve"> \* MERGEFORMAT </w:instrText>
      </w:r>
      <w:r w:rsidR="00C415BC" w:rsidRPr="00C50854">
        <w:rPr>
          <w:lang w:eastAsia="et-EE"/>
        </w:rPr>
      </w:r>
      <w:r w:rsidR="00C415BC" w:rsidRPr="00C50854">
        <w:rPr>
          <w:lang w:eastAsia="et-EE"/>
        </w:rPr>
        <w:fldChar w:fldCharType="separate"/>
      </w:r>
      <w:r w:rsidR="0035339C" w:rsidRPr="00C50854">
        <w:t xml:space="preserve">Tabel </w:t>
      </w:r>
      <w:r w:rsidR="0035339C" w:rsidRPr="00C50854">
        <w:rPr>
          <w:noProof/>
        </w:rPr>
        <w:t>16</w:t>
      </w:r>
      <w:r w:rsidR="00C415BC" w:rsidRPr="00C50854">
        <w:rPr>
          <w:lang w:eastAsia="et-EE"/>
        </w:rPr>
        <w:fldChar w:fldCharType="end"/>
      </w:r>
      <w:r w:rsidR="00C415BC" w:rsidRPr="00C50854">
        <w:rPr>
          <w:lang w:eastAsia="et-EE"/>
        </w:rPr>
        <w:t>)</w:t>
      </w:r>
      <w:r w:rsidRPr="00C50854">
        <w:rPr>
          <w:lang w:eastAsia="et-EE"/>
        </w:rPr>
        <w:t>.</w:t>
      </w:r>
      <w:r w:rsidR="00DB6556" w:rsidRPr="00C50854">
        <w:rPr>
          <w:lang w:eastAsia="et-EE"/>
        </w:rPr>
        <w:t xml:space="preserve"> </w:t>
      </w:r>
    </w:p>
    <w:tbl>
      <w:tblPr>
        <w:tblW w:w="94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448"/>
        <w:gridCol w:w="1626"/>
        <w:gridCol w:w="1347"/>
        <w:gridCol w:w="1347"/>
        <w:gridCol w:w="1347"/>
        <w:gridCol w:w="1347"/>
      </w:tblGrid>
      <w:tr w:rsidR="00ED06FF" w:rsidRPr="00C50854" w14:paraId="17685731" w14:textId="77777777" w:rsidTr="008931E6">
        <w:trPr>
          <w:trHeight w:val="251"/>
        </w:trPr>
        <w:tc>
          <w:tcPr>
            <w:tcW w:w="2448" w:type="dxa"/>
            <w:shd w:val="clear" w:color="auto" w:fill="CCFFCC"/>
            <w:noWrap/>
            <w:vAlign w:val="bottom"/>
            <w:hideMark/>
          </w:tcPr>
          <w:p w14:paraId="462367A1" w14:textId="60FD193B" w:rsidR="00ED06FF" w:rsidRPr="00C50854" w:rsidRDefault="00D86A1B" w:rsidP="00ED06FF">
            <w:pPr>
              <w:suppressAutoHyphens w:val="0"/>
              <w:rPr>
                <w:b/>
                <w:sz w:val="20"/>
                <w:szCs w:val="20"/>
                <w:lang w:eastAsia="et-EE"/>
              </w:rPr>
            </w:pPr>
            <w:r w:rsidRPr="00C50854">
              <w:rPr>
                <w:lang w:eastAsia="et-EE"/>
              </w:rPr>
              <w:br w:type="page"/>
            </w:r>
            <w:r w:rsidR="007269D3" w:rsidRPr="00C50854">
              <w:rPr>
                <w:lang w:eastAsia="et-EE"/>
              </w:rPr>
              <w:br w:type="page"/>
            </w:r>
            <w:r w:rsidR="00ED06FF" w:rsidRPr="00C50854">
              <w:rPr>
                <w:b/>
                <w:sz w:val="20"/>
                <w:szCs w:val="20"/>
                <w:lang w:eastAsia="et-EE"/>
              </w:rPr>
              <w:t>Ettevõtja</w:t>
            </w:r>
          </w:p>
        </w:tc>
        <w:tc>
          <w:tcPr>
            <w:tcW w:w="1626" w:type="dxa"/>
            <w:shd w:val="clear" w:color="auto" w:fill="CCFFCC"/>
            <w:noWrap/>
            <w:hideMark/>
          </w:tcPr>
          <w:p w14:paraId="574B5345" w14:textId="62FBA83D" w:rsidR="00ED06FF" w:rsidRPr="00C50854" w:rsidRDefault="00ED06FF" w:rsidP="00ED06FF">
            <w:pPr>
              <w:suppressAutoHyphens w:val="0"/>
              <w:jc w:val="center"/>
              <w:rPr>
                <w:b/>
                <w:color w:val="000000"/>
                <w:sz w:val="20"/>
                <w:szCs w:val="20"/>
                <w:lang w:eastAsia="et-EE"/>
              </w:rPr>
            </w:pPr>
            <w:r w:rsidRPr="00C50854">
              <w:rPr>
                <w:b/>
                <w:sz w:val="20"/>
                <w:szCs w:val="20"/>
              </w:rPr>
              <w:t>2015</w:t>
            </w:r>
          </w:p>
        </w:tc>
        <w:tc>
          <w:tcPr>
            <w:tcW w:w="1347" w:type="dxa"/>
            <w:shd w:val="clear" w:color="auto" w:fill="CCFFCC"/>
            <w:noWrap/>
            <w:hideMark/>
          </w:tcPr>
          <w:p w14:paraId="7FC6585A" w14:textId="1126369F" w:rsidR="00ED06FF" w:rsidRPr="00C50854" w:rsidRDefault="00ED06FF" w:rsidP="00ED06FF">
            <w:pPr>
              <w:suppressAutoHyphens w:val="0"/>
              <w:jc w:val="center"/>
              <w:rPr>
                <w:b/>
                <w:color w:val="000000"/>
                <w:sz w:val="20"/>
                <w:szCs w:val="20"/>
                <w:lang w:eastAsia="et-EE"/>
              </w:rPr>
            </w:pPr>
            <w:r w:rsidRPr="00C50854">
              <w:rPr>
                <w:b/>
                <w:sz w:val="20"/>
                <w:szCs w:val="20"/>
              </w:rPr>
              <w:t>2016</w:t>
            </w:r>
          </w:p>
        </w:tc>
        <w:tc>
          <w:tcPr>
            <w:tcW w:w="1347" w:type="dxa"/>
            <w:shd w:val="clear" w:color="auto" w:fill="CCFFCC"/>
            <w:noWrap/>
            <w:hideMark/>
          </w:tcPr>
          <w:p w14:paraId="7738702D" w14:textId="5CF547CB" w:rsidR="00ED06FF" w:rsidRPr="00C50854" w:rsidRDefault="00ED06FF" w:rsidP="00ED06FF">
            <w:pPr>
              <w:suppressAutoHyphens w:val="0"/>
              <w:jc w:val="center"/>
              <w:rPr>
                <w:b/>
                <w:color w:val="000000"/>
                <w:sz w:val="20"/>
                <w:szCs w:val="20"/>
                <w:lang w:eastAsia="et-EE"/>
              </w:rPr>
            </w:pPr>
            <w:r w:rsidRPr="00C50854">
              <w:rPr>
                <w:b/>
                <w:sz w:val="20"/>
                <w:szCs w:val="20"/>
              </w:rPr>
              <w:t>2017</w:t>
            </w:r>
          </w:p>
        </w:tc>
        <w:tc>
          <w:tcPr>
            <w:tcW w:w="1347" w:type="dxa"/>
            <w:shd w:val="clear" w:color="auto" w:fill="CCFFCC"/>
            <w:noWrap/>
            <w:hideMark/>
          </w:tcPr>
          <w:p w14:paraId="4B345560" w14:textId="7249E575" w:rsidR="00ED06FF" w:rsidRPr="00C50854" w:rsidRDefault="00ED06FF" w:rsidP="00ED06FF">
            <w:pPr>
              <w:suppressAutoHyphens w:val="0"/>
              <w:jc w:val="center"/>
              <w:rPr>
                <w:b/>
                <w:color w:val="000000"/>
                <w:sz w:val="20"/>
                <w:szCs w:val="20"/>
                <w:lang w:eastAsia="et-EE"/>
              </w:rPr>
            </w:pPr>
            <w:r w:rsidRPr="00C50854">
              <w:rPr>
                <w:b/>
                <w:sz w:val="20"/>
                <w:szCs w:val="20"/>
              </w:rPr>
              <w:t>2018</w:t>
            </w:r>
          </w:p>
        </w:tc>
        <w:tc>
          <w:tcPr>
            <w:tcW w:w="1347" w:type="dxa"/>
            <w:shd w:val="clear" w:color="auto" w:fill="CCFFCC"/>
            <w:noWrap/>
            <w:hideMark/>
          </w:tcPr>
          <w:p w14:paraId="31BC146D" w14:textId="1EDEF09C" w:rsidR="00ED06FF" w:rsidRPr="00C50854" w:rsidRDefault="00ED06FF" w:rsidP="00ED06FF">
            <w:pPr>
              <w:suppressAutoHyphens w:val="0"/>
              <w:jc w:val="center"/>
              <w:rPr>
                <w:b/>
                <w:color w:val="000000"/>
                <w:sz w:val="20"/>
                <w:szCs w:val="20"/>
                <w:lang w:eastAsia="et-EE"/>
              </w:rPr>
            </w:pPr>
            <w:r w:rsidRPr="00C50854">
              <w:rPr>
                <w:b/>
                <w:sz w:val="20"/>
                <w:szCs w:val="20"/>
              </w:rPr>
              <w:t xml:space="preserve">I </w:t>
            </w:r>
            <w:proofErr w:type="spellStart"/>
            <w:r w:rsidRPr="00C50854">
              <w:rPr>
                <w:b/>
                <w:sz w:val="20"/>
                <w:szCs w:val="20"/>
              </w:rPr>
              <w:t>pa</w:t>
            </w:r>
            <w:proofErr w:type="spellEnd"/>
            <w:r w:rsidRPr="00C50854">
              <w:rPr>
                <w:b/>
                <w:sz w:val="20"/>
                <w:szCs w:val="20"/>
              </w:rPr>
              <w:t xml:space="preserve"> 2019</w:t>
            </w:r>
          </w:p>
        </w:tc>
      </w:tr>
      <w:tr w:rsidR="00AF3E4B" w:rsidRPr="00C50854" w14:paraId="7B98615D" w14:textId="77777777" w:rsidTr="008931E6">
        <w:trPr>
          <w:trHeight w:val="251"/>
        </w:trPr>
        <w:tc>
          <w:tcPr>
            <w:tcW w:w="2448" w:type="dxa"/>
            <w:shd w:val="clear" w:color="auto" w:fill="auto"/>
            <w:noWrap/>
            <w:hideMark/>
          </w:tcPr>
          <w:p w14:paraId="18E5B21E" w14:textId="65ABB38B" w:rsidR="00AF3E4B" w:rsidRPr="00C50854" w:rsidRDefault="00AF3E4B" w:rsidP="00AF3E4B">
            <w:pPr>
              <w:suppressAutoHyphens w:val="0"/>
              <w:rPr>
                <w:color w:val="000000"/>
                <w:sz w:val="20"/>
                <w:szCs w:val="20"/>
                <w:lang w:eastAsia="et-EE"/>
              </w:rPr>
            </w:pPr>
            <w:r w:rsidRPr="00C50854">
              <w:rPr>
                <w:sz w:val="20"/>
                <w:szCs w:val="20"/>
              </w:rPr>
              <w:t>Telia</w:t>
            </w:r>
          </w:p>
        </w:tc>
        <w:tc>
          <w:tcPr>
            <w:tcW w:w="1626" w:type="dxa"/>
            <w:shd w:val="clear" w:color="auto" w:fill="auto"/>
            <w:noWrap/>
            <w:hideMark/>
          </w:tcPr>
          <w:p w14:paraId="3EEEEF08" w14:textId="321727E2"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6F54E058" w14:textId="3613BEAA"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262F7307" w14:textId="4895A634"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055C8C1E" w14:textId="60CE9D04"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4A7813B2" w14:textId="15CA7454" w:rsidR="00AF3E4B" w:rsidRPr="00C50854" w:rsidRDefault="00AF3E4B" w:rsidP="00AF3E4B">
            <w:pPr>
              <w:suppressAutoHyphens w:val="0"/>
              <w:jc w:val="center"/>
              <w:rPr>
                <w:color w:val="000000"/>
                <w:sz w:val="20"/>
                <w:szCs w:val="20"/>
              </w:rPr>
            </w:pPr>
            <w:r w:rsidRPr="00C50854">
              <w:rPr>
                <w:sz w:val="20"/>
                <w:szCs w:val="20"/>
              </w:rPr>
              <w:t>...*%</w:t>
            </w:r>
          </w:p>
        </w:tc>
      </w:tr>
      <w:tr w:rsidR="00AF3E4B" w:rsidRPr="00C50854" w14:paraId="70D08A71" w14:textId="77777777" w:rsidTr="008931E6">
        <w:trPr>
          <w:trHeight w:val="251"/>
        </w:trPr>
        <w:tc>
          <w:tcPr>
            <w:tcW w:w="2448" w:type="dxa"/>
            <w:shd w:val="clear" w:color="auto" w:fill="auto"/>
            <w:noWrap/>
            <w:hideMark/>
          </w:tcPr>
          <w:p w14:paraId="1FDC147D" w14:textId="1D3CB218" w:rsidR="00AF3E4B" w:rsidRPr="00C50854" w:rsidRDefault="00AF3E4B" w:rsidP="00AF3E4B">
            <w:pPr>
              <w:suppressAutoHyphens w:val="0"/>
              <w:rPr>
                <w:color w:val="000000"/>
                <w:sz w:val="20"/>
                <w:szCs w:val="20"/>
                <w:lang w:eastAsia="et-EE"/>
              </w:rPr>
            </w:pPr>
            <w:r w:rsidRPr="00C50854">
              <w:rPr>
                <w:sz w:val="20"/>
                <w:szCs w:val="20"/>
              </w:rPr>
              <w:t>Fill</w:t>
            </w:r>
          </w:p>
        </w:tc>
        <w:tc>
          <w:tcPr>
            <w:tcW w:w="1626" w:type="dxa"/>
            <w:shd w:val="clear" w:color="auto" w:fill="auto"/>
            <w:noWrap/>
            <w:hideMark/>
          </w:tcPr>
          <w:p w14:paraId="590AC1DF" w14:textId="6B5E01FC"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0CBC6646" w14:textId="7045557D"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32AC523D" w14:textId="53E5AEED"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17DBBA97" w14:textId="1F628193"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6391F0D2" w14:textId="52D49D54" w:rsidR="00AF3E4B" w:rsidRPr="00C50854" w:rsidRDefault="00AF3E4B" w:rsidP="00AF3E4B">
            <w:pPr>
              <w:suppressAutoHyphens w:val="0"/>
              <w:jc w:val="center"/>
              <w:rPr>
                <w:color w:val="000000"/>
                <w:sz w:val="20"/>
                <w:szCs w:val="20"/>
              </w:rPr>
            </w:pPr>
            <w:r w:rsidRPr="00C50854">
              <w:rPr>
                <w:sz w:val="20"/>
                <w:szCs w:val="20"/>
              </w:rPr>
              <w:t>...*%</w:t>
            </w:r>
          </w:p>
        </w:tc>
      </w:tr>
      <w:tr w:rsidR="00AF3E4B" w:rsidRPr="00C50854" w14:paraId="20E5467C" w14:textId="77777777" w:rsidTr="008931E6">
        <w:trPr>
          <w:trHeight w:val="251"/>
        </w:trPr>
        <w:tc>
          <w:tcPr>
            <w:tcW w:w="2448" w:type="dxa"/>
            <w:shd w:val="clear" w:color="auto" w:fill="auto"/>
            <w:noWrap/>
            <w:hideMark/>
          </w:tcPr>
          <w:p w14:paraId="0B5C0F4F" w14:textId="6EAFBE72" w:rsidR="00AF3E4B" w:rsidRPr="00C50854" w:rsidRDefault="00AF3E4B" w:rsidP="00AF3E4B">
            <w:pPr>
              <w:suppressAutoHyphens w:val="0"/>
              <w:rPr>
                <w:color w:val="000000"/>
                <w:sz w:val="20"/>
                <w:szCs w:val="20"/>
                <w:lang w:eastAsia="et-EE"/>
              </w:rPr>
            </w:pPr>
            <w:r w:rsidRPr="00C50854">
              <w:rPr>
                <w:sz w:val="20"/>
                <w:szCs w:val="20"/>
              </w:rPr>
              <w:t>Telset</w:t>
            </w:r>
          </w:p>
        </w:tc>
        <w:tc>
          <w:tcPr>
            <w:tcW w:w="1626" w:type="dxa"/>
            <w:shd w:val="clear" w:color="auto" w:fill="auto"/>
            <w:noWrap/>
            <w:hideMark/>
          </w:tcPr>
          <w:p w14:paraId="65C3FFB8" w14:textId="77E759C4"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2B3634A0" w14:textId="6A4AFF7A"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598D9E7D" w14:textId="6CA9CC5D"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2905FC60" w14:textId="3AA0688D"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65AFB5FB" w14:textId="5EFE3C26" w:rsidR="00AF3E4B" w:rsidRPr="00C50854" w:rsidRDefault="00AF3E4B" w:rsidP="00AF3E4B">
            <w:pPr>
              <w:suppressAutoHyphens w:val="0"/>
              <w:jc w:val="center"/>
              <w:rPr>
                <w:color w:val="000000"/>
                <w:sz w:val="20"/>
                <w:szCs w:val="20"/>
              </w:rPr>
            </w:pPr>
            <w:r w:rsidRPr="00C50854">
              <w:rPr>
                <w:sz w:val="20"/>
                <w:szCs w:val="20"/>
              </w:rPr>
              <w:t>...*%</w:t>
            </w:r>
          </w:p>
        </w:tc>
      </w:tr>
      <w:tr w:rsidR="00AF3E4B" w:rsidRPr="00C50854" w14:paraId="4A6BB826" w14:textId="77777777" w:rsidTr="008931E6">
        <w:trPr>
          <w:trHeight w:val="251"/>
        </w:trPr>
        <w:tc>
          <w:tcPr>
            <w:tcW w:w="2448" w:type="dxa"/>
            <w:shd w:val="clear" w:color="auto" w:fill="auto"/>
            <w:noWrap/>
            <w:hideMark/>
          </w:tcPr>
          <w:p w14:paraId="16CDD6E5" w14:textId="50E062B5" w:rsidR="00AF3E4B" w:rsidRPr="00C50854" w:rsidRDefault="00AF3E4B" w:rsidP="00AF3E4B">
            <w:pPr>
              <w:suppressAutoHyphens w:val="0"/>
              <w:rPr>
                <w:color w:val="000000"/>
                <w:sz w:val="20"/>
                <w:szCs w:val="20"/>
                <w:lang w:eastAsia="et-EE"/>
              </w:rPr>
            </w:pPr>
            <w:r w:rsidRPr="00C50854">
              <w:rPr>
                <w:sz w:val="20"/>
                <w:szCs w:val="20"/>
              </w:rPr>
              <w:t>Interframe</w:t>
            </w:r>
          </w:p>
        </w:tc>
        <w:tc>
          <w:tcPr>
            <w:tcW w:w="1626" w:type="dxa"/>
            <w:shd w:val="clear" w:color="auto" w:fill="auto"/>
            <w:noWrap/>
            <w:hideMark/>
          </w:tcPr>
          <w:p w14:paraId="71B9CC7B" w14:textId="1CFA5FD6"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7FE67AD9" w14:textId="29DE18B2"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4803D3E3" w14:textId="54E414C3"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55E48B72" w14:textId="0B15F482"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3BC68867" w14:textId="418097AB" w:rsidR="00AF3E4B" w:rsidRPr="00C50854" w:rsidRDefault="00AF3E4B" w:rsidP="00AF3E4B">
            <w:pPr>
              <w:suppressAutoHyphens w:val="0"/>
              <w:jc w:val="center"/>
              <w:rPr>
                <w:color w:val="000000"/>
                <w:sz w:val="20"/>
                <w:szCs w:val="20"/>
              </w:rPr>
            </w:pPr>
            <w:r w:rsidRPr="00C50854">
              <w:rPr>
                <w:sz w:val="20"/>
                <w:szCs w:val="20"/>
              </w:rPr>
              <w:t>...*%</w:t>
            </w:r>
          </w:p>
        </w:tc>
      </w:tr>
      <w:tr w:rsidR="00AF3E4B" w:rsidRPr="00C50854" w14:paraId="5D1B3ABE" w14:textId="77777777" w:rsidTr="008931E6">
        <w:trPr>
          <w:trHeight w:val="251"/>
        </w:trPr>
        <w:tc>
          <w:tcPr>
            <w:tcW w:w="2448" w:type="dxa"/>
            <w:shd w:val="clear" w:color="auto" w:fill="auto"/>
            <w:noWrap/>
            <w:hideMark/>
          </w:tcPr>
          <w:p w14:paraId="218476C1" w14:textId="2C79B329" w:rsidR="00AF3E4B" w:rsidRPr="00C50854" w:rsidRDefault="00AF3E4B" w:rsidP="00AF3E4B">
            <w:pPr>
              <w:suppressAutoHyphens w:val="0"/>
              <w:rPr>
                <w:color w:val="000000"/>
                <w:sz w:val="20"/>
                <w:szCs w:val="20"/>
                <w:lang w:eastAsia="et-EE"/>
              </w:rPr>
            </w:pPr>
            <w:r w:rsidRPr="00C50854">
              <w:rPr>
                <w:sz w:val="20"/>
                <w:szCs w:val="20"/>
              </w:rPr>
              <w:t>Elisa</w:t>
            </w:r>
          </w:p>
        </w:tc>
        <w:tc>
          <w:tcPr>
            <w:tcW w:w="1626" w:type="dxa"/>
            <w:shd w:val="clear" w:color="auto" w:fill="auto"/>
            <w:noWrap/>
            <w:hideMark/>
          </w:tcPr>
          <w:p w14:paraId="71CC81A2" w14:textId="1C9E635E"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4D96148B" w14:textId="135F24B9"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119EF988" w14:textId="2ED638AB"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1AD79280" w14:textId="35546F4D" w:rsidR="00AF3E4B" w:rsidRPr="00C50854" w:rsidRDefault="00AF3E4B" w:rsidP="00AF3E4B">
            <w:pPr>
              <w:suppressAutoHyphens w:val="0"/>
              <w:jc w:val="center"/>
              <w:rPr>
                <w:color w:val="000000"/>
                <w:sz w:val="20"/>
                <w:szCs w:val="20"/>
              </w:rPr>
            </w:pPr>
            <w:r w:rsidRPr="00C50854">
              <w:rPr>
                <w:sz w:val="20"/>
                <w:szCs w:val="20"/>
              </w:rPr>
              <w:t>...*%</w:t>
            </w:r>
          </w:p>
        </w:tc>
        <w:tc>
          <w:tcPr>
            <w:tcW w:w="1347" w:type="dxa"/>
            <w:shd w:val="clear" w:color="auto" w:fill="auto"/>
            <w:noWrap/>
            <w:hideMark/>
          </w:tcPr>
          <w:p w14:paraId="5B1C05E6" w14:textId="348A936E" w:rsidR="00AF3E4B" w:rsidRPr="00C50854" w:rsidRDefault="00AF3E4B" w:rsidP="00AF3E4B">
            <w:pPr>
              <w:suppressAutoHyphens w:val="0"/>
              <w:jc w:val="center"/>
              <w:rPr>
                <w:color w:val="000000"/>
                <w:sz w:val="20"/>
                <w:szCs w:val="20"/>
              </w:rPr>
            </w:pPr>
            <w:r w:rsidRPr="00C50854">
              <w:rPr>
                <w:sz w:val="20"/>
                <w:szCs w:val="20"/>
              </w:rPr>
              <w:t>...*%</w:t>
            </w:r>
          </w:p>
        </w:tc>
      </w:tr>
      <w:tr w:rsidR="005F65B3" w:rsidRPr="00C50854" w14:paraId="792A620B" w14:textId="77777777" w:rsidTr="008931E6">
        <w:trPr>
          <w:trHeight w:val="251"/>
        </w:trPr>
        <w:tc>
          <w:tcPr>
            <w:tcW w:w="2448" w:type="dxa"/>
            <w:shd w:val="clear" w:color="auto" w:fill="auto"/>
            <w:noWrap/>
            <w:vAlign w:val="bottom"/>
            <w:hideMark/>
          </w:tcPr>
          <w:p w14:paraId="7E4049F0" w14:textId="77777777" w:rsidR="005F65B3" w:rsidRPr="00C50854" w:rsidRDefault="005F65B3" w:rsidP="005F65B3">
            <w:pPr>
              <w:suppressAutoHyphens w:val="0"/>
              <w:rPr>
                <w:b/>
                <w:color w:val="000000"/>
                <w:sz w:val="20"/>
                <w:szCs w:val="20"/>
                <w:lang w:eastAsia="et-EE"/>
              </w:rPr>
            </w:pPr>
            <w:r w:rsidRPr="00C50854">
              <w:rPr>
                <w:b/>
                <w:color w:val="000000"/>
                <w:sz w:val="20"/>
                <w:szCs w:val="20"/>
                <w:lang w:eastAsia="et-EE"/>
              </w:rPr>
              <w:t>Kokku</w:t>
            </w:r>
          </w:p>
        </w:tc>
        <w:tc>
          <w:tcPr>
            <w:tcW w:w="1626" w:type="dxa"/>
            <w:shd w:val="clear" w:color="auto" w:fill="auto"/>
            <w:noWrap/>
            <w:vAlign w:val="bottom"/>
            <w:hideMark/>
          </w:tcPr>
          <w:p w14:paraId="03617F04" w14:textId="77777777" w:rsidR="005F65B3" w:rsidRPr="00C50854" w:rsidRDefault="005F65B3" w:rsidP="00FC49A5">
            <w:pPr>
              <w:suppressAutoHyphens w:val="0"/>
              <w:jc w:val="center"/>
              <w:rPr>
                <w:b/>
                <w:color w:val="000000"/>
                <w:sz w:val="20"/>
                <w:szCs w:val="20"/>
                <w:lang w:eastAsia="et-EE"/>
              </w:rPr>
            </w:pPr>
            <w:r w:rsidRPr="00C50854">
              <w:rPr>
                <w:b/>
                <w:color w:val="000000"/>
                <w:sz w:val="20"/>
                <w:szCs w:val="20"/>
                <w:lang w:eastAsia="et-EE"/>
              </w:rPr>
              <w:t>100%</w:t>
            </w:r>
          </w:p>
        </w:tc>
        <w:tc>
          <w:tcPr>
            <w:tcW w:w="1347" w:type="dxa"/>
            <w:shd w:val="clear" w:color="auto" w:fill="auto"/>
            <w:noWrap/>
            <w:vAlign w:val="bottom"/>
            <w:hideMark/>
          </w:tcPr>
          <w:p w14:paraId="4E52759F" w14:textId="77777777" w:rsidR="005F65B3" w:rsidRPr="00C50854" w:rsidRDefault="005F65B3" w:rsidP="00FC49A5">
            <w:pPr>
              <w:suppressAutoHyphens w:val="0"/>
              <w:jc w:val="center"/>
              <w:rPr>
                <w:b/>
                <w:color w:val="000000"/>
                <w:sz w:val="20"/>
                <w:szCs w:val="20"/>
                <w:lang w:eastAsia="et-EE"/>
              </w:rPr>
            </w:pPr>
            <w:r w:rsidRPr="00C50854">
              <w:rPr>
                <w:b/>
                <w:color w:val="000000"/>
                <w:sz w:val="20"/>
                <w:szCs w:val="20"/>
                <w:lang w:eastAsia="et-EE"/>
              </w:rPr>
              <w:t>100%</w:t>
            </w:r>
          </w:p>
        </w:tc>
        <w:tc>
          <w:tcPr>
            <w:tcW w:w="1347" w:type="dxa"/>
            <w:shd w:val="clear" w:color="auto" w:fill="auto"/>
            <w:noWrap/>
            <w:vAlign w:val="bottom"/>
            <w:hideMark/>
          </w:tcPr>
          <w:p w14:paraId="4C77454E" w14:textId="77777777" w:rsidR="005F65B3" w:rsidRPr="00C50854" w:rsidRDefault="005F65B3" w:rsidP="00FC49A5">
            <w:pPr>
              <w:suppressAutoHyphens w:val="0"/>
              <w:jc w:val="center"/>
              <w:rPr>
                <w:b/>
                <w:color w:val="000000"/>
                <w:sz w:val="20"/>
                <w:szCs w:val="20"/>
                <w:lang w:eastAsia="et-EE"/>
              </w:rPr>
            </w:pPr>
            <w:r w:rsidRPr="00C50854">
              <w:rPr>
                <w:b/>
                <w:color w:val="000000"/>
                <w:sz w:val="20"/>
                <w:szCs w:val="20"/>
                <w:lang w:eastAsia="et-EE"/>
              </w:rPr>
              <w:t>100%</w:t>
            </w:r>
          </w:p>
        </w:tc>
        <w:tc>
          <w:tcPr>
            <w:tcW w:w="1347" w:type="dxa"/>
            <w:shd w:val="clear" w:color="auto" w:fill="auto"/>
            <w:noWrap/>
            <w:vAlign w:val="bottom"/>
            <w:hideMark/>
          </w:tcPr>
          <w:p w14:paraId="16AA946F" w14:textId="77777777" w:rsidR="005F65B3" w:rsidRPr="00C50854" w:rsidRDefault="005F65B3" w:rsidP="00FC49A5">
            <w:pPr>
              <w:suppressAutoHyphens w:val="0"/>
              <w:jc w:val="center"/>
              <w:rPr>
                <w:b/>
                <w:color w:val="000000"/>
                <w:sz w:val="20"/>
                <w:szCs w:val="20"/>
                <w:lang w:eastAsia="et-EE"/>
              </w:rPr>
            </w:pPr>
            <w:r w:rsidRPr="00C50854">
              <w:rPr>
                <w:b/>
                <w:color w:val="000000"/>
                <w:sz w:val="20"/>
                <w:szCs w:val="20"/>
                <w:lang w:eastAsia="et-EE"/>
              </w:rPr>
              <w:t>100%</w:t>
            </w:r>
          </w:p>
        </w:tc>
        <w:tc>
          <w:tcPr>
            <w:tcW w:w="1347" w:type="dxa"/>
            <w:shd w:val="clear" w:color="auto" w:fill="auto"/>
            <w:noWrap/>
            <w:vAlign w:val="bottom"/>
            <w:hideMark/>
          </w:tcPr>
          <w:p w14:paraId="290D2AA9" w14:textId="77777777" w:rsidR="005F65B3" w:rsidRPr="00C50854" w:rsidRDefault="005F65B3" w:rsidP="00FC49A5">
            <w:pPr>
              <w:suppressAutoHyphens w:val="0"/>
              <w:jc w:val="center"/>
              <w:rPr>
                <w:b/>
                <w:color w:val="000000"/>
                <w:sz w:val="20"/>
                <w:szCs w:val="20"/>
                <w:lang w:eastAsia="et-EE"/>
              </w:rPr>
            </w:pPr>
            <w:r w:rsidRPr="00C50854">
              <w:rPr>
                <w:b/>
                <w:color w:val="000000"/>
                <w:sz w:val="20"/>
                <w:szCs w:val="20"/>
                <w:lang w:eastAsia="et-EE"/>
              </w:rPr>
              <w:t>100%</w:t>
            </w:r>
          </w:p>
        </w:tc>
      </w:tr>
    </w:tbl>
    <w:p w14:paraId="69213F38" w14:textId="088E2DB1" w:rsidR="005F65B3" w:rsidRPr="00C50854" w:rsidRDefault="00C415BC" w:rsidP="00C415BC">
      <w:pPr>
        <w:pStyle w:val="Pealdis"/>
        <w:rPr>
          <w:b w:val="0"/>
          <w:lang w:eastAsia="et-EE"/>
        </w:rPr>
      </w:pPr>
      <w:bookmarkStart w:id="229" w:name="_Ref465259400"/>
      <w:r w:rsidRPr="00C50854">
        <w:t xml:space="preserve">Tabel </w:t>
      </w:r>
      <w:fldSimple w:instr=" SEQ Tabel \* ARABIC ">
        <w:r w:rsidR="00D24389" w:rsidRPr="00C50854">
          <w:rPr>
            <w:noProof/>
          </w:rPr>
          <w:t>16</w:t>
        </w:r>
      </w:fldSimple>
      <w:bookmarkEnd w:id="229"/>
      <w:r w:rsidRPr="00C50854">
        <w:t xml:space="preserve"> </w:t>
      </w:r>
      <w:r w:rsidRPr="00C50854">
        <w:rPr>
          <w:b w:val="0"/>
        </w:rPr>
        <w:t>Turuosaliste</w:t>
      </w:r>
      <w:r w:rsidRPr="00C50854">
        <w:t xml:space="preserve"> </w:t>
      </w:r>
      <w:proofErr w:type="spellStart"/>
      <w:r w:rsidRPr="00C50854">
        <w:rPr>
          <w:b w:val="0"/>
          <w:i/>
          <w:lang w:eastAsia="et-EE"/>
        </w:rPr>
        <w:t>self-supply</w:t>
      </w:r>
      <w:proofErr w:type="spellEnd"/>
      <w:r w:rsidRPr="00C50854">
        <w:rPr>
          <w:b w:val="0"/>
          <w:lang w:eastAsia="et-EE"/>
        </w:rPr>
        <w:t xml:space="preserve"> ehk sisemise varustamise kliendiliinid aastatel 201</w:t>
      </w:r>
      <w:r w:rsidR="00ED06FF" w:rsidRPr="00C50854">
        <w:rPr>
          <w:b w:val="0"/>
          <w:lang w:eastAsia="et-EE"/>
        </w:rPr>
        <w:t>5</w:t>
      </w:r>
      <w:r w:rsidRPr="00C50854">
        <w:rPr>
          <w:b w:val="0"/>
          <w:lang w:eastAsia="et-EE"/>
        </w:rPr>
        <w:t>-</w:t>
      </w:r>
      <w:r w:rsidR="00ED06FF" w:rsidRPr="00C50854">
        <w:rPr>
          <w:b w:val="0"/>
          <w:lang w:eastAsia="et-EE"/>
        </w:rPr>
        <w:t xml:space="preserve"> I </w:t>
      </w:r>
      <w:proofErr w:type="spellStart"/>
      <w:r w:rsidR="00ED06FF" w:rsidRPr="00C50854">
        <w:rPr>
          <w:b w:val="0"/>
          <w:lang w:eastAsia="et-EE"/>
        </w:rPr>
        <w:t>pa</w:t>
      </w:r>
      <w:proofErr w:type="spellEnd"/>
      <w:r w:rsidR="00ED06FF" w:rsidRPr="00C50854">
        <w:rPr>
          <w:b w:val="0"/>
          <w:lang w:eastAsia="et-EE"/>
        </w:rPr>
        <w:t xml:space="preserve"> </w:t>
      </w:r>
      <w:r w:rsidRPr="00C50854">
        <w:rPr>
          <w:b w:val="0"/>
          <w:lang w:eastAsia="et-EE"/>
        </w:rPr>
        <w:t>201</w:t>
      </w:r>
      <w:r w:rsidR="00ED06FF" w:rsidRPr="00C50854">
        <w:rPr>
          <w:b w:val="0"/>
          <w:lang w:eastAsia="et-EE"/>
        </w:rPr>
        <w:t>9</w:t>
      </w:r>
      <w:r w:rsidRPr="00C50854">
        <w:rPr>
          <w:b w:val="0"/>
          <w:lang w:eastAsia="et-EE"/>
        </w:rPr>
        <w:t xml:space="preserve"> </w:t>
      </w:r>
    </w:p>
    <w:p w14:paraId="21321306" w14:textId="3350C59B" w:rsidR="00C415BC" w:rsidRPr="00C50854" w:rsidRDefault="00C415BC" w:rsidP="00311E1F">
      <w:pPr>
        <w:numPr>
          <w:ilvl w:val="0"/>
          <w:numId w:val="13"/>
        </w:numPr>
        <w:suppressAutoHyphens w:val="0"/>
        <w:autoSpaceDE w:val="0"/>
        <w:autoSpaceDN w:val="0"/>
        <w:adjustRightInd w:val="0"/>
        <w:spacing w:before="120" w:after="120"/>
        <w:jc w:val="both"/>
        <w:rPr>
          <w:lang w:eastAsia="et-EE"/>
        </w:rPr>
      </w:pPr>
      <w:r w:rsidRPr="00C50854">
        <w:rPr>
          <w:lang w:eastAsia="et-EE"/>
        </w:rPr>
        <w:t>201</w:t>
      </w:r>
      <w:r w:rsidR="00464912" w:rsidRPr="00C50854">
        <w:rPr>
          <w:lang w:eastAsia="et-EE"/>
        </w:rPr>
        <w:t>9</w:t>
      </w:r>
      <w:r w:rsidRPr="00C50854">
        <w:rPr>
          <w:lang w:eastAsia="et-EE"/>
        </w:rPr>
        <w:t xml:space="preserve"> aasta I </w:t>
      </w:r>
      <w:r w:rsidR="00A22B2D" w:rsidRPr="00C50854">
        <w:rPr>
          <w:lang w:eastAsia="et-EE"/>
        </w:rPr>
        <w:t>poolaasta</w:t>
      </w:r>
      <w:r w:rsidRPr="00C50854">
        <w:rPr>
          <w:lang w:eastAsia="et-EE"/>
        </w:rPr>
        <w:t xml:space="preserve"> seisuga kuulub </w:t>
      </w:r>
      <w:r w:rsidR="00AF3E4B" w:rsidRPr="00C50854">
        <w:t>…*</w:t>
      </w:r>
      <w:r w:rsidRPr="00C50854">
        <w:rPr>
          <w:lang w:eastAsia="et-EE"/>
        </w:rPr>
        <w:t xml:space="preserve">% </w:t>
      </w:r>
      <w:proofErr w:type="spellStart"/>
      <w:r w:rsidRPr="00C50854">
        <w:rPr>
          <w:i/>
          <w:lang w:eastAsia="et-EE"/>
        </w:rPr>
        <w:t>self-supply</w:t>
      </w:r>
      <w:proofErr w:type="spellEnd"/>
      <w:r w:rsidRPr="00C50854">
        <w:rPr>
          <w:lang w:eastAsia="et-EE"/>
        </w:rPr>
        <w:t xml:space="preserve"> kliendiliinidest Teliale. Teiste turuosaliste osakaal kokku on </w:t>
      </w:r>
      <w:r w:rsidR="00AF3E4B" w:rsidRPr="00C50854">
        <w:t>…*</w:t>
      </w:r>
      <w:r w:rsidRPr="00C50854">
        <w:rPr>
          <w:lang w:eastAsia="et-EE"/>
        </w:rPr>
        <w:t xml:space="preserve">%. </w:t>
      </w:r>
    </w:p>
    <w:p w14:paraId="3C6E77B7" w14:textId="08789BD1"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t xml:space="preserve">Peamine fikseeritud </w:t>
      </w:r>
      <w:r w:rsidR="003E4623" w:rsidRPr="00C50854">
        <w:t xml:space="preserve">sidevõrgus kohaliku </w:t>
      </w:r>
      <w:r w:rsidRPr="00C50854">
        <w:t>juurdepääsu hulgi</w:t>
      </w:r>
      <w:r w:rsidR="003E4623" w:rsidRPr="00C50854">
        <w:t>teenuse</w:t>
      </w:r>
      <w:r w:rsidRPr="00C50854">
        <w:t xml:space="preserve"> ostja on </w:t>
      </w:r>
      <w:r w:rsidR="008F3B5B" w:rsidRPr="00C50854">
        <w:t>T</w:t>
      </w:r>
      <w:r w:rsidR="00E75610" w:rsidRPr="00C50854">
        <w:t>TJA</w:t>
      </w:r>
      <w:r w:rsidRPr="00C50854">
        <w:t xml:space="preserve"> andmetel Elisa, kes ostab nimetatud teenust </w:t>
      </w:r>
      <w:r w:rsidR="00FE051A" w:rsidRPr="00C50854">
        <w:t>Telialt</w:t>
      </w:r>
      <w:r w:rsidRPr="00C50854">
        <w:rPr>
          <w:lang w:eastAsia="et-EE"/>
        </w:rPr>
        <w:t>.</w:t>
      </w:r>
    </w:p>
    <w:p w14:paraId="74BA4E1F" w14:textId="462549C1" w:rsidR="00D279A6" w:rsidRPr="00C50854" w:rsidRDefault="004F0A22">
      <w:pPr>
        <w:suppressAutoHyphens w:val="0"/>
        <w:rPr>
          <w:lang w:eastAsia="et-EE"/>
        </w:rPr>
      </w:pPr>
      <w:r w:rsidRPr="00C50854">
        <w:rPr>
          <w:lang w:eastAsia="et-EE"/>
        </w:rPr>
        <w:t>Fikseeritud sidevõrgus kohaliku juurdepääsu hulgiteenuse osutamise käibe alusel oli Telia turuosa 201</w:t>
      </w:r>
      <w:r w:rsidR="00D21B64" w:rsidRPr="00C50854">
        <w:rPr>
          <w:lang w:eastAsia="et-EE"/>
        </w:rPr>
        <w:t>8</w:t>
      </w:r>
      <w:r w:rsidRPr="00C50854">
        <w:rPr>
          <w:lang w:eastAsia="et-EE"/>
        </w:rPr>
        <w:t xml:space="preserve">. aastal </w:t>
      </w:r>
      <w:r w:rsidR="00AF3E4B" w:rsidRPr="00C50854">
        <w:t>…*</w:t>
      </w:r>
      <w:r w:rsidRPr="00C50854">
        <w:rPr>
          <w:lang w:eastAsia="et-EE"/>
        </w:rPr>
        <w:t xml:space="preserve">% (vt </w:t>
      </w:r>
      <w:r w:rsidRPr="00C50854">
        <w:rPr>
          <w:lang w:eastAsia="et-EE"/>
        </w:rPr>
        <w:fldChar w:fldCharType="begin"/>
      </w:r>
      <w:r w:rsidRPr="00C50854">
        <w:rPr>
          <w:lang w:eastAsia="et-EE"/>
        </w:rPr>
        <w:instrText xml:space="preserve"> REF _Ref225650645 \h  \* MERGEFORMAT </w:instrText>
      </w:r>
      <w:r w:rsidRPr="00C50854">
        <w:rPr>
          <w:lang w:eastAsia="et-EE"/>
        </w:rPr>
      </w:r>
      <w:r w:rsidRPr="00C50854">
        <w:rPr>
          <w:lang w:eastAsia="et-EE"/>
        </w:rPr>
        <w:fldChar w:fldCharType="separate"/>
      </w:r>
      <w:r w:rsidR="00976AEB" w:rsidRPr="00C50854">
        <w:rPr>
          <w:lang w:eastAsia="et-EE"/>
        </w:rPr>
        <w:t>Tabel 17</w:t>
      </w:r>
      <w:r w:rsidRPr="00C50854">
        <w:rPr>
          <w:lang w:eastAsia="et-EE"/>
        </w:rPr>
        <w:fldChar w:fldCharType="end"/>
      </w:r>
      <w:r w:rsidRPr="00C50854">
        <w:rPr>
          <w:lang w:eastAsia="et-EE"/>
        </w:rPr>
        <w:t>). Nimetatud turuosas on aastate 201</w:t>
      </w:r>
      <w:r w:rsidR="00D21B64" w:rsidRPr="00C50854">
        <w:rPr>
          <w:lang w:eastAsia="et-EE"/>
        </w:rPr>
        <w:t>6</w:t>
      </w:r>
      <w:r w:rsidRPr="00C50854">
        <w:rPr>
          <w:lang w:eastAsia="et-EE"/>
        </w:rPr>
        <w:t xml:space="preserve"> – 201</w:t>
      </w:r>
      <w:r w:rsidR="00D21B64" w:rsidRPr="00C50854">
        <w:rPr>
          <w:lang w:eastAsia="et-EE"/>
        </w:rPr>
        <w:t>8</w:t>
      </w:r>
      <w:r w:rsidRPr="00C50854">
        <w:rPr>
          <w:lang w:eastAsia="et-EE"/>
        </w:rPr>
        <w:t xml:space="preserve"> lõikes väljarenditud kliendiliinide arvu </w:t>
      </w:r>
      <w:r w:rsidRPr="00C50854">
        <w:t xml:space="preserve">vähenemise tõttu </w:t>
      </w:r>
      <w:r w:rsidR="00D21B64" w:rsidRPr="00C50854">
        <w:t xml:space="preserve"> oluliselt </w:t>
      </w:r>
      <w:r w:rsidRPr="00C50854">
        <w:t>vähenenud (</w:t>
      </w:r>
      <w:r w:rsidR="00AF3E4B" w:rsidRPr="00C50854">
        <w:t>…*</w:t>
      </w:r>
      <w:r w:rsidRPr="00C50854">
        <w:rPr>
          <w:lang w:eastAsia="et-EE"/>
        </w:rPr>
        <w:t>%).</w:t>
      </w:r>
      <w:r w:rsidR="00DC6A63" w:rsidRPr="00C50854">
        <w:rPr>
          <w:lang w:eastAsia="et-EE"/>
        </w:rPr>
        <w:t xml:space="preserve"> </w:t>
      </w:r>
      <w:r w:rsidR="00996C1F" w:rsidRPr="00C50854">
        <w:rPr>
          <w:lang w:eastAsia="et-EE"/>
        </w:rPr>
        <w:t xml:space="preserve">See on tingitud </w:t>
      </w:r>
      <w:r w:rsidR="00996C1F" w:rsidRPr="00C50854">
        <w:rPr>
          <w:lang w:eastAsia="et-EE"/>
        </w:rPr>
        <w:lastRenderedPageBreak/>
        <w:t>nagu eelpool mainitud</w:t>
      </w:r>
      <w:r w:rsidR="00DC6A63" w:rsidRPr="00C50854">
        <w:rPr>
          <w:lang w:eastAsia="et-EE"/>
        </w:rPr>
        <w:t xml:space="preserve"> </w:t>
      </w:r>
      <w:r w:rsidR="00541AC7" w:rsidRPr="00C50854">
        <w:rPr>
          <w:lang w:eastAsia="et-EE"/>
        </w:rPr>
        <w:t xml:space="preserve">vaskpaar kliendiliinide arvu </w:t>
      </w:r>
      <w:r w:rsidR="00AF3E4B" w:rsidRPr="00C50854">
        <w:rPr>
          <w:lang w:eastAsia="et-EE"/>
        </w:rPr>
        <w:t>...*</w:t>
      </w:r>
      <w:r w:rsidR="00996C1F" w:rsidRPr="00C50854">
        <w:rPr>
          <w:lang w:eastAsia="et-EE"/>
        </w:rPr>
        <w:t xml:space="preserve">% </w:t>
      </w:r>
      <w:r w:rsidR="00541AC7" w:rsidRPr="00C50854">
        <w:rPr>
          <w:lang w:eastAsia="et-EE"/>
        </w:rPr>
        <w:t xml:space="preserve">vähenemisest. </w:t>
      </w:r>
      <w:r w:rsidR="006129EE" w:rsidRPr="00C50854">
        <w:rPr>
          <w:lang w:eastAsia="et-EE"/>
        </w:rPr>
        <w:t xml:space="preserve">Elisa poolt kasutada antud kliendiliinide arv on püsivalt </w:t>
      </w:r>
      <w:r w:rsidR="00AF3E4B" w:rsidRPr="00C50854">
        <w:rPr>
          <w:lang w:eastAsia="et-EE"/>
        </w:rPr>
        <w:t>...*</w:t>
      </w:r>
      <w:r w:rsidR="006129EE" w:rsidRPr="00C50854">
        <w:rPr>
          <w:lang w:eastAsia="et-EE"/>
        </w:rPr>
        <w:t>.</w:t>
      </w:r>
    </w:p>
    <w:tbl>
      <w:tblPr>
        <w:tblW w:w="9138" w:type="dxa"/>
        <w:tblInd w:w="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5295"/>
        <w:gridCol w:w="1370"/>
        <w:gridCol w:w="1175"/>
        <w:gridCol w:w="1298"/>
      </w:tblGrid>
      <w:tr w:rsidR="00CC6E9A" w:rsidRPr="00C50854" w14:paraId="0475D457" w14:textId="77777777" w:rsidTr="00BC4E92">
        <w:trPr>
          <w:trHeight w:val="240"/>
        </w:trPr>
        <w:tc>
          <w:tcPr>
            <w:tcW w:w="5295" w:type="dxa"/>
            <w:shd w:val="clear" w:color="auto" w:fill="CCFFCC"/>
            <w:vAlign w:val="bottom"/>
          </w:tcPr>
          <w:p w14:paraId="74F375ED" w14:textId="77777777" w:rsidR="00CC6E9A" w:rsidRPr="00C50854" w:rsidRDefault="00CC6E9A" w:rsidP="00CC6E9A">
            <w:pPr>
              <w:suppressAutoHyphens w:val="0"/>
              <w:rPr>
                <w:b/>
                <w:bCs/>
                <w:color w:val="000000"/>
                <w:sz w:val="20"/>
                <w:szCs w:val="20"/>
                <w:lang w:eastAsia="et-EE"/>
              </w:rPr>
            </w:pPr>
            <w:r w:rsidRPr="00C50854">
              <w:rPr>
                <w:b/>
                <w:sz w:val="20"/>
                <w:szCs w:val="20"/>
                <w:lang w:eastAsia="et-EE"/>
              </w:rPr>
              <w:t>Ettevõtja</w:t>
            </w:r>
          </w:p>
        </w:tc>
        <w:tc>
          <w:tcPr>
            <w:tcW w:w="1370" w:type="dxa"/>
            <w:shd w:val="clear" w:color="auto" w:fill="CCFFCC"/>
            <w:vAlign w:val="bottom"/>
          </w:tcPr>
          <w:p w14:paraId="3B000C1E" w14:textId="74E2B408" w:rsidR="00CC6E9A" w:rsidRPr="00C50854" w:rsidRDefault="00745957" w:rsidP="00CC6E9A">
            <w:pPr>
              <w:suppressAutoHyphens w:val="0"/>
              <w:jc w:val="center"/>
              <w:rPr>
                <w:b/>
                <w:bCs/>
                <w:color w:val="000000"/>
                <w:sz w:val="20"/>
                <w:szCs w:val="20"/>
                <w:lang w:eastAsia="et-EE"/>
              </w:rPr>
            </w:pPr>
            <w:r w:rsidRPr="00C50854">
              <w:rPr>
                <w:b/>
                <w:sz w:val="20"/>
                <w:szCs w:val="20"/>
                <w:lang w:eastAsia="et-EE"/>
              </w:rPr>
              <w:t>201</w:t>
            </w:r>
            <w:r w:rsidR="00BC4E92" w:rsidRPr="00C50854">
              <w:rPr>
                <w:b/>
                <w:sz w:val="20"/>
                <w:szCs w:val="20"/>
                <w:lang w:eastAsia="et-EE"/>
              </w:rPr>
              <w:t>6</w:t>
            </w:r>
          </w:p>
        </w:tc>
        <w:tc>
          <w:tcPr>
            <w:tcW w:w="1175" w:type="dxa"/>
            <w:shd w:val="clear" w:color="auto" w:fill="CCFFCC"/>
            <w:vAlign w:val="bottom"/>
          </w:tcPr>
          <w:p w14:paraId="0BDDC107" w14:textId="7CF0D06E" w:rsidR="00CC6E9A" w:rsidRPr="00C50854" w:rsidRDefault="00CC6E9A" w:rsidP="00CC6E9A">
            <w:pPr>
              <w:suppressAutoHyphens w:val="0"/>
              <w:jc w:val="center"/>
              <w:rPr>
                <w:b/>
                <w:bCs/>
                <w:color w:val="000000"/>
                <w:sz w:val="20"/>
                <w:szCs w:val="20"/>
                <w:lang w:eastAsia="et-EE"/>
              </w:rPr>
            </w:pPr>
            <w:r w:rsidRPr="00C50854">
              <w:rPr>
                <w:b/>
                <w:sz w:val="20"/>
                <w:szCs w:val="20"/>
                <w:lang w:eastAsia="et-EE"/>
              </w:rPr>
              <w:t>201</w:t>
            </w:r>
            <w:r w:rsidR="00BC4E92" w:rsidRPr="00C50854">
              <w:rPr>
                <w:b/>
                <w:sz w:val="20"/>
                <w:szCs w:val="20"/>
                <w:lang w:eastAsia="et-EE"/>
              </w:rPr>
              <w:t>7</w:t>
            </w:r>
          </w:p>
        </w:tc>
        <w:tc>
          <w:tcPr>
            <w:tcW w:w="1298" w:type="dxa"/>
            <w:shd w:val="clear" w:color="auto" w:fill="CCFFCC"/>
            <w:vAlign w:val="bottom"/>
          </w:tcPr>
          <w:p w14:paraId="5542F31F" w14:textId="68A08FE5" w:rsidR="00CC6E9A" w:rsidRPr="00C50854" w:rsidRDefault="00CC6E9A" w:rsidP="00CC6E9A">
            <w:pPr>
              <w:suppressAutoHyphens w:val="0"/>
              <w:jc w:val="center"/>
              <w:rPr>
                <w:b/>
                <w:bCs/>
                <w:color w:val="000000"/>
                <w:sz w:val="20"/>
                <w:szCs w:val="20"/>
                <w:lang w:eastAsia="et-EE"/>
              </w:rPr>
            </w:pPr>
            <w:r w:rsidRPr="00C50854">
              <w:rPr>
                <w:b/>
                <w:sz w:val="20"/>
                <w:szCs w:val="20"/>
                <w:lang w:eastAsia="et-EE"/>
              </w:rPr>
              <w:t>201</w:t>
            </w:r>
            <w:r w:rsidR="00BC4E92" w:rsidRPr="00C50854">
              <w:rPr>
                <w:b/>
                <w:sz w:val="20"/>
                <w:szCs w:val="20"/>
                <w:lang w:eastAsia="et-EE"/>
              </w:rPr>
              <w:t>8</w:t>
            </w:r>
          </w:p>
        </w:tc>
      </w:tr>
      <w:tr w:rsidR="00AF3E4B" w:rsidRPr="00C50854" w14:paraId="17B94C85" w14:textId="77777777" w:rsidTr="00754016">
        <w:trPr>
          <w:trHeight w:val="240"/>
        </w:trPr>
        <w:tc>
          <w:tcPr>
            <w:tcW w:w="5295" w:type="dxa"/>
            <w:vAlign w:val="bottom"/>
          </w:tcPr>
          <w:p w14:paraId="744D9A95" w14:textId="486D03CB" w:rsidR="00AF3E4B" w:rsidRPr="00C50854" w:rsidRDefault="00AF3E4B" w:rsidP="00AF3E4B">
            <w:pPr>
              <w:suppressAutoHyphens w:val="0"/>
              <w:rPr>
                <w:sz w:val="20"/>
                <w:szCs w:val="20"/>
                <w:lang w:eastAsia="et-EE"/>
              </w:rPr>
            </w:pPr>
            <w:r w:rsidRPr="00C50854">
              <w:rPr>
                <w:sz w:val="20"/>
                <w:szCs w:val="20"/>
                <w:lang w:eastAsia="et-EE"/>
              </w:rPr>
              <w:t>Elisa poolt kasutada antud kliendiliinid</w:t>
            </w:r>
          </w:p>
        </w:tc>
        <w:tc>
          <w:tcPr>
            <w:tcW w:w="1370" w:type="dxa"/>
            <w:tcBorders>
              <w:top w:val="nil"/>
              <w:left w:val="nil"/>
              <w:bottom w:val="double" w:sz="6" w:space="0" w:color="auto"/>
              <w:right w:val="double" w:sz="6" w:space="0" w:color="auto"/>
            </w:tcBorders>
            <w:shd w:val="clear" w:color="auto" w:fill="auto"/>
          </w:tcPr>
          <w:p w14:paraId="6030485A" w14:textId="7B201084" w:rsidR="00AF3E4B" w:rsidRPr="00C50854" w:rsidRDefault="00AF3E4B" w:rsidP="00AF3E4B">
            <w:pPr>
              <w:suppressAutoHyphens w:val="0"/>
              <w:jc w:val="center"/>
              <w:rPr>
                <w:sz w:val="20"/>
              </w:rPr>
            </w:pPr>
            <w:r w:rsidRPr="00C50854">
              <w:rPr>
                <w:sz w:val="20"/>
                <w:szCs w:val="20"/>
              </w:rPr>
              <w:t>...*%</w:t>
            </w:r>
          </w:p>
        </w:tc>
        <w:tc>
          <w:tcPr>
            <w:tcW w:w="1175" w:type="dxa"/>
            <w:tcBorders>
              <w:top w:val="nil"/>
              <w:left w:val="nil"/>
              <w:bottom w:val="double" w:sz="6" w:space="0" w:color="auto"/>
              <w:right w:val="double" w:sz="6" w:space="0" w:color="auto"/>
            </w:tcBorders>
            <w:shd w:val="clear" w:color="auto" w:fill="auto"/>
          </w:tcPr>
          <w:p w14:paraId="37549936" w14:textId="6F2D5AFD" w:rsidR="00AF3E4B" w:rsidRPr="00C50854" w:rsidRDefault="00AF3E4B" w:rsidP="00AF3E4B">
            <w:pPr>
              <w:suppressAutoHyphens w:val="0"/>
              <w:jc w:val="center"/>
              <w:rPr>
                <w:sz w:val="20"/>
              </w:rPr>
            </w:pPr>
            <w:r w:rsidRPr="00C50854">
              <w:rPr>
                <w:sz w:val="20"/>
                <w:szCs w:val="20"/>
              </w:rPr>
              <w:t>...*%</w:t>
            </w:r>
          </w:p>
        </w:tc>
        <w:tc>
          <w:tcPr>
            <w:tcW w:w="1298" w:type="dxa"/>
            <w:tcBorders>
              <w:top w:val="nil"/>
              <w:left w:val="nil"/>
              <w:bottom w:val="double" w:sz="6" w:space="0" w:color="auto"/>
              <w:right w:val="double" w:sz="6" w:space="0" w:color="auto"/>
            </w:tcBorders>
            <w:shd w:val="clear" w:color="auto" w:fill="auto"/>
          </w:tcPr>
          <w:p w14:paraId="43867167" w14:textId="0D090C28" w:rsidR="00AF3E4B" w:rsidRPr="00C50854" w:rsidRDefault="00AF3E4B" w:rsidP="00AF3E4B">
            <w:pPr>
              <w:suppressAutoHyphens w:val="0"/>
              <w:jc w:val="center"/>
              <w:rPr>
                <w:sz w:val="20"/>
              </w:rPr>
            </w:pPr>
            <w:r w:rsidRPr="00C50854">
              <w:rPr>
                <w:sz w:val="20"/>
                <w:szCs w:val="20"/>
              </w:rPr>
              <w:t>...*%</w:t>
            </w:r>
          </w:p>
        </w:tc>
      </w:tr>
      <w:tr w:rsidR="00AF3E4B" w:rsidRPr="00C50854" w14:paraId="42FE302F" w14:textId="77777777" w:rsidTr="00754016">
        <w:trPr>
          <w:trHeight w:val="240"/>
        </w:trPr>
        <w:tc>
          <w:tcPr>
            <w:tcW w:w="5295" w:type="dxa"/>
            <w:vAlign w:val="bottom"/>
          </w:tcPr>
          <w:p w14:paraId="25BDF1EA" w14:textId="0C67F6C8" w:rsidR="00AF3E4B" w:rsidRPr="00C50854" w:rsidRDefault="00AF3E4B" w:rsidP="00AF3E4B">
            <w:pPr>
              <w:suppressAutoHyphens w:val="0"/>
              <w:rPr>
                <w:sz w:val="20"/>
                <w:szCs w:val="20"/>
                <w:lang w:eastAsia="et-EE"/>
              </w:rPr>
            </w:pPr>
            <w:r w:rsidRPr="00C50854">
              <w:rPr>
                <w:sz w:val="20"/>
                <w:szCs w:val="20"/>
                <w:lang w:eastAsia="et-EE"/>
              </w:rPr>
              <w:t>Telia poolt kasutada antud kliendiliinid</w:t>
            </w:r>
          </w:p>
        </w:tc>
        <w:tc>
          <w:tcPr>
            <w:tcW w:w="1370" w:type="dxa"/>
            <w:tcBorders>
              <w:top w:val="nil"/>
              <w:left w:val="nil"/>
              <w:bottom w:val="double" w:sz="6" w:space="0" w:color="auto"/>
              <w:right w:val="double" w:sz="6" w:space="0" w:color="auto"/>
            </w:tcBorders>
            <w:shd w:val="clear" w:color="auto" w:fill="auto"/>
          </w:tcPr>
          <w:p w14:paraId="02F66B6A" w14:textId="19B3DEC9" w:rsidR="00AF3E4B" w:rsidRPr="00C50854" w:rsidRDefault="00AF3E4B" w:rsidP="00AF3E4B">
            <w:pPr>
              <w:suppressAutoHyphens w:val="0"/>
              <w:jc w:val="center"/>
              <w:rPr>
                <w:sz w:val="20"/>
              </w:rPr>
            </w:pPr>
            <w:r w:rsidRPr="00C50854">
              <w:rPr>
                <w:sz w:val="20"/>
                <w:szCs w:val="20"/>
              </w:rPr>
              <w:t>...*%</w:t>
            </w:r>
          </w:p>
        </w:tc>
        <w:tc>
          <w:tcPr>
            <w:tcW w:w="1175" w:type="dxa"/>
            <w:tcBorders>
              <w:top w:val="nil"/>
              <w:left w:val="nil"/>
              <w:bottom w:val="double" w:sz="6" w:space="0" w:color="auto"/>
              <w:right w:val="double" w:sz="6" w:space="0" w:color="auto"/>
            </w:tcBorders>
            <w:shd w:val="clear" w:color="auto" w:fill="auto"/>
          </w:tcPr>
          <w:p w14:paraId="428366F9" w14:textId="75238FD5" w:rsidR="00AF3E4B" w:rsidRPr="00C50854" w:rsidRDefault="00AF3E4B" w:rsidP="00AF3E4B">
            <w:pPr>
              <w:suppressAutoHyphens w:val="0"/>
              <w:jc w:val="center"/>
              <w:rPr>
                <w:sz w:val="20"/>
              </w:rPr>
            </w:pPr>
            <w:r w:rsidRPr="00C50854">
              <w:rPr>
                <w:sz w:val="20"/>
                <w:szCs w:val="20"/>
              </w:rPr>
              <w:t>...*%</w:t>
            </w:r>
          </w:p>
        </w:tc>
        <w:tc>
          <w:tcPr>
            <w:tcW w:w="1298" w:type="dxa"/>
            <w:tcBorders>
              <w:top w:val="nil"/>
              <w:left w:val="nil"/>
              <w:bottom w:val="double" w:sz="6" w:space="0" w:color="auto"/>
              <w:right w:val="double" w:sz="6" w:space="0" w:color="auto"/>
            </w:tcBorders>
            <w:shd w:val="clear" w:color="auto" w:fill="auto"/>
          </w:tcPr>
          <w:p w14:paraId="46123168" w14:textId="15CFADAD" w:rsidR="00AF3E4B" w:rsidRPr="00C50854" w:rsidRDefault="00AF3E4B" w:rsidP="00AF3E4B">
            <w:pPr>
              <w:suppressAutoHyphens w:val="0"/>
              <w:jc w:val="center"/>
              <w:rPr>
                <w:sz w:val="20"/>
              </w:rPr>
            </w:pPr>
            <w:r w:rsidRPr="00C50854">
              <w:rPr>
                <w:sz w:val="20"/>
                <w:szCs w:val="20"/>
              </w:rPr>
              <w:t>...*%</w:t>
            </w:r>
          </w:p>
        </w:tc>
      </w:tr>
      <w:tr w:rsidR="00CC6E9A" w:rsidRPr="00C50854" w14:paraId="3807357A" w14:textId="77777777" w:rsidTr="00BC4E92">
        <w:trPr>
          <w:trHeight w:val="240"/>
        </w:trPr>
        <w:tc>
          <w:tcPr>
            <w:tcW w:w="5295" w:type="dxa"/>
            <w:vAlign w:val="bottom"/>
          </w:tcPr>
          <w:p w14:paraId="2C8B46E7" w14:textId="77777777" w:rsidR="00CC6E9A" w:rsidRPr="00C50854" w:rsidRDefault="00CC6E9A" w:rsidP="00CC6E9A">
            <w:pPr>
              <w:suppressAutoHyphens w:val="0"/>
              <w:rPr>
                <w:b/>
                <w:sz w:val="20"/>
                <w:szCs w:val="20"/>
                <w:lang w:eastAsia="et-EE"/>
              </w:rPr>
            </w:pPr>
            <w:r w:rsidRPr="00C50854">
              <w:rPr>
                <w:b/>
                <w:sz w:val="20"/>
                <w:szCs w:val="20"/>
                <w:lang w:eastAsia="et-EE"/>
              </w:rPr>
              <w:t>Kokku kasutada antud kliendiliine</w:t>
            </w:r>
          </w:p>
        </w:tc>
        <w:tc>
          <w:tcPr>
            <w:tcW w:w="1370" w:type="dxa"/>
            <w:vAlign w:val="bottom"/>
          </w:tcPr>
          <w:p w14:paraId="762BDEDC" w14:textId="77777777" w:rsidR="00CC6E9A" w:rsidRPr="00C50854" w:rsidRDefault="00CC6E9A" w:rsidP="00CC6E9A">
            <w:pPr>
              <w:suppressAutoHyphens w:val="0"/>
              <w:jc w:val="center"/>
              <w:rPr>
                <w:b/>
                <w:sz w:val="20"/>
                <w:szCs w:val="20"/>
                <w:lang w:eastAsia="et-EE"/>
              </w:rPr>
            </w:pPr>
            <w:r w:rsidRPr="00C50854">
              <w:rPr>
                <w:b/>
                <w:sz w:val="20"/>
                <w:szCs w:val="20"/>
                <w:lang w:eastAsia="et-EE"/>
              </w:rPr>
              <w:t>100%</w:t>
            </w:r>
          </w:p>
        </w:tc>
        <w:tc>
          <w:tcPr>
            <w:tcW w:w="1175" w:type="dxa"/>
            <w:vAlign w:val="bottom"/>
          </w:tcPr>
          <w:p w14:paraId="0C11A10D" w14:textId="77777777" w:rsidR="00CC6E9A" w:rsidRPr="00C50854" w:rsidRDefault="00CC6E9A" w:rsidP="00CC6E9A">
            <w:pPr>
              <w:suppressAutoHyphens w:val="0"/>
              <w:jc w:val="center"/>
              <w:rPr>
                <w:b/>
                <w:sz w:val="20"/>
                <w:szCs w:val="20"/>
                <w:lang w:eastAsia="et-EE"/>
              </w:rPr>
            </w:pPr>
            <w:r w:rsidRPr="00C50854">
              <w:rPr>
                <w:b/>
                <w:sz w:val="20"/>
                <w:szCs w:val="20"/>
                <w:lang w:eastAsia="et-EE"/>
              </w:rPr>
              <w:t>100%</w:t>
            </w:r>
          </w:p>
        </w:tc>
        <w:tc>
          <w:tcPr>
            <w:tcW w:w="1298" w:type="dxa"/>
            <w:vAlign w:val="bottom"/>
          </w:tcPr>
          <w:p w14:paraId="1B5C1E68" w14:textId="77777777" w:rsidR="00CC6E9A" w:rsidRPr="00C50854" w:rsidRDefault="00CC6E9A" w:rsidP="00CC6E9A">
            <w:pPr>
              <w:suppressAutoHyphens w:val="0"/>
              <w:jc w:val="center"/>
              <w:rPr>
                <w:b/>
                <w:sz w:val="20"/>
                <w:szCs w:val="20"/>
                <w:lang w:eastAsia="et-EE"/>
              </w:rPr>
            </w:pPr>
            <w:r w:rsidRPr="00C50854">
              <w:rPr>
                <w:b/>
                <w:sz w:val="20"/>
                <w:szCs w:val="20"/>
                <w:lang w:eastAsia="et-EE"/>
              </w:rPr>
              <w:t>100%</w:t>
            </w:r>
          </w:p>
        </w:tc>
      </w:tr>
    </w:tbl>
    <w:p w14:paraId="6E6EB69E" w14:textId="7152DCC9" w:rsidR="00CC6E9A" w:rsidRPr="00C50854" w:rsidRDefault="00CC6E9A" w:rsidP="00CC6E9A">
      <w:pPr>
        <w:suppressAutoHyphens w:val="0"/>
        <w:spacing w:before="120" w:after="120"/>
        <w:rPr>
          <w:bCs/>
          <w:sz w:val="20"/>
          <w:szCs w:val="20"/>
          <w:lang w:eastAsia="et-EE"/>
        </w:rPr>
      </w:pPr>
      <w:bookmarkStart w:id="230" w:name="_Ref225650645"/>
      <w:r w:rsidRPr="00C50854">
        <w:rPr>
          <w:b/>
          <w:bCs/>
          <w:sz w:val="20"/>
          <w:szCs w:val="20"/>
          <w:lang w:eastAsia="et-EE"/>
        </w:rPr>
        <w:t xml:space="preserve">Tabel </w:t>
      </w:r>
      <w:r w:rsidR="00341D2F" w:rsidRPr="00C50854">
        <w:rPr>
          <w:b/>
          <w:bCs/>
          <w:sz w:val="20"/>
          <w:szCs w:val="20"/>
          <w:lang w:eastAsia="et-EE"/>
        </w:rPr>
        <w:fldChar w:fldCharType="begin"/>
      </w:r>
      <w:r w:rsidR="00341D2F" w:rsidRPr="00C50854">
        <w:rPr>
          <w:b/>
          <w:bCs/>
          <w:sz w:val="20"/>
          <w:szCs w:val="20"/>
          <w:lang w:eastAsia="et-EE"/>
        </w:rPr>
        <w:instrText xml:space="preserve"> SEQ Tabel \* ARABIC </w:instrText>
      </w:r>
      <w:r w:rsidR="00341D2F" w:rsidRPr="00C50854">
        <w:rPr>
          <w:b/>
          <w:bCs/>
          <w:sz w:val="20"/>
          <w:szCs w:val="20"/>
          <w:lang w:eastAsia="et-EE"/>
        </w:rPr>
        <w:fldChar w:fldCharType="separate"/>
      </w:r>
      <w:r w:rsidR="00D24389" w:rsidRPr="00C50854">
        <w:rPr>
          <w:b/>
          <w:bCs/>
          <w:noProof/>
          <w:sz w:val="20"/>
          <w:szCs w:val="20"/>
          <w:lang w:eastAsia="et-EE"/>
        </w:rPr>
        <w:t>17</w:t>
      </w:r>
      <w:r w:rsidR="00341D2F" w:rsidRPr="00C50854">
        <w:rPr>
          <w:b/>
          <w:bCs/>
          <w:sz w:val="20"/>
          <w:szCs w:val="20"/>
          <w:lang w:eastAsia="et-EE"/>
        </w:rPr>
        <w:fldChar w:fldCharType="end"/>
      </w:r>
      <w:bookmarkEnd w:id="230"/>
      <w:r w:rsidRPr="00C50854">
        <w:rPr>
          <w:b/>
          <w:bCs/>
          <w:sz w:val="20"/>
          <w:szCs w:val="20"/>
          <w:lang w:eastAsia="et-EE"/>
        </w:rPr>
        <w:t xml:space="preserve">. </w:t>
      </w:r>
      <w:r w:rsidR="004F0A22" w:rsidRPr="00C50854">
        <w:rPr>
          <w:bCs/>
          <w:sz w:val="20"/>
          <w:szCs w:val="20"/>
          <w:lang w:eastAsia="et-EE"/>
        </w:rPr>
        <w:t xml:space="preserve">Teistel sideettevõtjatele kasutusse antud kliendiliinide käivete </w:t>
      </w:r>
      <w:r w:rsidRPr="00C50854">
        <w:rPr>
          <w:bCs/>
          <w:sz w:val="20"/>
          <w:szCs w:val="20"/>
          <w:lang w:eastAsia="et-EE"/>
        </w:rPr>
        <w:t>turuosad aastatel 20</w:t>
      </w:r>
      <w:r w:rsidR="00745957" w:rsidRPr="00C50854">
        <w:rPr>
          <w:bCs/>
          <w:sz w:val="20"/>
          <w:szCs w:val="20"/>
          <w:lang w:eastAsia="et-EE"/>
        </w:rPr>
        <w:t>1</w:t>
      </w:r>
      <w:r w:rsidR="00BC4E92" w:rsidRPr="00C50854">
        <w:rPr>
          <w:bCs/>
          <w:sz w:val="20"/>
          <w:szCs w:val="20"/>
          <w:lang w:eastAsia="et-EE"/>
        </w:rPr>
        <w:t>6</w:t>
      </w:r>
      <w:r w:rsidR="00745957" w:rsidRPr="00C50854">
        <w:rPr>
          <w:bCs/>
          <w:sz w:val="20"/>
          <w:szCs w:val="20"/>
          <w:lang w:eastAsia="et-EE"/>
        </w:rPr>
        <w:t>–201</w:t>
      </w:r>
      <w:r w:rsidR="00BC4E92" w:rsidRPr="00C50854">
        <w:rPr>
          <w:bCs/>
          <w:sz w:val="20"/>
          <w:szCs w:val="20"/>
          <w:lang w:eastAsia="et-EE"/>
        </w:rPr>
        <w:t>8</w:t>
      </w:r>
    </w:p>
    <w:p w14:paraId="2860B8B8" w14:textId="3BF95C2F"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Kuna fikseeritud </w:t>
      </w:r>
      <w:r w:rsidR="003E4623" w:rsidRPr="00C50854">
        <w:rPr>
          <w:lang w:eastAsia="et-EE"/>
        </w:rPr>
        <w:t xml:space="preserve">sidevõrgus kohaliku </w:t>
      </w:r>
      <w:r w:rsidRPr="00C50854">
        <w:rPr>
          <w:lang w:eastAsia="et-EE"/>
        </w:rPr>
        <w:t xml:space="preserve">juurdepääsu </w:t>
      </w:r>
      <w:r w:rsidR="003E4623" w:rsidRPr="00C50854">
        <w:rPr>
          <w:lang w:eastAsia="et-EE"/>
        </w:rPr>
        <w:t>hulgi</w:t>
      </w:r>
      <w:r w:rsidRPr="00C50854">
        <w:rPr>
          <w:lang w:eastAsia="et-EE"/>
        </w:rPr>
        <w:t>teenuste osutamise mahud on väikesed, moodustab nimetatud teenus</w:t>
      </w:r>
      <w:r w:rsidR="003E4623" w:rsidRPr="00C50854">
        <w:rPr>
          <w:lang w:eastAsia="et-EE"/>
        </w:rPr>
        <w:t>t</w:t>
      </w:r>
      <w:r w:rsidRPr="00C50854">
        <w:rPr>
          <w:lang w:eastAsia="et-EE"/>
        </w:rPr>
        <w:t xml:space="preserve">e osutamine </w:t>
      </w:r>
      <w:r w:rsidR="00395908" w:rsidRPr="00C50854">
        <w:rPr>
          <w:lang w:eastAsia="et-EE"/>
        </w:rPr>
        <w:t>Telia</w:t>
      </w:r>
      <w:r w:rsidR="002E6567" w:rsidRPr="00C50854">
        <w:rPr>
          <w:lang w:eastAsia="et-EE"/>
        </w:rPr>
        <w:t xml:space="preserve"> </w:t>
      </w:r>
      <w:r w:rsidRPr="00C50854">
        <w:rPr>
          <w:lang w:eastAsia="et-EE"/>
        </w:rPr>
        <w:t>kogukäibest</w:t>
      </w:r>
      <w:r w:rsidR="002E6567" w:rsidRPr="00C50854">
        <w:rPr>
          <w:lang w:eastAsia="et-EE"/>
        </w:rPr>
        <w:t xml:space="preserve"> murdosa</w:t>
      </w:r>
      <w:r w:rsidR="00D21B64" w:rsidRPr="00C50854">
        <w:rPr>
          <w:lang w:eastAsia="et-EE"/>
        </w:rPr>
        <w:t xml:space="preserve"> ehk</w:t>
      </w:r>
      <w:r w:rsidRPr="00C50854">
        <w:rPr>
          <w:lang w:eastAsia="et-EE"/>
        </w:rPr>
        <w:t xml:space="preserve"> </w:t>
      </w:r>
      <w:r w:rsidR="006E5345" w:rsidRPr="00C50854">
        <w:rPr>
          <w:lang w:eastAsia="et-EE"/>
        </w:rPr>
        <w:t xml:space="preserve">kohaliku </w:t>
      </w:r>
      <w:r w:rsidRPr="00C50854">
        <w:rPr>
          <w:lang w:eastAsia="et-EE"/>
        </w:rPr>
        <w:t xml:space="preserve">juurdepääsu </w:t>
      </w:r>
      <w:r w:rsidR="003E4623" w:rsidRPr="00C50854">
        <w:rPr>
          <w:lang w:eastAsia="et-EE"/>
        </w:rPr>
        <w:t>hulgi</w:t>
      </w:r>
      <w:r w:rsidR="00395908" w:rsidRPr="00C50854">
        <w:rPr>
          <w:lang w:eastAsia="et-EE"/>
        </w:rPr>
        <w:t xml:space="preserve">teenuste osutamise käive </w:t>
      </w:r>
      <w:r w:rsidR="00D21B64" w:rsidRPr="00C50854">
        <w:rPr>
          <w:lang w:eastAsia="et-EE"/>
        </w:rPr>
        <w:t xml:space="preserve">moodustab </w:t>
      </w:r>
      <w:r w:rsidR="00AF3E4B" w:rsidRPr="00C50854">
        <w:t>...*</w:t>
      </w:r>
      <w:r w:rsidR="00395908" w:rsidRPr="00C50854">
        <w:rPr>
          <w:lang w:eastAsia="et-EE"/>
        </w:rPr>
        <w:t>% ettevõtja 201</w:t>
      </w:r>
      <w:r w:rsidR="00D21B64" w:rsidRPr="00C50854">
        <w:rPr>
          <w:lang w:eastAsia="et-EE"/>
        </w:rPr>
        <w:t>8</w:t>
      </w:r>
      <w:r w:rsidRPr="00C50854">
        <w:rPr>
          <w:lang w:eastAsia="et-EE"/>
        </w:rPr>
        <w:t>. aasta kogukäibest.</w:t>
      </w:r>
    </w:p>
    <w:p w14:paraId="219B4549" w14:textId="7145E45F" w:rsidR="00D62B5F" w:rsidRPr="00C50854" w:rsidRDefault="003C5779" w:rsidP="00311E1F">
      <w:pPr>
        <w:numPr>
          <w:ilvl w:val="0"/>
          <w:numId w:val="13"/>
        </w:numPr>
        <w:suppressAutoHyphens w:val="0"/>
        <w:autoSpaceDE w:val="0"/>
        <w:autoSpaceDN w:val="0"/>
        <w:adjustRightInd w:val="0"/>
        <w:spacing w:before="120" w:after="120"/>
        <w:jc w:val="both"/>
        <w:rPr>
          <w:lang w:eastAsia="et-EE"/>
        </w:rPr>
      </w:pPr>
      <w:r w:rsidRPr="00C50854">
        <w:rPr>
          <w:lang w:eastAsia="et-EE"/>
        </w:rPr>
        <w:t>Eeltoodust tuleneb</w:t>
      </w:r>
      <w:r w:rsidR="00CC6E9A" w:rsidRPr="00C50854">
        <w:rPr>
          <w:lang w:eastAsia="et-EE"/>
        </w:rPr>
        <w:t xml:space="preserve">, et </w:t>
      </w:r>
      <w:r w:rsidR="00395908" w:rsidRPr="00C50854">
        <w:rPr>
          <w:lang w:eastAsia="et-EE"/>
        </w:rPr>
        <w:t>Telia</w:t>
      </w:r>
      <w:r w:rsidR="00CC6E9A" w:rsidRPr="00C50854">
        <w:rPr>
          <w:lang w:eastAsia="et-EE"/>
        </w:rPr>
        <w:t xml:space="preserve"> omab </w:t>
      </w:r>
      <w:r w:rsidR="006E5345" w:rsidRPr="00C50854">
        <w:rPr>
          <w:lang w:eastAsia="et-EE"/>
        </w:rPr>
        <w:t xml:space="preserve">kohaliku </w:t>
      </w:r>
      <w:r w:rsidR="00CC6E9A" w:rsidRPr="00C50854">
        <w:rPr>
          <w:lang w:eastAsia="et-EE"/>
        </w:rPr>
        <w:t>juurdepääsu hul</w:t>
      </w:r>
      <w:r w:rsidRPr="00C50854">
        <w:rPr>
          <w:lang w:eastAsia="et-EE"/>
        </w:rPr>
        <w:t>g</w:t>
      </w:r>
      <w:r w:rsidR="00E06B13" w:rsidRPr="00C50854">
        <w:rPr>
          <w:lang w:eastAsia="et-EE"/>
        </w:rPr>
        <w:t>iturul märkimisväärset turuosa</w:t>
      </w:r>
      <w:r w:rsidR="00395908" w:rsidRPr="00C50854">
        <w:rPr>
          <w:lang w:eastAsia="et-EE"/>
        </w:rPr>
        <w:t>. 201</w:t>
      </w:r>
      <w:r w:rsidR="00D21B64" w:rsidRPr="00C50854">
        <w:rPr>
          <w:lang w:eastAsia="et-EE"/>
        </w:rPr>
        <w:t>9</w:t>
      </w:r>
      <w:r w:rsidR="00CC6E9A" w:rsidRPr="00C50854">
        <w:rPr>
          <w:lang w:eastAsia="et-EE"/>
        </w:rPr>
        <w:t>. a</w:t>
      </w:r>
      <w:r w:rsidRPr="00C50854">
        <w:rPr>
          <w:lang w:eastAsia="et-EE"/>
        </w:rPr>
        <w:t xml:space="preserve">asta </w:t>
      </w:r>
      <w:r w:rsidR="00D21B64" w:rsidRPr="00C50854">
        <w:rPr>
          <w:lang w:eastAsia="et-EE"/>
        </w:rPr>
        <w:t>esimese</w:t>
      </w:r>
      <w:r w:rsidRPr="00C50854">
        <w:rPr>
          <w:lang w:eastAsia="et-EE"/>
        </w:rPr>
        <w:t xml:space="preserve"> </w:t>
      </w:r>
      <w:r w:rsidR="00D21B64" w:rsidRPr="00C50854">
        <w:rPr>
          <w:lang w:eastAsia="et-EE"/>
        </w:rPr>
        <w:t>poolaasta</w:t>
      </w:r>
      <w:r w:rsidRPr="00C50854">
        <w:rPr>
          <w:lang w:eastAsia="et-EE"/>
        </w:rPr>
        <w:t xml:space="preserve"> seisuga on </w:t>
      </w:r>
      <w:r w:rsidR="00395908" w:rsidRPr="00C50854">
        <w:rPr>
          <w:lang w:eastAsia="et-EE"/>
        </w:rPr>
        <w:t>Telia</w:t>
      </w:r>
      <w:r w:rsidRPr="00C50854">
        <w:rPr>
          <w:lang w:eastAsia="et-EE"/>
        </w:rPr>
        <w:t xml:space="preserve"> turuos</w:t>
      </w:r>
      <w:r w:rsidR="004F0A22" w:rsidRPr="00C50854">
        <w:rPr>
          <w:lang w:eastAsia="et-EE"/>
        </w:rPr>
        <w:t>a</w:t>
      </w:r>
      <w:r w:rsidR="00CC6E9A" w:rsidRPr="00C50854">
        <w:rPr>
          <w:lang w:eastAsia="et-EE"/>
        </w:rPr>
        <w:t xml:space="preserve"> teistele ettevõtjatele kasutada antud </w:t>
      </w:r>
      <w:r w:rsidR="00395908" w:rsidRPr="00C50854">
        <w:rPr>
          <w:lang w:eastAsia="et-EE"/>
        </w:rPr>
        <w:t>kliendiliinide</w:t>
      </w:r>
      <w:r w:rsidR="00D62B5F" w:rsidRPr="00C50854">
        <w:rPr>
          <w:lang w:eastAsia="et-EE"/>
        </w:rPr>
        <w:t xml:space="preserve"> arvu osas </w:t>
      </w:r>
      <w:r w:rsidR="00AF3E4B" w:rsidRPr="00C50854">
        <w:t>...*</w:t>
      </w:r>
      <w:r w:rsidR="00D62B5F" w:rsidRPr="00C50854">
        <w:rPr>
          <w:lang w:eastAsia="et-EE"/>
        </w:rPr>
        <w:t xml:space="preserve">% </w:t>
      </w:r>
      <w:r w:rsidR="00CC6E9A" w:rsidRPr="00C50854">
        <w:rPr>
          <w:lang w:eastAsia="et-EE"/>
        </w:rPr>
        <w:t xml:space="preserve">(vt </w:t>
      </w:r>
      <w:r w:rsidR="002F7314" w:rsidRPr="00C50854">
        <w:rPr>
          <w:lang w:eastAsia="et-EE"/>
        </w:rPr>
        <w:fldChar w:fldCharType="begin"/>
      </w:r>
      <w:r w:rsidR="002F7314" w:rsidRPr="00C50854">
        <w:rPr>
          <w:lang w:eastAsia="et-EE"/>
        </w:rPr>
        <w:instrText xml:space="preserve"> REF _Ref346279653 \h  \* MERGEFORMAT </w:instrText>
      </w:r>
      <w:r w:rsidR="002F7314" w:rsidRPr="00C50854">
        <w:rPr>
          <w:lang w:eastAsia="et-EE"/>
        </w:rPr>
      </w:r>
      <w:r w:rsidR="002F7314" w:rsidRPr="00C50854">
        <w:rPr>
          <w:lang w:eastAsia="et-EE"/>
        </w:rPr>
        <w:fldChar w:fldCharType="separate"/>
      </w:r>
      <w:r w:rsidR="00976AEB" w:rsidRPr="00C50854">
        <w:rPr>
          <w:bCs/>
          <w:lang w:eastAsia="et-EE"/>
        </w:rPr>
        <w:t xml:space="preserve">Tabel </w:t>
      </w:r>
      <w:r w:rsidR="00976AEB" w:rsidRPr="00C50854">
        <w:rPr>
          <w:bCs/>
          <w:noProof/>
          <w:lang w:eastAsia="et-EE"/>
        </w:rPr>
        <w:t>14</w:t>
      </w:r>
      <w:r w:rsidR="002F7314" w:rsidRPr="00C50854">
        <w:rPr>
          <w:lang w:eastAsia="et-EE"/>
        </w:rPr>
        <w:fldChar w:fldCharType="end"/>
      </w:r>
      <w:r w:rsidR="00D62B5F" w:rsidRPr="00C50854">
        <w:rPr>
          <w:lang w:eastAsia="et-EE"/>
        </w:rPr>
        <w:t>).</w:t>
      </w:r>
      <w:r w:rsidR="00B752ED" w:rsidRPr="00C50854">
        <w:rPr>
          <w:lang w:eastAsia="et-EE"/>
        </w:rPr>
        <w:t xml:space="preserve"> Turuo</w:t>
      </w:r>
      <w:r w:rsidR="00D21B64" w:rsidRPr="00C50854">
        <w:rPr>
          <w:lang w:eastAsia="et-EE"/>
        </w:rPr>
        <w:t>s</w:t>
      </w:r>
      <w:r w:rsidR="00B752ED" w:rsidRPr="00C50854">
        <w:rPr>
          <w:lang w:eastAsia="et-EE"/>
        </w:rPr>
        <w:t xml:space="preserve">a on </w:t>
      </w:r>
      <w:r w:rsidR="00AF3E4B" w:rsidRPr="00C50854">
        <w:t>...*</w:t>
      </w:r>
      <w:r w:rsidR="00B752ED" w:rsidRPr="00C50854">
        <w:rPr>
          <w:lang w:eastAsia="et-EE"/>
        </w:rPr>
        <w:t xml:space="preserve"> võrreldes 201</w:t>
      </w:r>
      <w:r w:rsidR="00D21B64" w:rsidRPr="00C50854">
        <w:rPr>
          <w:lang w:eastAsia="et-EE"/>
        </w:rPr>
        <w:t>5</w:t>
      </w:r>
      <w:r w:rsidR="00B752ED" w:rsidRPr="00C50854">
        <w:rPr>
          <w:lang w:eastAsia="et-EE"/>
        </w:rPr>
        <w:t xml:space="preserve"> aastaga </w:t>
      </w:r>
      <w:r w:rsidR="00AF3E4B" w:rsidRPr="00C50854">
        <w:t>...*</w:t>
      </w:r>
      <w:r w:rsidR="00B752ED" w:rsidRPr="00C50854">
        <w:rPr>
          <w:lang w:eastAsia="et-EE"/>
        </w:rPr>
        <w:t>%.</w:t>
      </w:r>
    </w:p>
    <w:p w14:paraId="7636FC66" w14:textId="247EBD6D" w:rsidR="001D7858" w:rsidRPr="00C50854" w:rsidRDefault="00FE051A" w:rsidP="00311E1F">
      <w:pPr>
        <w:numPr>
          <w:ilvl w:val="0"/>
          <w:numId w:val="13"/>
        </w:numPr>
        <w:suppressAutoHyphens w:val="0"/>
        <w:autoSpaceDE w:val="0"/>
        <w:autoSpaceDN w:val="0"/>
        <w:adjustRightInd w:val="0"/>
        <w:spacing w:before="120" w:after="120"/>
        <w:jc w:val="both"/>
        <w:rPr>
          <w:lang w:eastAsia="et-EE"/>
        </w:rPr>
      </w:pPr>
      <w:r w:rsidRPr="00C50854">
        <w:rPr>
          <w:lang w:eastAsia="et-EE"/>
        </w:rPr>
        <w:t>Telia</w:t>
      </w:r>
      <w:r w:rsidR="00CC6E9A" w:rsidRPr="00C50854">
        <w:rPr>
          <w:lang w:eastAsia="et-EE"/>
        </w:rPr>
        <w:t xml:space="preserve"> turuosa stabiilsus viitab sellele, et teised elektroonilise sideinfrastruktuuri omavad ettevõtjad ei ole vaadeldaval ajavahemikult oma infrastruktuure teistele </w:t>
      </w:r>
      <w:r w:rsidR="00B527E3" w:rsidRPr="00C50854">
        <w:rPr>
          <w:lang w:eastAsia="et-EE"/>
        </w:rPr>
        <w:t>sideettevõtjatele</w:t>
      </w:r>
      <w:r w:rsidR="003C5779" w:rsidRPr="00C50854">
        <w:rPr>
          <w:lang w:eastAsia="et-EE"/>
        </w:rPr>
        <w:t xml:space="preserve"> avanud</w:t>
      </w:r>
      <w:r w:rsidR="0089730E" w:rsidRPr="00C50854">
        <w:rPr>
          <w:lang w:eastAsia="et-EE"/>
        </w:rPr>
        <w:t xml:space="preserve"> või puudub teistel sideettevõtjatel huvi väikeses piirkonnas juurdepääsu võrkude rentimiseks ning seal võrku omava ettevõtjaga konkureerimiseks. Samuti võivad olla väikesed sideettevõtjad rajanud paralleelsed võrgud, mis välistavad rentimise vajaduse. </w:t>
      </w:r>
    </w:p>
    <w:p w14:paraId="367DCCA4" w14:textId="3D9DFD3C"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Seega ettevõtjatel, kelle elektroonilise side võrk on väikese ulatusega või see puudub, on elektroonilise side teenuste osutamiseks või selle laiendamise peamiseks võimaluseks kasutada </w:t>
      </w:r>
      <w:r w:rsidR="00FE051A" w:rsidRPr="00C50854">
        <w:rPr>
          <w:lang w:eastAsia="et-EE"/>
        </w:rPr>
        <w:t>Telia</w:t>
      </w:r>
      <w:r w:rsidRPr="00C50854">
        <w:rPr>
          <w:lang w:eastAsia="et-EE"/>
        </w:rPr>
        <w:t xml:space="preserve"> poolt osutatavat füüsilisele sidevõrgule juurdepääsu </w:t>
      </w:r>
      <w:r w:rsidR="00CE2925" w:rsidRPr="00C50854">
        <w:rPr>
          <w:lang w:eastAsia="et-EE"/>
        </w:rPr>
        <w:t>hulgi</w:t>
      </w:r>
      <w:r w:rsidRPr="00C50854">
        <w:rPr>
          <w:lang w:eastAsia="et-EE"/>
        </w:rPr>
        <w:t>teenust.</w:t>
      </w:r>
    </w:p>
    <w:p w14:paraId="13208586" w14:textId="4357698A"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Ettevõtjate turuosasid nende omandisse kuuluva infrastruktuuri alusel on lähemalt ki</w:t>
      </w:r>
      <w:r w:rsidR="00987543" w:rsidRPr="00C50854">
        <w:rPr>
          <w:lang w:eastAsia="et-EE"/>
        </w:rPr>
        <w:t>rjeldatud otsuse</w:t>
      </w:r>
      <w:r w:rsidRPr="00C50854">
        <w:rPr>
          <w:lang w:eastAsia="et-EE"/>
        </w:rPr>
        <w:t xml:space="preserve"> punktis </w:t>
      </w:r>
      <w:r w:rsidR="00C30E55" w:rsidRPr="00C50854">
        <w:rPr>
          <w:lang w:eastAsia="et-EE"/>
        </w:rPr>
        <w:t>4.3.2</w:t>
      </w:r>
      <w:r w:rsidRPr="00C50854">
        <w:rPr>
          <w:lang w:eastAsia="et-EE"/>
        </w:rPr>
        <w:t>.</w:t>
      </w:r>
    </w:p>
    <w:p w14:paraId="61AF2644" w14:textId="019C42AA" w:rsidR="00CC6E9A" w:rsidRPr="00C50854" w:rsidRDefault="00CC6E9A" w:rsidP="000B58D4">
      <w:pPr>
        <w:suppressAutoHyphens w:val="0"/>
        <w:rPr>
          <w:lang w:eastAsia="et-EE"/>
        </w:rPr>
      </w:pPr>
      <w:r w:rsidRPr="00C50854">
        <w:rPr>
          <w:b/>
          <w:lang w:eastAsia="et-EE"/>
        </w:rPr>
        <w:t>Kokkuvõte</w:t>
      </w:r>
    </w:p>
    <w:p w14:paraId="175BEE93" w14:textId="3E434737" w:rsidR="00CC6E9A" w:rsidRPr="00C50854" w:rsidRDefault="00FE051A" w:rsidP="00311E1F">
      <w:pPr>
        <w:numPr>
          <w:ilvl w:val="0"/>
          <w:numId w:val="13"/>
        </w:numPr>
        <w:suppressAutoHyphens w:val="0"/>
        <w:autoSpaceDE w:val="0"/>
        <w:autoSpaceDN w:val="0"/>
        <w:adjustRightInd w:val="0"/>
        <w:spacing w:before="120" w:after="120"/>
        <w:jc w:val="both"/>
        <w:rPr>
          <w:lang w:eastAsia="et-EE"/>
        </w:rPr>
      </w:pPr>
      <w:r w:rsidRPr="00C50854">
        <w:rPr>
          <w:lang w:eastAsia="et-EE"/>
        </w:rPr>
        <w:t>201</w:t>
      </w:r>
      <w:r w:rsidR="00D21B64" w:rsidRPr="00C50854">
        <w:rPr>
          <w:lang w:eastAsia="et-EE"/>
        </w:rPr>
        <w:t>8</w:t>
      </w:r>
      <w:r w:rsidRPr="00C50854">
        <w:rPr>
          <w:lang w:eastAsia="et-EE"/>
        </w:rPr>
        <w:t>. aastaks</w:t>
      </w:r>
      <w:r w:rsidR="00CC6E9A" w:rsidRPr="00C50854">
        <w:rPr>
          <w:lang w:eastAsia="et-EE"/>
        </w:rPr>
        <w:t xml:space="preserve"> pakkus Eestis vaskpaar</w:t>
      </w:r>
      <w:r w:rsidR="006C6F9E" w:rsidRPr="00C50854">
        <w:rPr>
          <w:lang w:eastAsia="et-EE"/>
        </w:rPr>
        <w:t>- ja valguskaabel</w:t>
      </w:r>
      <w:r w:rsidR="00CC6E9A" w:rsidRPr="00C50854">
        <w:rPr>
          <w:lang w:eastAsia="et-EE"/>
        </w:rPr>
        <w:t xml:space="preserve"> kliendiliini baasil </w:t>
      </w:r>
      <w:r w:rsidR="00CE2925" w:rsidRPr="00C50854">
        <w:rPr>
          <w:lang w:eastAsia="et-EE"/>
        </w:rPr>
        <w:t>fikseeritud sidevõrgule kohaliku</w:t>
      </w:r>
      <w:r w:rsidR="00CC6E9A" w:rsidRPr="00C50854">
        <w:rPr>
          <w:lang w:eastAsia="et-EE"/>
        </w:rPr>
        <w:t xml:space="preserve"> juurdepääs</w:t>
      </w:r>
      <w:r w:rsidR="00D62B5F" w:rsidRPr="00C50854">
        <w:rPr>
          <w:lang w:eastAsia="et-EE"/>
        </w:rPr>
        <w:t xml:space="preserve">u </w:t>
      </w:r>
      <w:r w:rsidR="00CE2925" w:rsidRPr="00C50854">
        <w:rPr>
          <w:lang w:eastAsia="et-EE"/>
        </w:rPr>
        <w:t>hulgi</w:t>
      </w:r>
      <w:r w:rsidR="00D62B5F" w:rsidRPr="00C50854">
        <w:rPr>
          <w:lang w:eastAsia="et-EE"/>
        </w:rPr>
        <w:t xml:space="preserve">teenust vaid </w:t>
      </w:r>
      <w:r w:rsidR="00842E86" w:rsidRPr="00C50854">
        <w:rPr>
          <w:lang w:eastAsia="et-EE"/>
        </w:rPr>
        <w:t>k</w:t>
      </w:r>
      <w:r w:rsidR="00D21B64" w:rsidRPr="00C50854">
        <w:rPr>
          <w:lang w:eastAsia="et-EE"/>
        </w:rPr>
        <w:t>aks</w:t>
      </w:r>
      <w:r w:rsidR="00842E86" w:rsidRPr="00C50854">
        <w:rPr>
          <w:lang w:eastAsia="et-EE"/>
        </w:rPr>
        <w:t xml:space="preserve"> </w:t>
      </w:r>
      <w:r w:rsidR="00D62B5F" w:rsidRPr="00C50854">
        <w:rPr>
          <w:lang w:eastAsia="et-EE"/>
        </w:rPr>
        <w:t>ettevõtjat.</w:t>
      </w:r>
      <w:r w:rsidR="006A0058" w:rsidRPr="00C50854">
        <w:rPr>
          <w:lang w:eastAsia="et-EE"/>
        </w:rPr>
        <w:t xml:space="preserve"> Valguskaabel tehnoloogial sidevõrgule juurdepääsu kliendiliine oli kokku 1</w:t>
      </w:r>
      <w:r w:rsidR="00FE2149" w:rsidRPr="00C50854">
        <w:rPr>
          <w:lang w:eastAsia="et-EE"/>
        </w:rPr>
        <w:t>0</w:t>
      </w:r>
      <w:r w:rsidR="006A0058" w:rsidRPr="00C50854">
        <w:rPr>
          <w:lang w:eastAsia="et-EE"/>
        </w:rPr>
        <w:t>.</w:t>
      </w:r>
    </w:p>
    <w:p w14:paraId="3CDC3826" w14:textId="1DB77AA9"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Fikseeritud</w:t>
      </w:r>
      <w:r w:rsidR="00CE2925" w:rsidRPr="00C50854">
        <w:rPr>
          <w:lang w:eastAsia="et-EE"/>
        </w:rPr>
        <w:t xml:space="preserve"> sidevõrgus kohaliku</w:t>
      </w:r>
      <w:r w:rsidRPr="00C50854">
        <w:rPr>
          <w:lang w:eastAsia="et-EE"/>
        </w:rPr>
        <w:t xml:space="preserve"> juurdepääsu hulgiturul esineb tugev vertikaalne integratsioon ning jaeteenuse osutamiseks vajalikku infrastruktuuri omavatel vertikaalselt integreeritud ettevõtjatel puudub üldjuhul huvi pakkuda hulgiteenust nendega jaeteenuse turul konkureerivatele ettevõtjatele. Seega tuleb konkurentsiolukorra hindamiseks analüüsida ettevõtjate turujõudu ka jaemüügituru</w:t>
      </w:r>
      <w:r w:rsidR="00CE2925" w:rsidRPr="00C50854">
        <w:rPr>
          <w:lang w:eastAsia="et-EE"/>
        </w:rPr>
        <w:t>l</w:t>
      </w:r>
      <w:r w:rsidR="004F0397" w:rsidRPr="00C50854">
        <w:rPr>
          <w:lang w:eastAsia="et-EE"/>
        </w:rPr>
        <w:t xml:space="preserve">. </w:t>
      </w:r>
      <w:r w:rsidRPr="00C50854">
        <w:rPr>
          <w:lang w:eastAsia="et-EE"/>
        </w:rPr>
        <w:t>Samuti peab hindama analüüsi kaasatud ettevõtjate omandis oleva sidevõrgu infrastruktuuri tehnilist va</w:t>
      </w:r>
      <w:r w:rsidR="00CE2925" w:rsidRPr="00C50854">
        <w:rPr>
          <w:lang w:eastAsia="et-EE"/>
        </w:rPr>
        <w:t>lmisolekut osutada fikseeritud</w:t>
      </w:r>
      <w:r w:rsidRPr="00C50854">
        <w:rPr>
          <w:lang w:eastAsia="et-EE"/>
        </w:rPr>
        <w:t xml:space="preserve"> sidevõrgu</w:t>
      </w:r>
      <w:r w:rsidR="00CE2925" w:rsidRPr="00C50854">
        <w:rPr>
          <w:lang w:eastAsia="et-EE"/>
        </w:rPr>
        <w:t>s</w:t>
      </w:r>
      <w:r w:rsidRPr="00C50854">
        <w:rPr>
          <w:lang w:eastAsia="et-EE"/>
        </w:rPr>
        <w:t xml:space="preserve"> </w:t>
      </w:r>
      <w:r w:rsidR="00CE2925" w:rsidRPr="00C50854">
        <w:rPr>
          <w:lang w:eastAsia="et-EE"/>
        </w:rPr>
        <w:t xml:space="preserve">kohaliku </w:t>
      </w:r>
      <w:r w:rsidRPr="00C50854">
        <w:rPr>
          <w:lang w:eastAsia="et-EE"/>
        </w:rPr>
        <w:t xml:space="preserve">juurdepääsu </w:t>
      </w:r>
      <w:r w:rsidR="00CE2925" w:rsidRPr="00C50854">
        <w:rPr>
          <w:lang w:eastAsia="et-EE"/>
        </w:rPr>
        <w:t>hulgi</w:t>
      </w:r>
      <w:r w:rsidRPr="00C50854">
        <w:rPr>
          <w:lang w:eastAsia="et-EE"/>
        </w:rPr>
        <w:t>teenust</w:t>
      </w:r>
      <w:r w:rsidR="004F0397" w:rsidRPr="00C50854">
        <w:rPr>
          <w:lang w:eastAsia="et-EE"/>
        </w:rPr>
        <w:t>.</w:t>
      </w:r>
      <w:r w:rsidR="00776F3C" w:rsidRPr="00C50854">
        <w:rPr>
          <w:lang w:eastAsia="et-EE"/>
        </w:rPr>
        <w:t xml:space="preserve"> </w:t>
      </w:r>
    </w:p>
    <w:p w14:paraId="22E977AB" w14:textId="71A09F87" w:rsidR="00363779" w:rsidRPr="00C50854" w:rsidRDefault="00363779" w:rsidP="00311E1F">
      <w:pPr>
        <w:numPr>
          <w:ilvl w:val="0"/>
          <w:numId w:val="13"/>
        </w:numPr>
        <w:suppressAutoHyphens w:val="0"/>
        <w:autoSpaceDE w:val="0"/>
        <w:autoSpaceDN w:val="0"/>
        <w:adjustRightInd w:val="0"/>
        <w:spacing w:before="120" w:after="120"/>
        <w:jc w:val="both"/>
        <w:rPr>
          <w:lang w:eastAsia="et-EE"/>
        </w:rPr>
      </w:pPr>
      <w:r w:rsidRPr="00C50854">
        <w:rPr>
          <w:rFonts w:eastAsia="Calibri"/>
        </w:rPr>
        <w:t>Tegemist on oma tähtsust kaotava juurdepääsu hulgituruga.</w:t>
      </w:r>
    </w:p>
    <w:p w14:paraId="6F4BFB60" w14:textId="6C4B4A94" w:rsidR="00776F3C" w:rsidRPr="00C50854" w:rsidRDefault="00776F3C"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Laiaulatuslik </w:t>
      </w:r>
      <w:proofErr w:type="spellStart"/>
      <w:r w:rsidR="005620AA" w:rsidRPr="00C50854">
        <w:rPr>
          <w:i/>
          <w:iCs/>
          <w:lang w:eastAsia="et-EE"/>
        </w:rPr>
        <w:t>vectoring</w:t>
      </w:r>
      <w:proofErr w:type="spellEnd"/>
      <w:r w:rsidR="005620AA" w:rsidRPr="00C50854">
        <w:rPr>
          <w:lang w:eastAsia="et-EE"/>
        </w:rPr>
        <w:t xml:space="preserve"> </w:t>
      </w:r>
      <w:r w:rsidRPr="00C50854">
        <w:rPr>
          <w:lang w:eastAsia="et-EE"/>
        </w:rPr>
        <w:t xml:space="preserve">tehnoloogiale üleminek võib kardinaalselt muuta asjaomase turu olukorda ning tagajärjeks võib olla nimetatud turu </w:t>
      </w:r>
      <w:proofErr w:type="spellStart"/>
      <w:r w:rsidRPr="00C50854">
        <w:rPr>
          <w:lang w:eastAsia="et-EE"/>
        </w:rPr>
        <w:t>dereguleerimine</w:t>
      </w:r>
      <w:proofErr w:type="spellEnd"/>
      <w:r w:rsidRPr="00C50854">
        <w:rPr>
          <w:lang w:eastAsia="et-EE"/>
        </w:rPr>
        <w:t>.</w:t>
      </w:r>
    </w:p>
    <w:p w14:paraId="6762CCDD" w14:textId="77777777" w:rsidR="00CC6E9A" w:rsidRPr="00C50854" w:rsidRDefault="00CC6E9A" w:rsidP="00CC6E9A">
      <w:pPr>
        <w:pStyle w:val="Pealkiri3"/>
        <w:rPr>
          <w:bCs w:val="0"/>
          <w:i/>
          <w:iCs/>
        </w:rPr>
      </w:pPr>
      <w:bookmarkStart w:id="231" w:name="_Toc464639343"/>
      <w:bookmarkStart w:id="232" w:name="_Ref465253887"/>
      <w:bookmarkStart w:id="233" w:name="_Ref465421912"/>
      <w:bookmarkStart w:id="234" w:name="_Toc42072447"/>
      <w:r w:rsidRPr="00C50854">
        <w:rPr>
          <w:bCs w:val="0"/>
          <w:i/>
          <w:iCs/>
        </w:rPr>
        <w:t>4.3.2. Ettevõtja üldine suurus</w:t>
      </w:r>
      <w:bookmarkEnd w:id="231"/>
      <w:bookmarkEnd w:id="232"/>
      <w:bookmarkEnd w:id="233"/>
      <w:bookmarkEnd w:id="234"/>
    </w:p>
    <w:p w14:paraId="545A29ED" w14:textId="77777777" w:rsidR="00CC6E9A" w:rsidRPr="00C50854" w:rsidRDefault="00CC6E9A" w:rsidP="004D4AF8">
      <w:pPr>
        <w:pStyle w:val="Pealkiri4"/>
      </w:pPr>
      <w:bookmarkStart w:id="235" w:name="_Ref464478652"/>
      <w:bookmarkStart w:id="236" w:name="_Ref464478663"/>
      <w:bookmarkStart w:id="237" w:name="_Ref464478676"/>
      <w:bookmarkStart w:id="238" w:name="_Toc464639344"/>
      <w:r w:rsidRPr="00C50854">
        <w:t>4.3.2.1. Infrastruktuur ja investeeringud</w:t>
      </w:r>
      <w:bookmarkEnd w:id="235"/>
      <w:bookmarkEnd w:id="236"/>
      <w:bookmarkEnd w:id="237"/>
      <w:bookmarkEnd w:id="238"/>
    </w:p>
    <w:p w14:paraId="22075BAA" w14:textId="3BA11045"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Infrastruktuuri olemasolu, ulatus ja tehniline valmisolek omavad fikseeritud </w:t>
      </w:r>
      <w:r w:rsidR="00475AF1" w:rsidRPr="00C50854">
        <w:rPr>
          <w:lang w:eastAsia="et-EE"/>
        </w:rPr>
        <w:t xml:space="preserve">sidevõrgus kohaliku </w:t>
      </w:r>
      <w:r w:rsidRPr="00C50854">
        <w:rPr>
          <w:lang w:eastAsia="et-EE"/>
        </w:rPr>
        <w:t>juurdepääsu hulgiteenuste osutamisel</w:t>
      </w:r>
      <w:r w:rsidR="00225B0B" w:rsidRPr="00C50854">
        <w:rPr>
          <w:lang w:eastAsia="et-EE"/>
        </w:rPr>
        <w:t xml:space="preserve"> suurt tähtsust</w:t>
      </w:r>
      <w:r w:rsidRPr="00C50854">
        <w:rPr>
          <w:lang w:eastAsia="et-EE"/>
        </w:rPr>
        <w:t xml:space="preserve">, kuna vastava infrastruktuuri omamine on eelduseks </w:t>
      </w:r>
      <w:r w:rsidR="00475AF1" w:rsidRPr="00C50854">
        <w:rPr>
          <w:lang w:eastAsia="et-EE"/>
        </w:rPr>
        <w:t xml:space="preserve">nimetatud </w:t>
      </w:r>
      <w:r w:rsidRPr="00C50854">
        <w:rPr>
          <w:lang w:eastAsia="et-EE"/>
        </w:rPr>
        <w:t>juurdepääsu</w:t>
      </w:r>
      <w:r w:rsidR="00475AF1" w:rsidRPr="00C50854">
        <w:rPr>
          <w:lang w:eastAsia="et-EE"/>
        </w:rPr>
        <w:t xml:space="preserve"> hulgi</w:t>
      </w:r>
      <w:r w:rsidRPr="00C50854">
        <w:rPr>
          <w:lang w:eastAsia="et-EE"/>
        </w:rPr>
        <w:t>teenuste osutamisel</w:t>
      </w:r>
      <w:r w:rsidR="00475AF1" w:rsidRPr="00C50854">
        <w:rPr>
          <w:lang w:eastAsia="et-EE"/>
        </w:rPr>
        <w:t xml:space="preserve"> nii endale kui ka teistele sideettevõtjatele</w:t>
      </w:r>
      <w:r w:rsidRPr="00C50854">
        <w:rPr>
          <w:lang w:eastAsia="et-EE"/>
        </w:rPr>
        <w:t xml:space="preserve">. Laialdase infrastruktuuri omamine võib anda ettevõtjale olulise eelise </w:t>
      </w:r>
      <w:r w:rsidR="00475AF1" w:rsidRPr="00C50854">
        <w:rPr>
          <w:lang w:eastAsia="et-EE"/>
        </w:rPr>
        <w:t>sideteenuste</w:t>
      </w:r>
      <w:r w:rsidRPr="00C50854">
        <w:rPr>
          <w:lang w:eastAsia="et-EE"/>
        </w:rPr>
        <w:t xml:space="preserve"> osutamisel võrreldes ettevõtjatega, kellel vastav võrguinfrastruktuur puudub või on piiratud ulatusega.</w:t>
      </w:r>
    </w:p>
    <w:p w14:paraId="31C7CB3B" w14:textId="63C4402E"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 xml:space="preserve">Kuna jaeteenuseid osutatakse põhiliselt ettevõtjale kuuluva sidevõrgu infrastruktuuri vahendusel, st fikseeritud </w:t>
      </w:r>
      <w:r w:rsidR="00A64890" w:rsidRPr="00C50854">
        <w:rPr>
          <w:lang w:eastAsia="et-EE"/>
        </w:rPr>
        <w:t>sidevõrgus kohaliku juurdepääs hulgiteenust</w:t>
      </w:r>
      <w:r w:rsidRPr="00C50854">
        <w:rPr>
          <w:lang w:eastAsia="et-EE"/>
        </w:rPr>
        <w:t xml:space="preserve"> osutatakse ettevõttesiseselt oma jaemüügiüksuse</w:t>
      </w:r>
      <w:r w:rsidR="00A64890" w:rsidRPr="00C50854">
        <w:rPr>
          <w:lang w:eastAsia="et-EE"/>
        </w:rPr>
        <w:t>le</w:t>
      </w:r>
      <w:r w:rsidRPr="00C50854">
        <w:rPr>
          <w:lang w:eastAsia="et-EE"/>
        </w:rPr>
        <w:t>,</w:t>
      </w:r>
      <w:r w:rsidR="00A64890" w:rsidRPr="00C50854">
        <w:rPr>
          <w:lang w:eastAsia="et-EE"/>
        </w:rPr>
        <w:t xml:space="preserve"> siis</w:t>
      </w:r>
      <w:r w:rsidRPr="00C50854">
        <w:rPr>
          <w:lang w:eastAsia="et-EE"/>
        </w:rPr>
        <w:t xml:space="preserve"> on selliselt jaeteenuseid osutavad ettevõtjad vertikaalselt integreeritud.</w:t>
      </w:r>
    </w:p>
    <w:p w14:paraId="58CC6D33" w14:textId="0917B6D6"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Kui ettevõtjad on ettevõttesiseselt võimelised osutama oma jaeüksustele fikseeritud sidevõrgu</w:t>
      </w:r>
      <w:r w:rsidR="00A64890" w:rsidRPr="00C50854">
        <w:rPr>
          <w:lang w:eastAsia="et-EE"/>
        </w:rPr>
        <w:t>s kohaliku</w:t>
      </w:r>
      <w:r w:rsidRPr="00C50854">
        <w:rPr>
          <w:lang w:eastAsia="et-EE"/>
        </w:rPr>
        <w:t xml:space="preserve"> juurdepääsu </w:t>
      </w:r>
      <w:r w:rsidR="00A64890" w:rsidRPr="00C50854">
        <w:rPr>
          <w:lang w:eastAsia="et-EE"/>
        </w:rPr>
        <w:t>hulgi</w:t>
      </w:r>
      <w:r w:rsidRPr="00C50854">
        <w:rPr>
          <w:lang w:eastAsia="et-EE"/>
        </w:rPr>
        <w:t xml:space="preserve">teenuseid, </w:t>
      </w:r>
      <w:r w:rsidR="00A64890" w:rsidRPr="00C50854">
        <w:rPr>
          <w:lang w:eastAsia="et-EE"/>
        </w:rPr>
        <w:t xml:space="preserve">siis </w:t>
      </w:r>
      <w:r w:rsidRPr="00C50854">
        <w:rPr>
          <w:lang w:eastAsia="et-EE"/>
        </w:rPr>
        <w:t xml:space="preserve">on nad järelikult võimelised osutama selliseid hulgiteenuseid ka teistele seda teenust osta soovivatele </w:t>
      </w:r>
      <w:r w:rsidR="00A64890" w:rsidRPr="00C50854">
        <w:rPr>
          <w:lang w:eastAsia="et-EE"/>
        </w:rPr>
        <w:t>side</w:t>
      </w:r>
      <w:r w:rsidRPr="00C50854">
        <w:rPr>
          <w:lang w:eastAsia="et-EE"/>
        </w:rPr>
        <w:t>ettevõtjatele, kes soovivad osutada selle vahendusel elektroonilise s</w:t>
      </w:r>
      <w:r w:rsidR="00243EDC" w:rsidRPr="00C50854">
        <w:rPr>
          <w:lang w:eastAsia="et-EE"/>
        </w:rPr>
        <w:t xml:space="preserve">ide </w:t>
      </w:r>
      <w:r w:rsidR="00A64890" w:rsidRPr="00C50854">
        <w:rPr>
          <w:lang w:eastAsia="et-EE"/>
        </w:rPr>
        <w:t>jae</w:t>
      </w:r>
      <w:r w:rsidR="00243EDC" w:rsidRPr="00C50854">
        <w:rPr>
          <w:lang w:eastAsia="et-EE"/>
        </w:rPr>
        <w:t xml:space="preserve">teenuseid lõppkasutajatele. </w:t>
      </w:r>
      <w:r w:rsidR="00F45762" w:rsidRPr="00C50854">
        <w:rPr>
          <w:lang w:eastAsia="et-EE"/>
        </w:rPr>
        <w:t xml:space="preserve">Ettevõtja </w:t>
      </w:r>
      <w:r w:rsidRPr="00C50854">
        <w:rPr>
          <w:lang w:eastAsia="et-EE"/>
        </w:rPr>
        <w:t xml:space="preserve">turujõu kindlakstegemisel omab ennekõike kaalu </w:t>
      </w:r>
      <w:r w:rsidR="00A64890" w:rsidRPr="00C50854">
        <w:rPr>
          <w:lang w:eastAsia="et-EE"/>
        </w:rPr>
        <w:t>side</w:t>
      </w:r>
      <w:r w:rsidRPr="00C50854">
        <w:rPr>
          <w:lang w:eastAsia="et-EE"/>
        </w:rPr>
        <w:t>ettevõtja</w:t>
      </w:r>
      <w:r w:rsidR="00A64890" w:rsidRPr="00C50854">
        <w:rPr>
          <w:lang w:eastAsia="et-EE"/>
        </w:rPr>
        <w:t>le</w:t>
      </w:r>
      <w:r w:rsidRPr="00C50854">
        <w:rPr>
          <w:lang w:eastAsia="et-EE"/>
        </w:rPr>
        <w:t xml:space="preserve"> reaal</w:t>
      </w:r>
      <w:r w:rsidR="00A64890" w:rsidRPr="00C50854">
        <w:rPr>
          <w:lang w:eastAsia="et-EE"/>
        </w:rPr>
        <w:t>s</w:t>
      </w:r>
      <w:r w:rsidRPr="00C50854">
        <w:rPr>
          <w:lang w:eastAsia="et-EE"/>
        </w:rPr>
        <w:t>e</w:t>
      </w:r>
      <w:r w:rsidR="00A64890" w:rsidRPr="00C50854">
        <w:rPr>
          <w:lang w:eastAsia="et-EE"/>
        </w:rPr>
        <w:t>lt</w:t>
      </w:r>
      <w:r w:rsidRPr="00C50854">
        <w:rPr>
          <w:lang w:eastAsia="et-EE"/>
        </w:rPr>
        <w:t xml:space="preserve"> kuuluv sidevõrk ning majandustegevus.</w:t>
      </w:r>
    </w:p>
    <w:p w14:paraId="35862468" w14:textId="339438CA"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Seega tuleb analüüsida turuanalüüsi kaasatud </w:t>
      </w:r>
      <w:r w:rsidR="00A64890" w:rsidRPr="00C50854">
        <w:rPr>
          <w:lang w:eastAsia="et-EE"/>
        </w:rPr>
        <w:t>side</w:t>
      </w:r>
      <w:r w:rsidRPr="00C50854">
        <w:rPr>
          <w:lang w:eastAsia="et-EE"/>
        </w:rPr>
        <w:t xml:space="preserve">ettevõtjate sidevõrgu infrastruktuuri suutlikkust osutada fikseeritud </w:t>
      </w:r>
      <w:r w:rsidR="00A64890" w:rsidRPr="00C50854">
        <w:rPr>
          <w:lang w:eastAsia="et-EE"/>
        </w:rPr>
        <w:t xml:space="preserve">sidevõrgus kohaliku </w:t>
      </w:r>
      <w:r w:rsidRPr="00C50854">
        <w:rPr>
          <w:lang w:eastAsia="et-EE"/>
        </w:rPr>
        <w:t xml:space="preserve">juurdepääsu hulgiteenuseid, mille tulemusest selgub, millises ulatuses on </w:t>
      </w:r>
      <w:r w:rsidR="00A64890" w:rsidRPr="00C50854">
        <w:rPr>
          <w:lang w:eastAsia="et-EE"/>
        </w:rPr>
        <w:t>side</w:t>
      </w:r>
      <w:r w:rsidRPr="00C50854">
        <w:rPr>
          <w:lang w:eastAsia="et-EE"/>
        </w:rPr>
        <w:t>ettevõtjad potentsiaalselt võimelised vastavaid hulgiteenuseid osutama.</w:t>
      </w:r>
    </w:p>
    <w:p w14:paraId="762F6C51" w14:textId="77777777"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Elektroonilise side teenuste osutamiseks kasutatav infrastruktuur jaguneb peamiselt kaheks osaks: ülekandevõrk ja juurdepääsuvõrk.</w:t>
      </w:r>
    </w:p>
    <w:p w14:paraId="145B44A8" w14:textId="62881996"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Fikseeritud </w:t>
      </w:r>
      <w:r w:rsidR="00A64890" w:rsidRPr="00C50854">
        <w:rPr>
          <w:lang w:eastAsia="et-EE"/>
        </w:rPr>
        <w:t xml:space="preserve">sidevõrgus kohaliku </w:t>
      </w:r>
      <w:r w:rsidRPr="00C50854">
        <w:rPr>
          <w:lang w:eastAsia="et-EE"/>
        </w:rPr>
        <w:t xml:space="preserve">juurdepääsu hulgiteenuste osutamisel omab </w:t>
      </w:r>
      <w:r w:rsidR="00A64890" w:rsidRPr="00C50854">
        <w:rPr>
          <w:lang w:eastAsia="et-EE"/>
        </w:rPr>
        <w:t>peamist</w:t>
      </w:r>
      <w:r w:rsidRPr="00C50854">
        <w:rPr>
          <w:lang w:eastAsia="et-EE"/>
        </w:rPr>
        <w:t xml:space="preserve"> osa juurdepääsuvõrgu infrastruktuur, mis võimaldab jaeturul osutada jaeteenuseid lõppkasutajatele, aga ka vastavaid hulgiteenuseid teistele sideettevõtjatele. Seetõttu on antud turuanalüüsi raames asjakohane analüüsida turuanalüüsi kaasatud sideettevõtjate juurdepääsuvõrgu infrastruktuuri.</w:t>
      </w:r>
    </w:p>
    <w:p w14:paraId="0C65A3CC" w14:textId="706C3060" w:rsidR="00CC6E9A" w:rsidRPr="00C50854" w:rsidRDefault="00872D29" w:rsidP="00311E1F">
      <w:pPr>
        <w:numPr>
          <w:ilvl w:val="0"/>
          <w:numId w:val="13"/>
        </w:numPr>
        <w:suppressAutoHyphens w:val="0"/>
        <w:autoSpaceDE w:val="0"/>
        <w:autoSpaceDN w:val="0"/>
        <w:adjustRightInd w:val="0"/>
        <w:spacing w:before="120" w:after="120"/>
        <w:jc w:val="both"/>
        <w:rPr>
          <w:lang w:eastAsia="et-EE"/>
        </w:rPr>
      </w:pPr>
      <w:r w:rsidRPr="00C50854">
        <w:rPr>
          <w:lang w:eastAsia="et-EE"/>
        </w:rPr>
        <w:t>201</w:t>
      </w:r>
      <w:r w:rsidR="009E28E1" w:rsidRPr="00C50854">
        <w:rPr>
          <w:lang w:eastAsia="et-EE"/>
        </w:rPr>
        <w:t>8</w:t>
      </w:r>
      <w:r w:rsidR="00CC6E9A" w:rsidRPr="00C50854">
        <w:rPr>
          <w:lang w:eastAsia="et-EE"/>
        </w:rPr>
        <w:t>. aasta lõpu seisuga olid analüüsi</w:t>
      </w:r>
      <w:r w:rsidR="00681A80" w:rsidRPr="00C50854">
        <w:rPr>
          <w:lang w:eastAsia="et-EE"/>
        </w:rPr>
        <w:t xml:space="preserve"> </w:t>
      </w:r>
      <w:r w:rsidR="00CC6E9A" w:rsidRPr="00C50854">
        <w:rPr>
          <w:lang w:eastAsia="et-EE"/>
        </w:rPr>
        <w:t xml:space="preserve"> kaasatud ettevõtjad Eestis välja ehitanud kokku</w:t>
      </w:r>
      <w:r w:rsidR="0067707F" w:rsidRPr="00C50854">
        <w:rPr>
          <w:lang w:eastAsia="et-EE"/>
        </w:rPr>
        <w:t xml:space="preserve"> </w:t>
      </w:r>
      <w:r w:rsidR="00CC6E9A" w:rsidRPr="00C50854">
        <w:rPr>
          <w:lang w:eastAsia="et-EE"/>
        </w:rPr>
        <w:t xml:space="preserve"> </w:t>
      </w:r>
      <w:r w:rsidR="0006624E" w:rsidRPr="00C50854">
        <w:rPr>
          <w:lang w:eastAsia="et-EE"/>
        </w:rPr>
        <w:t>1</w:t>
      </w:r>
      <w:r w:rsidR="00C16418" w:rsidRPr="00C50854">
        <w:rPr>
          <w:lang w:eastAsia="et-EE"/>
        </w:rPr>
        <w:t> </w:t>
      </w:r>
      <w:r w:rsidR="0006624E" w:rsidRPr="00C50854">
        <w:rPr>
          <w:lang w:eastAsia="et-EE"/>
        </w:rPr>
        <w:t>307</w:t>
      </w:r>
      <w:r w:rsidR="0067707F" w:rsidRPr="00C50854">
        <w:rPr>
          <w:lang w:eastAsia="et-EE"/>
        </w:rPr>
        <w:t> </w:t>
      </w:r>
      <w:r w:rsidR="0006624E" w:rsidRPr="00C50854">
        <w:rPr>
          <w:lang w:eastAsia="et-EE"/>
        </w:rPr>
        <w:t>728</w:t>
      </w:r>
      <w:r w:rsidR="0067707F" w:rsidRPr="00C50854">
        <w:rPr>
          <w:lang w:eastAsia="et-EE"/>
        </w:rPr>
        <w:t xml:space="preserve"> </w:t>
      </w:r>
      <w:r w:rsidR="00CC6E9A" w:rsidRPr="00C50854">
        <w:rPr>
          <w:lang w:eastAsia="et-EE"/>
        </w:rPr>
        <w:t xml:space="preserve">vaskpaar- ja valguskaabel kliendiliini; nendest ligi </w:t>
      </w:r>
      <w:r w:rsidR="009E28E1" w:rsidRPr="00C50854">
        <w:rPr>
          <w:lang w:eastAsia="et-EE"/>
        </w:rPr>
        <w:t xml:space="preserve">301 424 </w:t>
      </w:r>
      <w:r w:rsidR="00CC6E9A" w:rsidRPr="00C50854">
        <w:rPr>
          <w:lang w:eastAsia="et-EE"/>
        </w:rPr>
        <w:t xml:space="preserve">kliendiliini on lairibateenuse osutamisel aktiivselt kasutuses. Aktiivsetest lairiba kliendiliinidest kuulub </w:t>
      </w:r>
      <w:r w:rsidRPr="00C50854">
        <w:rPr>
          <w:lang w:eastAsia="et-EE"/>
        </w:rPr>
        <w:t>Teliale</w:t>
      </w:r>
      <w:r w:rsidR="00CC6E9A" w:rsidRPr="00C50854">
        <w:rPr>
          <w:lang w:eastAsia="et-EE"/>
        </w:rPr>
        <w:t xml:space="preserve"> </w:t>
      </w:r>
      <w:r w:rsidR="00305C05">
        <w:rPr>
          <w:lang w:eastAsia="et-EE"/>
        </w:rPr>
        <w:t>…*</w:t>
      </w:r>
      <w:r w:rsidR="00CC6E9A" w:rsidRPr="00C50854">
        <w:rPr>
          <w:lang w:eastAsia="et-EE"/>
        </w:rPr>
        <w:t xml:space="preserve">, </w:t>
      </w:r>
      <w:r w:rsidR="00887B7D" w:rsidRPr="00C50854">
        <w:rPr>
          <w:lang w:eastAsia="et-EE"/>
        </w:rPr>
        <w:t xml:space="preserve">STV-le </w:t>
      </w:r>
      <w:r w:rsidR="00305C05">
        <w:rPr>
          <w:lang w:eastAsia="et-EE"/>
        </w:rPr>
        <w:t>…*</w:t>
      </w:r>
      <w:r w:rsidR="00CC6E9A" w:rsidRPr="00C50854">
        <w:rPr>
          <w:lang w:eastAsia="et-EE"/>
        </w:rPr>
        <w:t xml:space="preserve"> ja </w:t>
      </w:r>
      <w:r w:rsidR="00887B7D" w:rsidRPr="00C50854">
        <w:rPr>
          <w:lang w:eastAsia="et-EE"/>
        </w:rPr>
        <w:t>Teleteenustele</w:t>
      </w:r>
      <w:r w:rsidR="00CC6E9A" w:rsidRPr="00C50854">
        <w:rPr>
          <w:lang w:eastAsia="et-EE"/>
        </w:rPr>
        <w:t xml:space="preserve"> </w:t>
      </w:r>
      <w:r w:rsidR="00305C05">
        <w:rPr>
          <w:lang w:eastAsia="et-EE"/>
        </w:rPr>
        <w:t>…*</w:t>
      </w:r>
      <w:r w:rsidR="00CC6E9A" w:rsidRPr="00C50854">
        <w:rPr>
          <w:lang w:eastAsia="et-EE"/>
        </w:rPr>
        <w:t xml:space="preserve"> </w:t>
      </w:r>
      <w:r w:rsidR="00D86960" w:rsidRPr="00C50854">
        <w:rPr>
          <w:lang w:eastAsia="et-EE"/>
        </w:rPr>
        <w:t xml:space="preserve">(vt </w:t>
      </w:r>
      <w:r w:rsidRPr="00C50854">
        <w:rPr>
          <w:lang w:eastAsia="et-EE"/>
        </w:rPr>
        <w:fldChar w:fldCharType="begin"/>
      </w:r>
      <w:r w:rsidRPr="00C50854">
        <w:rPr>
          <w:lang w:eastAsia="et-EE"/>
        </w:rPr>
        <w:instrText xml:space="preserve"> REF _Ref223924010 \h  \* MERGEFORMAT </w:instrText>
      </w:r>
      <w:r w:rsidRPr="00C50854">
        <w:rPr>
          <w:lang w:eastAsia="et-EE"/>
        </w:rPr>
      </w:r>
      <w:r w:rsidRPr="00C50854">
        <w:rPr>
          <w:lang w:eastAsia="et-EE"/>
        </w:rPr>
        <w:fldChar w:fldCharType="separate"/>
      </w:r>
      <w:r w:rsidR="00976AEB" w:rsidRPr="00C50854">
        <w:rPr>
          <w:lang w:eastAsia="et-EE"/>
        </w:rPr>
        <w:t>Tabel 18</w:t>
      </w:r>
      <w:r w:rsidRPr="00C50854">
        <w:rPr>
          <w:lang w:eastAsia="et-EE"/>
        </w:rPr>
        <w:fldChar w:fldCharType="end"/>
      </w:r>
      <w:r w:rsidR="00D86960" w:rsidRPr="00C50854">
        <w:rPr>
          <w:lang w:eastAsia="et-EE"/>
        </w:rPr>
        <w:t>)</w:t>
      </w:r>
      <w:r w:rsidR="00CC6E9A" w:rsidRPr="00C50854">
        <w:rPr>
          <w:lang w:eastAsia="et-EE"/>
        </w:rPr>
        <w:t xml:space="preserve">. </w:t>
      </w:r>
      <w:r w:rsidR="00BC51A3" w:rsidRPr="00C50854">
        <w:rPr>
          <w:lang w:eastAsia="et-EE"/>
        </w:rPr>
        <w:t>Teiste turuosaliste</w:t>
      </w:r>
      <w:r w:rsidR="007C7D55" w:rsidRPr="00C50854">
        <w:rPr>
          <w:lang w:eastAsia="et-EE"/>
        </w:rPr>
        <w:t xml:space="preserve"> </w:t>
      </w:r>
      <w:r w:rsidR="00CC6E9A" w:rsidRPr="00C50854">
        <w:rPr>
          <w:lang w:eastAsia="et-EE"/>
        </w:rPr>
        <w:t xml:space="preserve"> aktiivsete kliendiliinide arv moodustab </w:t>
      </w:r>
      <w:r w:rsidR="00305C05">
        <w:rPr>
          <w:lang w:eastAsia="et-EE"/>
        </w:rPr>
        <w:t>…*</w:t>
      </w:r>
      <w:r w:rsidR="00CC6E9A" w:rsidRPr="00C50854">
        <w:rPr>
          <w:lang w:eastAsia="et-EE"/>
        </w:rPr>
        <w:t xml:space="preserve"> </w:t>
      </w:r>
      <w:r w:rsidR="001F00D6" w:rsidRPr="00C50854">
        <w:rPr>
          <w:lang w:eastAsia="et-EE"/>
        </w:rPr>
        <w:t xml:space="preserve">vaadeldavatest </w:t>
      </w:r>
      <w:r w:rsidR="00CC6E9A" w:rsidRPr="00C50854">
        <w:rPr>
          <w:lang w:eastAsia="et-EE"/>
        </w:rPr>
        <w:t>aktiivsete kliendiliinide kogumahust.</w:t>
      </w:r>
    </w:p>
    <w:p w14:paraId="32497684" w14:textId="10FC64DA"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Turuanalüüsi kaasatud </w:t>
      </w:r>
      <w:r w:rsidR="00A57E52" w:rsidRPr="00C50854">
        <w:rPr>
          <w:lang w:eastAsia="et-EE"/>
        </w:rPr>
        <w:t>k</w:t>
      </w:r>
      <w:r w:rsidR="00887B7D" w:rsidRPr="00C50854">
        <w:rPr>
          <w:lang w:eastAsia="et-EE"/>
        </w:rPr>
        <w:t>aheksast</w:t>
      </w:r>
      <w:r w:rsidR="00A57E52" w:rsidRPr="00C50854">
        <w:rPr>
          <w:lang w:eastAsia="et-EE"/>
        </w:rPr>
        <w:t xml:space="preserve"> </w:t>
      </w:r>
      <w:r w:rsidRPr="00C50854">
        <w:rPr>
          <w:lang w:eastAsia="et-EE"/>
        </w:rPr>
        <w:t xml:space="preserve">sideettevõtjast </w:t>
      </w:r>
      <w:r w:rsidR="00887B7D" w:rsidRPr="00C50854">
        <w:rPr>
          <w:lang w:eastAsia="et-EE"/>
        </w:rPr>
        <w:t>seitsmel</w:t>
      </w:r>
      <w:r w:rsidR="00A57E52" w:rsidRPr="00C50854">
        <w:rPr>
          <w:lang w:eastAsia="et-EE"/>
        </w:rPr>
        <w:t xml:space="preserve"> </w:t>
      </w:r>
      <w:r w:rsidRPr="00C50854">
        <w:rPr>
          <w:lang w:eastAsia="et-EE"/>
        </w:rPr>
        <w:t>on üksnes piiratud ulatusega lokaalne sidevõrgu infrastruktuur, mille maht nii välja</w:t>
      </w:r>
      <w:r w:rsidR="00C16418" w:rsidRPr="00C50854">
        <w:rPr>
          <w:lang w:eastAsia="et-EE"/>
        </w:rPr>
        <w:t xml:space="preserve"> </w:t>
      </w:r>
      <w:r w:rsidRPr="00C50854">
        <w:rPr>
          <w:lang w:eastAsia="et-EE"/>
        </w:rPr>
        <w:t>ehitatud kui ka aktiivsete</w:t>
      </w:r>
      <w:r w:rsidR="00AC0B11" w:rsidRPr="00C50854">
        <w:rPr>
          <w:lang w:eastAsia="et-EE"/>
        </w:rPr>
        <w:t xml:space="preserve"> </w:t>
      </w:r>
      <w:r w:rsidR="00B65A0B" w:rsidRPr="00C50854">
        <w:rPr>
          <w:lang w:eastAsia="et-EE"/>
        </w:rPr>
        <w:t xml:space="preserve">lairiba ühendust võimaldavate </w:t>
      </w:r>
      <w:r w:rsidRPr="00C50854">
        <w:rPr>
          <w:lang w:eastAsia="et-EE"/>
        </w:rPr>
        <w:t xml:space="preserve"> kl</w:t>
      </w:r>
      <w:r w:rsidR="00BC51A3" w:rsidRPr="00C50854">
        <w:rPr>
          <w:lang w:eastAsia="et-EE"/>
        </w:rPr>
        <w:t>iendiliinide poolest jääb</w:t>
      </w:r>
      <w:r w:rsidR="00AC0B11" w:rsidRPr="00C50854">
        <w:rPr>
          <w:lang w:eastAsia="et-EE"/>
        </w:rPr>
        <w:t xml:space="preserve"> kõigil</w:t>
      </w:r>
      <w:r w:rsidR="00BC51A3" w:rsidRPr="00C50854">
        <w:rPr>
          <w:lang w:eastAsia="et-EE"/>
        </w:rPr>
        <w:t xml:space="preserve"> alla </w:t>
      </w:r>
      <w:r w:rsidR="00305C05">
        <w:rPr>
          <w:lang w:eastAsia="et-EE"/>
        </w:rPr>
        <w:t>…*</w:t>
      </w:r>
      <w:r w:rsidRPr="00C50854">
        <w:rPr>
          <w:lang w:eastAsia="et-EE"/>
        </w:rPr>
        <w:t xml:space="preserve">. </w:t>
      </w:r>
      <w:r w:rsidR="00C16745" w:rsidRPr="00C50854">
        <w:rPr>
          <w:lang w:eastAsia="et-EE"/>
        </w:rPr>
        <w:t xml:space="preserve">Telial </w:t>
      </w:r>
      <w:r w:rsidRPr="00C50854">
        <w:rPr>
          <w:lang w:eastAsia="et-EE"/>
        </w:rPr>
        <w:t xml:space="preserve">on ligikaudu </w:t>
      </w:r>
      <w:r w:rsidR="00305C05">
        <w:rPr>
          <w:lang w:eastAsia="et-EE"/>
        </w:rPr>
        <w:t xml:space="preserve">…* </w:t>
      </w:r>
      <w:r w:rsidRPr="00C50854">
        <w:rPr>
          <w:lang w:eastAsia="et-EE"/>
        </w:rPr>
        <w:t>vaskpaar- ja valguskaabel kliendiliinidel põhinevat</w:t>
      </w:r>
      <w:r w:rsidR="00976AEB" w:rsidRPr="00C50854">
        <w:t xml:space="preserve"> </w:t>
      </w:r>
      <w:r w:rsidR="00976AEB" w:rsidRPr="00C50854">
        <w:rPr>
          <w:lang w:eastAsia="et-EE"/>
        </w:rPr>
        <w:t xml:space="preserve">nn lokaalne sidevõrgu infrastruktuuri, </w:t>
      </w:r>
      <w:r w:rsidRPr="00C50854">
        <w:rPr>
          <w:lang w:eastAsia="et-EE"/>
        </w:rPr>
        <w:t xml:space="preserve">millest igaüks teenindab oma asukoha piirkonda, mis paiknevad üle Eesti. Nimetatud sidevõrgud moodustavad kokku </w:t>
      </w:r>
      <w:r w:rsidR="00305C05">
        <w:rPr>
          <w:lang w:eastAsia="et-EE"/>
        </w:rPr>
        <w:t>…*</w:t>
      </w:r>
      <w:r w:rsidR="00DB2ED2" w:rsidRPr="00C50854">
        <w:rPr>
          <w:lang w:eastAsia="et-EE"/>
        </w:rPr>
        <w:t xml:space="preserve"> välja</w:t>
      </w:r>
      <w:r w:rsidR="00C16418" w:rsidRPr="00C50854">
        <w:rPr>
          <w:lang w:eastAsia="et-EE"/>
        </w:rPr>
        <w:t xml:space="preserve"> </w:t>
      </w:r>
      <w:r w:rsidR="00DB2ED2" w:rsidRPr="00C50854">
        <w:rPr>
          <w:lang w:eastAsia="et-EE"/>
        </w:rPr>
        <w:t xml:space="preserve">ehitatud ja </w:t>
      </w:r>
      <w:r w:rsidR="00305C05">
        <w:rPr>
          <w:lang w:eastAsia="et-EE"/>
        </w:rPr>
        <w:t>…*</w:t>
      </w:r>
      <w:r w:rsidRPr="00C50854">
        <w:rPr>
          <w:lang w:eastAsia="et-EE"/>
        </w:rPr>
        <w:t xml:space="preserve"> aktiivsest juurdepääsuvõrgu infrastruktuurist, mille vahendusel on võimalik osutada vaskpaari ja valguskaabli juurdepääsu baasil osutatavaid juurdepääsu hulgiteenuseid.</w:t>
      </w:r>
    </w:p>
    <w:tbl>
      <w:tblPr>
        <w:tblW w:w="9327" w:type="dxa"/>
        <w:tblInd w:w="65" w:type="dxa"/>
        <w:tblLayout w:type="fixed"/>
        <w:tblCellMar>
          <w:left w:w="70" w:type="dxa"/>
          <w:right w:w="70" w:type="dxa"/>
        </w:tblCellMar>
        <w:tblLook w:val="0000" w:firstRow="0" w:lastRow="0" w:firstColumn="0" w:lastColumn="0" w:noHBand="0" w:noVBand="0"/>
      </w:tblPr>
      <w:tblGrid>
        <w:gridCol w:w="2233"/>
        <w:gridCol w:w="1114"/>
        <w:gridCol w:w="1112"/>
        <w:gridCol w:w="1358"/>
        <w:gridCol w:w="1053"/>
        <w:gridCol w:w="1114"/>
        <w:gridCol w:w="1343"/>
      </w:tblGrid>
      <w:tr w:rsidR="00CC6E9A" w:rsidRPr="00C50854" w14:paraId="144F3A46" w14:textId="77777777" w:rsidTr="00904356">
        <w:trPr>
          <w:trHeight w:val="247"/>
        </w:trPr>
        <w:tc>
          <w:tcPr>
            <w:tcW w:w="2233" w:type="dxa"/>
            <w:tcBorders>
              <w:top w:val="double" w:sz="4" w:space="0" w:color="auto"/>
              <w:left w:val="double" w:sz="4" w:space="0" w:color="auto"/>
              <w:right w:val="double" w:sz="4" w:space="0" w:color="auto"/>
            </w:tcBorders>
            <w:shd w:val="clear" w:color="auto" w:fill="CCFFCC"/>
            <w:noWrap/>
            <w:vAlign w:val="center"/>
          </w:tcPr>
          <w:p w14:paraId="475482A4" w14:textId="77777777" w:rsidR="00CC6E9A" w:rsidRPr="00C50854" w:rsidRDefault="00CC6E9A" w:rsidP="00875B07">
            <w:pPr>
              <w:suppressAutoHyphens w:val="0"/>
              <w:jc w:val="center"/>
              <w:rPr>
                <w:b/>
                <w:sz w:val="20"/>
                <w:szCs w:val="20"/>
                <w:lang w:eastAsia="et-EE"/>
              </w:rPr>
            </w:pPr>
            <w:r w:rsidRPr="00C50854">
              <w:rPr>
                <w:b/>
                <w:sz w:val="20"/>
                <w:szCs w:val="20"/>
                <w:lang w:eastAsia="et-EE"/>
              </w:rPr>
              <w:t>Juurdepääsu</w:t>
            </w:r>
            <w:r w:rsidR="00875B07" w:rsidRPr="00C50854">
              <w:rPr>
                <w:b/>
                <w:sz w:val="20"/>
                <w:szCs w:val="20"/>
                <w:lang w:eastAsia="et-EE"/>
              </w:rPr>
              <w:t>-</w:t>
            </w:r>
            <w:r w:rsidRPr="00C50854">
              <w:rPr>
                <w:b/>
                <w:sz w:val="20"/>
                <w:szCs w:val="20"/>
                <w:lang w:eastAsia="et-EE"/>
              </w:rPr>
              <w:t xml:space="preserve">võrgu </w:t>
            </w:r>
          </w:p>
        </w:tc>
        <w:tc>
          <w:tcPr>
            <w:tcW w:w="3584" w:type="dxa"/>
            <w:gridSpan w:val="3"/>
            <w:tcBorders>
              <w:top w:val="double" w:sz="4" w:space="0" w:color="auto"/>
              <w:left w:val="double" w:sz="4" w:space="0" w:color="auto"/>
              <w:bottom w:val="double" w:sz="4" w:space="0" w:color="auto"/>
              <w:right w:val="double" w:sz="4" w:space="0" w:color="auto"/>
            </w:tcBorders>
            <w:shd w:val="clear" w:color="auto" w:fill="CCFFCC"/>
            <w:noWrap/>
            <w:vAlign w:val="center"/>
          </w:tcPr>
          <w:p w14:paraId="10249B82" w14:textId="77777777" w:rsidR="00CC6E9A" w:rsidRPr="00C50854" w:rsidRDefault="00CC6E9A" w:rsidP="00CC6E9A">
            <w:pPr>
              <w:suppressAutoHyphens w:val="0"/>
              <w:jc w:val="center"/>
              <w:rPr>
                <w:b/>
                <w:sz w:val="20"/>
                <w:szCs w:val="20"/>
                <w:lang w:eastAsia="et-EE"/>
              </w:rPr>
            </w:pPr>
            <w:r w:rsidRPr="00C50854">
              <w:rPr>
                <w:b/>
                <w:sz w:val="20"/>
                <w:szCs w:val="20"/>
                <w:lang w:eastAsia="et-EE"/>
              </w:rPr>
              <w:t>Väljaehitatud kliendiliinide arv, mis võimaldavad lairibaühendust (%)</w:t>
            </w:r>
          </w:p>
        </w:tc>
        <w:tc>
          <w:tcPr>
            <w:tcW w:w="3510" w:type="dxa"/>
            <w:gridSpan w:val="3"/>
            <w:tcBorders>
              <w:top w:val="double" w:sz="4" w:space="0" w:color="auto"/>
              <w:left w:val="double" w:sz="4" w:space="0" w:color="auto"/>
              <w:bottom w:val="double" w:sz="4" w:space="0" w:color="auto"/>
              <w:right w:val="double" w:sz="4" w:space="0" w:color="auto"/>
            </w:tcBorders>
            <w:shd w:val="clear" w:color="auto" w:fill="CCFFCC"/>
            <w:noWrap/>
            <w:vAlign w:val="center"/>
          </w:tcPr>
          <w:p w14:paraId="676E7A1B" w14:textId="77777777" w:rsidR="00CC6E9A" w:rsidRPr="00C50854" w:rsidRDefault="00CC6E9A" w:rsidP="00CC6E9A">
            <w:pPr>
              <w:suppressAutoHyphens w:val="0"/>
              <w:ind w:right="-50"/>
              <w:jc w:val="center"/>
              <w:rPr>
                <w:b/>
                <w:sz w:val="20"/>
                <w:szCs w:val="20"/>
                <w:lang w:eastAsia="et-EE"/>
              </w:rPr>
            </w:pPr>
            <w:r w:rsidRPr="00C50854">
              <w:rPr>
                <w:b/>
                <w:sz w:val="20"/>
                <w:szCs w:val="20"/>
                <w:lang w:eastAsia="et-EE"/>
              </w:rPr>
              <w:t>Aktiivsete kliendiliinide arv (%)</w:t>
            </w:r>
          </w:p>
        </w:tc>
      </w:tr>
      <w:tr w:rsidR="00904356" w:rsidRPr="00C50854" w14:paraId="6690A322" w14:textId="77777777" w:rsidTr="00FC49A5">
        <w:trPr>
          <w:trHeight w:val="529"/>
        </w:trPr>
        <w:tc>
          <w:tcPr>
            <w:tcW w:w="2233" w:type="dxa"/>
            <w:tcBorders>
              <w:left w:val="double" w:sz="4" w:space="0" w:color="auto"/>
              <w:bottom w:val="double" w:sz="4" w:space="0" w:color="auto"/>
              <w:right w:val="double" w:sz="4" w:space="0" w:color="auto"/>
            </w:tcBorders>
            <w:shd w:val="clear" w:color="auto" w:fill="CCFFCC"/>
            <w:noWrap/>
            <w:vAlign w:val="bottom"/>
          </w:tcPr>
          <w:p w14:paraId="3E7B4873" w14:textId="77777777" w:rsidR="00904356" w:rsidRPr="00C50854" w:rsidRDefault="00904356" w:rsidP="00CC6E9A">
            <w:pPr>
              <w:suppressAutoHyphens w:val="0"/>
              <w:jc w:val="center"/>
              <w:rPr>
                <w:b/>
                <w:sz w:val="20"/>
                <w:szCs w:val="20"/>
                <w:lang w:eastAsia="et-EE"/>
              </w:rPr>
            </w:pPr>
            <w:r w:rsidRPr="00C50854">
              <w:rPr>
                <w:b/>
                <w:sz w:val="20"/>
                <w:szCs w:val="20"/>
                <w:lang w:eastAsia="et-EE"/>
              </w:rPr>
              <w:t>omanik ja jaeteenuse osutaja</w:t>
            </w:r>
          </w:p>
          <w:p w14:paraId="1A974663" w14:textId="77777777" w:rsidR="00904356" w:rsidRPr="00C50854" w:rsidRDefault="00904356" w:rsidP="00CC6E9A">
            <w:pPr>
              <w:suppressAutoHyphens w:val="0"/>
              <w:jc w:val="center"/>
              <w:rPr>
                <w:b/>
                <w:sz w:val="20"/>
                <w:szCs w:val="20"/>
                <w:lang w:eastAsia="et-EE"/>
              </w:rPr>
            </w:pPr>
          </w:p>
        </w:tc>
        <w:tc>
          <w:tcPr>
            <w:tcW w:w="1114" w:type="dxa"/>
            <w:tcBorders>
              <w:top w:val="double" w:sz="4" w:space="0" w:color="auto"/>
              <w:left w:val="double" w:sz="4" w:space="0" w:color="auto"/>
              <w:bottom w:val="double" w:sz="4" w:space="0" w:color="auto"/>
              <w:right w:val="double" w:sz="4" w:space="0" w:color="auto"/>
            </w:tcBorders>
            <w:shd w:val="clear" w:color="auto" w:fill="CCFFCC"/>
            <w:noWrap/>
            <w:vAlign w:val="bottom"/>
          </w:tcPr>
          <w:p w14:paraId="688D70AE" w14:textId="77777777" w:rsidR="00904356" w:rsidRPr="00C50854" w:rsidRDefault="00904356" w:rsidP="00CC6E9A">
            <w:pPr>
              <w:suppressAutoHyphens w:val="0"/>
              <w:jc w:val="center"/>
              <w:rPr>
                <w:b/>
                <w:sz w:val="20"/>
                <w:szCs w:val="20"/>
                <w:lang w:eastAsia="et-EE"/>
              </w:rPr>
            </w:pPr>
            <w:r w:rsidRPr="00C50854">
              <w:rPr>
                <w:b/>
                <w:sz w:val="20"/>
                <w:szCs w:val="20"/>
                <w:lang w:eastAsia="et-EE"/>
              </w:rPr>
              <w:t>Kõik</w:t>
            </w:r>
          </w:p>
          <w:p w14:paraId="3873F8F1" w14:textId="77777777" w:rsidR="00FC49A5" w:rsidRPr="00C50854" w:rsidRDefault="00FC49A5" w:rsidP="00CC6E9A">
            <w:pPr>
              <w:suppressAutoHyphens w:val="0"/>
              <w:jc w:val="center"/>
              <w:rPr>
                <w:b/>
                <w:sz w:val="20"/>
                <w:szCs w:val="20"/>
                <w:lang w:eastAsia="et-EE"/>
              </w:rPr>
            </w:pPr>
          </w:p>
        </w:tc>
        <w:tc>
          <w:tcPr>
            <w:tcW w:w="1112" w:type="dxa"/>
            <w:tcBorders>
              <w:top w:val="double" w:sz="4" w:space="0" w:color="auto"/>
              <w:left w:val="double" w:sz="4" w:space="0" w:color="auto"/>
              <w:bottom w:val="double" w:sz="4" w:space="0" w:color="auto"/>
              <w:right w:val="double" w:sz="4" w:space="0" w:color="auto"/>
            </w:tcBorders>
            <w:shd w:val="clear" w:color="auto" w:fill="CCFFCC"/>
            <w:vAlign w:val="bottom"/>
          </w:tcPr>
          <w:p w14:paraId="5421F923" w14:textId="77777777" w:rsidR="00904356" w:rsidRPr="00C50854" w:rsidRDefault="00904356" w:rsidP="00CC6E9A">
            <w:pPr>
              <w:suppressAutoHyphens w:val="0"/>
              <w:jc w:val="center"/>
              <w:rPr>
                <w:b/>
                <w:sz w:val="20"/>
                <w:szCs w:val="20"/>
                <w:lang w:eastAsia="et-EE"/>
              </w:rPr>
            </w:pPr>
            <w:r w:rsidRPr="00C50854">
              <w:rPr>
                <w:b/>
                <w:sz w:val="20"/>
                <w:szCs w:val="20"/>
                <w:lang w:eastAsia="et-EE"/>
              </w:rPr>
              <w:t>Neist vask-</w:t>
            </w:r>
          </w:p>
          <w:p w14:paraId="365F8769" w14:textId="77777777" w:rsidR="00904356" w:rsidRPr="00C50854" w:rsidRDefault="00904356" w:rsidP="00CC6E9A">
            <w:pPr>
              <w:suppressAutoHyphens w:val="0"/>
              <w:jc w:val="center"/>
              <w:rPr>
                <w:b/>
                <w:sz w:val="20"/>
                <w:szCs w:val="20"/>
                <w:lang w:eastAsia="et-EE"/>
              </w:rPr>
            </w:pPr>
            <w:r w:rsidRPr="00C50854">
              <w:rPr>
                <w:b/>
                <w:sz w:val="20"/>
                <w:szCs w:val="20"/>
                <w:lang w:eastAsia="et-EE"/>
              </w:rPr>
              <w:t xml:space="preserve">paare </w:t>
            </w:r>
          </w:p>
        </w:tc>
        <w:tc>
          <w:tcPr>
            <w:tcW w:w="1358" w:type="dxa"/>
            <w:tcBorders>
              <w:top w:val="double" w:sz="4" w:space="0" w:color="auto"/>
              <w:left w:val="double" w:sz="4" w:space="0" w:color="auto"/>
              <w:bottom w:val="double" w:sz="4" w:space="0" w:color="auto"/>
              <w:right w:val="double" w:sz="4" w:space="0" w:color="auto"/>
            </w:tcBorders>
            <w:shd w:val="clear" w:color="auto" w:fill="CCFFCC"/>
            <w:noWrap/>
            <w:vAlign w:val="bottom"/>
          </w:tcPr>
          <w:p w14:paraId="09DA9CDE" w14:textId="77777777" w:rsidR="00904356" w:rsidRPr="00C50854" w:rsidRDefault="00904356" w:rsidP="00CC6E9A">
            <w:pPr>
              <w:suppressAutoHyphens w:val="0"/>
              <w:jc w:val="center"/>
              <w:rPr>
                <w:b/>
                <w:sz w:val="20"/>
                <w:szCs w:val="20"/>
                <w:lang w:eastAsia="et-EE"/>
              </w:rPr>
            </w:pPr>
            <w:r w:rsidRPr="00C50854">
              <w:rPr>
                <w:b/>
                <w:sz w:val="20"/>
                <w:szCs w:val="20"/>
                <w:lang w:eastAsia="et-EE"/>
              </w:rPr>
              <w:t>Neist valgus-</w:t>
            </w:r>
          </w:p>
          <w:p w14:paraId="22C09C55" w14:textId="77777777" w:rsidR="00904356" w:rsidRPr="00C50854" w:rsidRDefault="00904356" w:rsidP="00CC6E9A">
            <w:pPr>
              <w:suppressAutoHyphens w:val="0"/>
              <w:jc w:val="center"/>
              <w:rPr>
                <w:b/>
                <w:sz w:val="20"/>
                <w:szCs w:val="20"/>
                <w:lang w:eastAsia="et-EE"/>
              </w:rPr>
            </w:pPr>
            <w:r w:rsidRPr="00C50854">
              <w:rPr>
                <w:b/>
                <w:sz w:val="20"/>
                <w:szCs w:val="20"/>
                <w:lang w:eastAsia="et-EE"/>
              </w:rPr>
              <w:t xml:space="preserve">kaableid </w:t>
            </w:r>
          </w:p>
        </w:tc>
        <w:tc>
          <w:tcPr>
            <w:tcW w:w="1053" w:type="dxa"/>
            <w:tcBorders>
              <w:top w:val="double" w:sz="4" w:space="0" w:color="auto"/>
              <w:left w:val="double" w:sz="4" w:space="0" w:color="auto"/>
              <w:bottom w:val="double" w:sz="4" w:space="0" w:color="auto"/>
              <w:right w:val="double" w:sz="4" w:space="0" w:color="auto"/>
            </w:tcBorders>
            <w:shd w:val="clear" w:color="auto" w:fill="CCFFCC"/>
            <w:noWrap/>
            <w:vAlign w:val="bottom"/>
          </w:tcPr>
          <w:p w14:paraId="7388DB22" w14:textId="77777777" w:rsidR="00904356" w:rsidRPr="00C50854" w:rsidRDefault="00904356" w:rsidP="00CC6E9A">
            <w:pPr>
              <w:suppressAutoHyphens w:val="0"/>
              <w:jc w:val="center"/>
              <w:rPr>
                <w:b/>
                <w:sz w:val="20"/>
                <w:szCs w:val="20"/>
                <w:lang w:eastAsia="et-EE"/>
              </w:rPr>
            </w:pPr>
            <w:r w:rsidRPr="00C50854">
              <w:rPr>
                <w:b/>
                <w:sz w:val="20"/>
                <w:szCs w:val="20"/>
                <w:lang w:eastAsia="et-EE"/>
              </w:rPr>
              <w:t>Kõik</w:t>
            </w:r>
          </w:p>
          <w:p w14:paraId="644BAE72" w14:textId="77777777" w:rsidR="00904356" w:rsidRPr="00C50854" w:rsidRDefault="00904356" w:rsidP="00CC6E9A">
            <w:pPr>
              <w:suppressAutoHyphens w:val="0"/>
              <w:jc w:val="center"/>
              <w:rPr>
                <w:b/>
                <w:sz w:val="20"/>
                <w:szCs w:val="20"/>
                <w:lang w:eastAsia="et-EE"/>
              </w:rPr>
            </w:pPr>
          </w:p>
        </w:tc>
        <w:tc>
          <w:tcPr>
            <w:tcW w:w="1114" w:type="dxa"/>
            <w:tcBorders>
              <w:top w:val="double" w:sz="4" w:space="0" w:color="auto"/>
              <w:left w:val="double" w:sz="4" w:space="0" w:color="auto"/>
              <w:bottom w:val="double" w:sz="4" w:space="0" w:color="auto"/>
              <w:right w:val="double" w:sz="4" w:space="0" w:color="auto"/>
            </w:tcBorders>
            <w:shd w:val="clear" w:color="auto" w:fill="CCFFCC"/>
            <w:noWrap/>
            <w:vAlign w:val="bottom"/>
          </w:tcPr>
          <w:p w14:paraId="4670386F" w14:textId="77777777" w:rsidR="00904356" w:rsidRPr="00C50854" w:rsidRDefault="00904356" w:rsidP="00CC6E9A">
            <w:pPr>
              <w:suppressAutoHyphens w:val="0"/>
              <w:jc w:val="center"/>
              <w:rPr>
                <w:b/>
                <w:sz w:val="20"/>
                <w:szCs w:val="20"/>
                <w:lang w:eastAsia="et-EE"/>
              </w:rPr>
            </w:pPr>
            <w:r w:rsidRPr="00C50854">
              <w:rPr>
                <w:b/>
                <w:sz w:val="20"/>
                <w:szCs w:val="20"/>
                <w:lang w:eastAsia="et-EE"/>
              </w:rPr>
              <w:t>Neist vask-</w:t>
            </w:r>
          </w:p>
          <w:p w14:paraId="5A31DF2D" w14:textId="77777777" w:rsidR="00904356" w:rsidRPr="00C50854" w:rsidRDefault="00904356" w:rsidP="00CC6E9A">
            <w:pPr>
              <w:suppressAutoHyphens w:val="0"/>
              <w:jc w:val="center"/>
              <w:rPr>
                <w:b/>
                <w:sz w:val="20"/>
                <w:szCs w:val="20"/>
                <w:lang w:eastAsia="et-EE"/>
              </w:rPr>
            </w:pPr>
            <w:r w:rsidRPr="00C50854">
              <w:rPr>
                <w:b/>
                <w:sz w:val="20"/>
                <w:szCs w:val="20"/>
                <w:lang w:eastAsia="et-EE"/>
              </w:rPr>
              <w:t xml:space="preserve">paare </w:t>
            </w:r>
          </w:p>
        </w:tc>
        <w:tc>
          <w:tcPr>
            <w:tcW w:w="1343" w:type="dxa"/>
            <w:tcBorders>
              <w:top w:val="double" w:sz="4" w:space="0" w:color="auto"/>
              <w:left w:val="double" w:sz="4" w:space="0" w:color="auto"/>
              <w:bottom w:val="double" w:sz="4" w:space="0" w:color="auto"/>
              <w:right w:val="double" w:sz="4" w:space="0" w:color="auto"/>
            </w:tcBorders>
            <w:shd w:val="clear" w:color="auto" w:fill="CCFFCC"/>
            <w:noWrap/>
            <w:vAlign w:val="bottom"/>
          </w:tcPr>
          <w:p w14:paraId="464BADEB" w14:textId="77777777" w:rsidR="00904356" w:rsidRPr="00C50854" w:rsidRDefault="00904356" w:rsidP="00CC6E9A">
            <w:pPr>
              <w:suppressAutoHyphens w:val="0"/>
              <w:jc w:val="center"/>
              <w:rPr>
                <w:b/>
                <w:sz w:val="20"/>
                <w:szCs w:val="20"/>
                <w:lang w:eastAsia="et-EE"/>
              </w:rPr>
            </w:pPr>
            <w:r w:rsidRPr="00C50854">
              <w:rPr>
                <w:b/>
                <w:sz w:val="20"/>
                <w:szCs w:val="20"/>
                <w:lang w:eastAsia="et-EE"/>
              </w:rPr>
              <w:t>Neist valgus-</w:t>
            </w:r>
          </w:p>
          <w:p w14:paraId="605BF1C7" w14:textId="77777777" w:rsidR="00904356" w:rsidRPr="00C50854" w:rsidRDefault="00904356" w:rsidP="00CC6E9A">
            <w:pPr>
              <w:suppressAutoHyphens w:val="0"/>
              <w:jc w:val="center"/>
              <w:rPr>
                <w:b/>
                <w:sz w:val="20"/>
                <w:szCs w:val="20"/>
                <w:lang w:eastAsia="et-EE"/>
              </w:rPr>
            </w:pPr>
            <w:r w:rsidRPr="00C50854">
              <w:rPr>
                <w:b/>
                <w:sz w:val="20"/>
                <w:szCs w:val="20"/>
                <w:lang w:eastAsia="et-EE"/>
              </w:rPr>
              <w:t xml:space="preserve">kaableid </w:t>
            </w:r>
          </w:p>
        </w:tc>
      </w:tr>
      <w:tr w:rsidR="00AF3E4B" w:rsidRPr="00C50854" w14:paraId="574F9790" w14:textId="77777777" w:rsidTr="00754016">
        <w:trPr>
          <w:trHeight w:val="247"/>
        </w:trPr>
        <w:tc>
          <w:tcPr>
            <w:tcW w:w="2233" w:type="dxa"/>
            <w:tcBorders>
              <w:top w:val="nil"/>
              <w:left w:val="double" w:sz="6" w:space="0" w:color="auto"/>
              <w:bottom w:val="double" w:sz="6" w:space="0" w:color="auto"/>
              <w:right w:val="double" w:sz="6" w:space="0" w:color="auto"/>
            </w:tcBorders>
            <w:shd w:val="clear" w:color="auto" w:fill="auto"/>
            <w:noWrap/>
            <w:vAlign w:val="center"/>
          </w:tcPr>
          <w:p w14:paraId="4F6D12FA" w14:textId="6E3F0097" w:rsidR="00AF3E4B" w:rsidRPr="00C50854" w:rsidRDefault="00AF3E4B" w:rsidP="00AF3E4B">
            <w:pPr>
              <w:suppressAutoHyphens w:val="0"/>
              <w:rPr>
                <w:sz w:val="20"/>
                <w:szCs w:val="20"/>
                <w:lang w:eastAsia="et-EE"/>
              </w:rPr>
            </w:pPr>
            <w:r w:rsidRPr="00C50854">
              <w:rPr>
                <w:color w:val="000000"/>
                <w:sz w:val="20"/>
                <w:szCs w:val="20"/>
              </w:rPr>
              <w:t>Telia</w:t>
            </w:r>
          </w:p>
        </w:tc>
        <w:tc>
          <w:tcPr>
            <w:tcW w:w="1114" w:type="dxa"/>
            <w:tcBorders>
              <w:top w:val="nil"/>
              <w:left w:val="nil"/>
              <w:bottom w:val="double" w:sz="6" w:space="0" w:color="auto"/>
              <w:right w:val="double" w:sz="6" w:space="0" w:color="auto"/>
            </w:tcBorders>
            <w:shd w:val="clear" w:color="auto" w:fill="auto"/>
            <w:noWrap/>
          </w:tcPr>
          <w:p w14:paraId="267DCD79" w14:textId="7F6CAF3B" w:rsidR="00AF3E4B" w:rsidRPr="00C50854" w:rsidRDefault="00AF3E4B" w:rsidP="00AF3E4B">
            <w:pPr>
              <w:suppressAutoHyphens w:val="0"/>
              <w:jc w:val="center"/>
              <w:rPr>
                <w:sz w:val="20"/>
                <w:szCs w:val="20"/>
                <w:lang w:eastAsia="et-EE"/>
              </w:rPr>
            </w:pPr>
            <w:r w:rsidRPr="00C50854">
              <w:rPr>
                <w:sz w:val="20"/>
                <w:szCs w:val="20"/>
              </w:rPr>
              <w:t>...*%</w:t>
            </w:r>
          </w:p>
        </w:tc>
        <w:tc>
          <w:tcPr>
            <w:tcW w:w="1112" w:type="dxa"/>
            <w:tcBorders>
              <w:top w:val="nil"/>
              <w:left w:val="nil"/>
              <w:bottom w:val="double" w:sz="6" w:space="0" w:color="auto"/>
              <w:right w:val="double" w:sz="6" w:space="0" w:color="auto"/>
            </w:tcBorders>
            <w:shd w:val="clear" w:color="auto" w:fill="auto"/>
          </w:tcPr>
          <w:p w14:paraId="43406DD4" w14:textId="474FB7ED" w:rsidR="00AF3E4B" w:rsidRPr="00C50854" w:rsidRDefault="00AF3E4B" w:rsidP="00AF3E4B">
            <w:pPr>
              <w:suppressAutoHyphens w:val="0"/>
              <w:jc w:val="center"/>
              <w:rPr>
                <w:sz w:val="20"/>
                <w:szCs w:val="20"/>
                <w:lang w:eastAsia="et-EE"/>
              </w:rPr>
            </w:pPr>
            <w:r w:rsidRPr="00C50854">
              <w:rPr>
                <w:sz w:val="20"/>
                <w:szCs w:val="20"/>
              </w:rPr>
              <w:t>...*%</w:t>
            </w:r>
          </w:p>
        </w:tc>
        <w:tc>
          <w:tcPr>
            <w:tcW w:w="1358" w:type="dxa"/>
            <w:tcBorders>
              <w:top w:val="nil"/>
              <w:left w:val="nil"/>
              <w:bottom w:val="double" w:sz="6" w:space="0" w:color="auto"/>
              <w:right w:val="double" w:sz="6" w:space="0" w:color="auto"/>
            </w:tcBorders>
            <w:shd w:val="clear" w:color="auto" w:fill="auto"/>
            <w:noWrap/>
          </w:tcPr>
          <w:p w14:paraId="19C233D0" w14:textId="0A778D9C" w:rsidR="00AF3E4B" w:rsidRPr="00C50854" w:rsidRDefault="00AF3E4B" w:rsidP="00AF3E4B">
            <w:pPr>
              <w:suppressAutoHyphens w:val="0"/>
              <w:jc w:val="center"/>
              <w:rPr>
                <w:sz w:val="20"/>
                <w:szCs w:val="20"/>
                <w:lang w:eastAsia="et-EE"/>
              </w:rPr>
            </w:pPr>
            <w:r w:rsidRPr="00C50854">
              <w:rPr>
                <w:sz w:val="20"/>
                <w:szCs w:val="20"/>
              </w:rPr>
              <w:t>...*%</w:t>
            </w:r>
          </w:p>
        </w:tc>
        <w:tc>
          <w:tcPr>
            <w:tcW w:w="1053" w:type="dxa"/>
            <w:tcBorders>
              <w:top w:val="nil"/>
              <w:left w:val="nil"/>
              <w:bottom w:val="double" w:sz="6" w:space="0" w:color="auto"/>
              <w:right w:val="double" w:sz="6" w:space="0" w:color="auto"/>
            </w:tcBorders>
            <w:shd w:val="clear" w:color="auto" w:fill="auto"/>
            <w:noWrap/>
          </w:tcPr>
          <w:p w14:paraId="4A4A6537" w14:textId="704951A9" w:rsidR="00AF3E4B" w:rsidRPr="00C50854" w:rsidRDefault="00AF3E4B" w:rsidP="00AF3E4B">
            <w:pPr>
              <w:suppressAutoHyphens w:val="0"/>
              <w:jc w:val="center"/>
              <w:rPr>
                <w:sz w:val="20"/>
                <w:szCs w:val="20"/>
                <w:lang w:eastAsia="et-EE"/>
              </w:rPr>
            </w:pPr>
            <w:r w:rsidRPr="00C50854">
              <w:rPr>
                <w:sz w:val="20"/>
                <w:szCs w:val="20"/>
              </w:rPr>
              <w:t>...*%</w:t>
            </w:r>
          </w:p>
        </w:tc>
        <w:tc>
          <w:tcPr>
            <w:tcW w:w="1114" w:type="dxa"/>
            <w:tcBorders>
              <w:top w:val="nil"/>
              <w:left w:val="nil"/>
              <w:bottom w:val="double" w:sz="6" w:space="0" w:color="auto"/>
              <w:right w:val="double" w:sz="6" w:space="0" w:color="auto"/>
            </w:tcBorders>
            <w:shd w:val="clear" w:color="auto" w:fill="auto"/>
            <w:noWrap/>
          </w:tcPr>
          <w:p w14:paraId="2319C0BB" w14:textId="0F321F90" w:rsidR="00AF3E4B" w:rsidRPr="00C50854" w:rsidRDefault="00AF3E4B" w:rsidP="00AF3E4B">
            <w:pPr>
              <w:suppressAutoHyphens w:val="0"/>
              <w:jc w:val="center"/>
              <w:rPr>
                <w:sz w:val="20"/>
                <w:szCs w:val="20"/>
                <w:lang w:eastAsia="et-EE"/>
              </w:rPr>
            </w:pPr>
            <w:r w:rsidRPr="00C50854">
              <w:rPr>
                <w:sz w:val="20"/>
                <w:szCs w:val="20"/>
              </w:rPr>
              <w:t>...*%</w:t>
            </w:r>
          </w:p>
        </w:tc>
        <w:tc>
          <w:tcPr>
            <w:tcW w:w="1343" w:type="dxa"/>
            <w:tcBorders>
              <w:top w:val="nil"/>
              <w:left w:val="nil"/>
              <w:bottom w:val="double" w:sz="6" w:space="0" w:color="auto"/>
              <w:right w:val="double" w:sz="6" w:space="0" w:color="auto"/>
            </w:tcBorders>
            <w:shd w:val="clear" w:color="auto" w:fill="auto"/>
            <w:noWrap/>
          </w:tcPr>
          <w:p w14:paraId="2E037FEE" w14:textId="2E177E98" w:rsidR="00AF3E4B" w:rsidRPr="00C50854" w:rsidRDefault="00AF3E4B" w:rsidP="00AF3E4B">
            <w:pPr>
              <w:suppressAutoHyphens w:val="0"/>
              <w:jc w:val="center"/>
              <w:rPr>
                <w:sz w:val="20"/>
                <w:szCs w:val="20"/>
                <w:lang w:eastAsia="et-EE"/>
              </w:rPr>
            </w:pPr>
            <w:r w:rsidRPr="00C50854">
              <w:rPr>
                <w:sz w:val="20"/>
                <w:szCs w:val="20"/>
              </w:rPr>
              <w:t>...*%</w:t>
            </w:r>
          </w:p>
        </w:tc>
      </w:tr>
      <w:tr w:rsidR="00AF3E4B" w:rsidRPr="00C50854" w14:paraId="0CDC724F" w14:textId="77777777" w:rsidTr="00754016">
        <w:trPr>
          <w:trHeight w:val="247"/>
        </w:trPr>
        <w:tc>
          <w:tcPr>
            <w:tcW w:w="2233" w:type="dxa"/>
            <w:tcBorders>
              <w:top w:val="nil"/>
              <w:left w:val="double" w:sz="6" w:space="0" w:color="auto"/>
              <w:bottom w:val="double" w:sz="6" w:space="0" w:color="auto"/>
              <w:right w:val="double" w:sz="6" w:space="0" w:color="auto"/>
            </w:tcBorders>
            <w:shd w:val="clear" w:color="auto" w:fill="auto"/>
            <w:noWrap/>
            <w:vAlign w:val="center"/>
          </w:tcPr>
          <w:p w14:paraId="237661CE" w14:textId="4E827117" w:rsidR="00AF3E4B" w:rsidRPr="00C50854" w:rsidRDefault="00AF3E4B" w:rsidP="00AF3E4B">
            <w:pPr>
              <w:suppressAutoHyphens w:val="0"/>
              <w:rPr>
                <w:sz w:val="20"/>
                <w:szCs w:val="20"/>
                <w:lang w:eastAsia="et-EE"/>
              </w:rPr>
            </w:pPr>
            <w:r w:rsidRPr="00C50854">
              <w:rPr>
                <w:color w:val="000000"/>
                <w:sz w:val="20"/>
                <w:szCs w:val="20"/>
              </w:rPr>
              <w:t>Teleteenused</w:t>
            </w:r>
          </w:p>
        </w:tc>
        <w:tc>
          <w:tcPr>
            <w:tcW w:w="1114" w:type="dxa"/>
            <w:tcBorders>
              <w:top w:val="nil"/>
              <w:left w:val="nil"/>
              <w:bottom w:val="double" w:sz="6" w:space="0" w:color="auto"/>
              <w:right w:val="double" w:sz="6" w:space="0" w:color="auto"/>
            </w:tcBorders>
            <w:shd w:val="clear" w:color="auto" w:fill="auto"/>
            <w:noWrap/>
          </w:tcPr>
          <w:p w14:paraId="0F92E44B" w14:textId="089B3701" w:rsidR="00AF3E4B" w:rsidRPr="00C50854" w:rsidRDefault="00AF3E4B" w:rsidP="00AF3E4B">
            <w:pPr>
              <w:suppressAutoHyphens w:val="0"/>
              <w:jc w:val="center"/>
              <w:rPr>
                <w:sz w:val="20"/>
                <w:szCs w:val="20"/>
                <w:lang w:eastAsia="et-EE"/>
              </w:rPr>
            </w:pPr>
            <w:r w:rsidRPr="00C50854">
              <w:rPr>
                <w:sz w:val="20"/>
                <w:szCs w:val="20"/>
              </w:rPr>
              <w:t>...*%</w:t>
            </w:r>
          </w:p>
        </w:tc>
        <w:tc>
          <w:tcPr>
            <w:tcW w:w="1112" w:type="dxa"/>
            <w:tcBorders>
              <w:top w:val="nil"/>
              <w:left w:val="nil"/>
              <w:bottom w:val="double" w:sz="6" w:space="0" w:color="auto"/>
              <w:right w:val="double" w:sz="6" w:space="0" w:color="auto"/>
            </w:tcBorders>
            <w:shd w:val="clear" w:color="auto" w:fill="auto"/>
          </w:tcPr>
          <w:p w14:paraId="114CDD87" w14:textId="0AF198F9" w:rsidR="00AF3E4B" w:rsidRPr="00C50854" w:rsidRDefault="00AF3E4B" w:rsidP="00AF3E4B">
            <w:pPr>
              <w:suppressAutoHyphens w:val="0"/>
              <w:jc w:val="center"/>
              <w:rPr>
                <w:sz w:val="20"/>
                <w:szCs w:val="20"/>
                <w:lang w:eastAsia="et-EE"/>
              </w:rPr>
            </w:pPr>
            <w:r w:rsidRPr="00C50854">
              <w:rPr>
                <w:sz w:val="20"/>
                <w:szCs w:val="20"/>
              </w:rPr>
              <w:t>...*%</w:t>
            </w:r>
          </w:p>
        </w:tc>
        <w:tc>
          <w:tcPr>
            <w:tcW w:w="1358" w:type="dxa"/>
            <w:tcBorders>
              <w:top w:val="nil"/>
              <w:left w:val="nil"/>
              <w:bottom w:val="double" w:sz="6" w:space="0" w:color="auto"/>
              <w:right w:val="double" w:sz="6" w:space="0" w:color="auto"/>
            </w:tcBorders>
            <w:shd w:val="clear" w:color="auto" w:fill="auto"/>
            <w:noWrap/>
          </w:tcPr>
          <w:p w14:paraId="4CDB3412" w14:textId="7FFFBDC4" w:rsidR="00AF3E4B" w:rsidRPr="00C50854" w:rsidRDefault="00AF3E4B" w:rsidP="00AF3E4B">
            <w:pPr>
              <w:suppressAutoHyphens w:val="0"/>
              <w:jc w:val="center"/>
              <w:rPr>
                <w:sz w:val="20"/>
                <w:szCs w:val="20"/>
                <w:lang w:eastAsia="et-EE"/>
              </w:rPr>
            </w:pPr>
            <w:r w:rsidRPr="00C50854">
              <w:rPr>
                <w:sz w:val="20"/>
                <w:szCs w:val="20"/>
              </w:rPr>
              <w:t>...*%</w:t>
            </w:r>
          </w:p>
        </w:tc>
        <w:tc>
          <w:tcPr>
            <w:tcW w:w="1053" w:type="dxa"/>
            <w:tcBorders>
              <w:top w:val="nil"/>
              <w:left w:val="nil"/>
              <w:bottom w:val="double" w:sz="6" w:space="0" w:color="auto"/>
              <w:right w:val="double" w:sz="6" w:space="0" w:color="auto"/>
            </w:tcBorders>
            <w:shd w:val="clear" w:color="auto" w:fill="auto"/>
            <w:noWrap/>
          </w:tcPr>
          <w:p w14:paraId="106980F1" w14:textId="5D3353C7" w:rsidR="00AF3E4B" w:rsidRPr="00C50854" w:rsidRDefault="00AF3E4B" w:rsidP="00AF3E4B">
            <w:pPr>
              <w:suppressAutoHyphens w:val="0"/>
              <w:jc w:val="center"/>
              <w:rPr>
                <w:sz w:val="20"/>
                <w:szCs w:val="20"/>
                <w:lang w:eastAsia="et-EE"/>
              </w:rPr>
            </w:pPr>
            <w:r w:rsidRPr="00C50854">
              <w:rPr>
                <w:sz w:val="20"/>
                <w:szCs w:val="20"/>
              </w:rPr>
              <w:t>...*%</w:t>
            </w:r>
          </w:p>
        </w:tc>
        <w:tc>
          <w:tcPr>
            <w:tcW w:w="1114" w:type="dxa"/>
            <w:tcBorders>
              <w:top w:val="nil"/>
              <w:left w:val="nil"/>
              <w:bottom w:val="double" w:sz="6" w:space="0" w:color="auto"/>
              <w:right w:val="double" w:sz="6" w:space="0" w:color="auto"/>
            </w:tcBorders>
            <w:shd w:val="clear" w:color="auto" w:fill="auto"/>
            <w:noWrap/>
          </w:tcPr>
          <w:p w14:paraId="3A844E54" w14:textId="1D4F3A17" w:rsidR="00AF3E4B" w:rsidRPr="00C50854" w:rsidRDefault="00AF3E4B" w:rsidP="00AF3E4B">
            <w:pPr>
              <w:suppressAutoHyphens w:val="0"/>
              <w:jc w:val="center"/>
              <w:rPr>
                <w:sz w:val="20"/>
                <w:szCs w:val="20"/>
                <w:lang w:eastAsia="et-EE"/>
              </w:rPr>
            </w:pPr>
            <w:r w:rsidRPr="00C50854">
              <w:rPr>
                <w:sz w:val="20"/>
                <w:szCs w:val="20"/>
              </w:rPr>
              <w:t>...*%</w:t>
            </w:r>
          </w:p>
        </w:tc>
        <w:tc>
          <w:tcPr>
            <w:tcW w:w="1343" w:type="dxa"/>
            <w:tcBorders>
              <w:top w:val="nil"/>
              <w:left w:val="nil"/>
              <w:bottom w:val="double" w:sz="6" w:space="0" w:color="auto"/>
              <w:right w:val="double" w:sz="6" w:space="0" w:color="auto"/>
            </w:tcBorders>
            <w:shd w:val="clear" w:color="auto" w:fill="auto"/>
            <w:noWrap/>
          </w:tcPr>
          <w:p w14:paraId="00BDCFE0" w14:textId="47C6A581" w:rsidR="00AF3E4B" w:rsidRPr="00C50854" w:rsidRDefault="00AF3E4B" w:rsidP="00AF3E4B">
            <w:pPr>
              <w:suppressAutoHyphens w:val="0"/>
              <w:jc w:val="center"/>
              <w:rPr>
                <w:sz w:val="20"/>
                <w:szCs w:val="20"/>
                <w:lang w:eastAsia="et-EE"/>
              </w:rPr>
            </w:pPr>
            <w:r w:rsidRPr="00C50854">
              <w:rPr>
                <w:sz w:val="20"/>
                <w:szCs w:val="20"/>
              </w:rPr>
              <w:t>...*%</w:t>
            </w:r>
          </w:p>
        </w:tc>
      </w:tr>
      <w:tr w:rsidR="00AF3E4B" w:rsidRPr="00C50854" w14:paraId="57C9B7E0" w14:textId="77777777" w:rsidTr="00754016">
        <w:trPr>
          <w:trHeight w:val="247"/>
        </w:trPr>
        <w:tc>
          <w:tcPr>
            <w:tcW w:w="2233" w:type="dxa"/>
            <w:tcBorders>
              <w:top w:val="nil"/>
              <w:left w:val="double" w:sz="6" w:space="0" w:color="auto"/>
              <w:bottom w:val="double" w:sz="6" w:space="0" w:color="auto"/>
              <w:right w:val="double" w:sz="6" w:space="0" w:color="auto"/>
            </w:tcBorders>
            <w:shd w:val="clear" w:color="auto" w:fill="auto"/>
            <w:noWrap/>
            <w:vAlign w:val="center"/>
          </w:tcPr>
          <w:p w14:paraId="001A0171" w14:textId="01EE1D7D" w:rsidR="00AF3E4B" w:rsidRPr="00C50854" w:rsidRDefault="00AF3E4B" w:rsidP="00AF3E4B">
            <w:pPr>
              <w:suppressAutoHyphens w:val="0"/>
              <w:rPr>
                <w:sz w:val="20"/>
                <w:szCs w:val="20"/>
                <w:lang w:eastAsia="et-EE"/>
              </w:rPr>
            </w:pPr>
            <w:r w:rsidRPr="00C50854">
              <w:rPr>
                <w:color w:val="000000"/>
                <w:sz w:val="20"/>
                <w:szCs w:val="20"/>
              </w:rPr>
              <w:t>STV</w:t>
            </w:r>
          </w:p>
        </w:tc>
        <w:tc>
          <w:tcPr>
            <w:tcW w:w="1114" w:type="dxa"/>
            <w:tcBorders>
              <w:top w:val="nil"/>
              <w:left w:val="nil"/>
              <w:bottom w:val="double" w:sz="6" w:space="0" w:color="auto"/>
              <w:right w:val="double" w:sz="6" w:space="0" w:color="auto"/>
            </w:tcBorders>
            <w:shd w:val="clear" w:color="auto" w:fill="auto"/>
            <w:noWrap/>
          </w:tcPr>
          <w:p w14:paraId="00B608A2" w14:textId="3B95161C" w:rsidR="00AF3E4B" w:rsidRPr="00C50854" w:rsidRDefault="00AF3E4B" w:rsidP="00AF3E4B">
            <w:pPr>
              <w:suppressAutoHyphens w:val="0"/>
              <w:jc w:val="center"/>
              <w:rPr>
                <w:sz w:val="20"/>
                <w:szCs w:val="20"/>
                <w:lang w:eastAsia="et-EE"/>
              </w:rPr>
            </w:pPr>
            <w:r w:rsidRPr="00C50854">
              <w:rPr>
                <w:sz w:val="20"/>
                <w:szCs w:val="20"/>
              </w:rPr>
              <w:t>...*%</w:t>
            </w:r>
          </w:p>
        </w:tc>
        <w:tc>
          <w:tcPr>
            <w:tcW w:w="1112" w:type="dxa"/>
            <w:tcBorders>
              <w:top w:val="nil"/>
              <w:left w:val="nil"/>
              <w:bottom w:val="double" w:sz="6" w:space="0" w:color="auto"/>
              <w:right w:val="double" w:sz="6" w:space="0" w:color="auto"/>
            </w:tcBorders>
            <w:shd w:val="clear" w:color="auto" w:fill="auto"/>
          </w:tcPr>
          <w:p w14:paraId="6275F000" w14:textId="483714A8" w:rsidR="00AF3E4B" w:rsidRPr="00C50854" w:rsidRDefault="00AF3E4B" w:rsidP="00AF3E4B">
            <w:pPr>
              <w:suppressAutoHyphens w:val="0"/>
              <w:jc w:val="center"/>
              <w:rPr>
                <w:sz w:val="20"/>
                <w:szCs w:val="20"/>
                <w:lang w:eastAsia="et-EE"/>
              </w:rPr>
            </w:pPr>
            <w:r w:rsidRPr="00C50854">
              <w:rPr>
                <w:sz w:val="20"/>
                <w:szCs w:val="20"/>
              </w:rPr>
              <w:t>...*%</w:t>
            </w:r>
          </w:p>
        </w:tc>
        <w:tc>
          <w:tcPr>
            <w:tcW w:w="1358" w:type="dxa"/>
            <w:tcBorders>
              <w:top w:val="nil"/>
              <w:left w:val="nil"/>
              <w:bottom w:val="double" w:sz="6" w:space="0" w:color="auto"/>
              <w:right w:val="double" w:sz="6" w:space="0" w:color="auto"/>
            </w:tcBorders>
            <w:shd w:val="clear" w:color="auto" w:fill="auto"/>
            <w:noWrap/>
          </w:tcPr>
          <w:p w14:paraId="618528F5" w14:textId="154B4B64" w:rsidR="00AF3E4B" w:rsidRPr="00C50854" w:rsidRDefault="00AF3E4B" w:rsidP="00AF3E4B">
            <w:pPr>
              <w:suppressAutoHyphens w:val="0"/>
              <w:jc w:val="center"/>
              <w:rPr>
                <w:sz w:val="20"/>
                <w:szCs w:val="20"/>
                <w:lang w:eastAsia="et-EE"/>
              </w:rPr>
            </w:pPr>
            <w:r w:rsidRPr="00C50854">
              <w:rPr>
                <w:sz w:val="20"/>
                <w:szCs w:val="20"/>
              </w:rPr>
              <w:t>...*%</w:t>
            </w:r>
          </w:p>
        </w:tc>
        <w:tc>
          <w:tcPr>
            <w:tcW w:w="1053" w:type="dxa"/>
            <w:tcBorders>
              <w:top w:val="nil"/>
              <w:left w:val="nil"/>
              <w:bottom w:val="double" w:sz="6" w:space="0" w:color="auto"/>
              <w:right w:val="double" w:sz="6" w:space="0" w:color="auto"/>
            </w:tcBorders>
            <w:shd w:val="clear" w:color="auto" w:fill="auto"/>
            <w:noWrap/>
          </w:tcPr>
          <w:p w14:paraId="4C812A9A" w14:textId="529B7840" w:rsidR="00AF3E4B" w:rsidRPr="00C50854" w:rsidRDefault="00AF3E4B" w:rsidP="00AF3E4B">
            <w:pPr>
              <w:suppressAutoHyphens w:val="0"/>
              <w:jc w:val="center"/>
              <w:rPr>
                <w:sz w:val="20"/>
                <w:szCs w:val="20"/>
                <w:lang w:eastAsia="et-EE"/>
              </w:rPr>
            </w:pPr>
            <w:r w:rsidRPr="00C50854">
              <w:rPr>
                <w:sz w:val="20"/>
                <w:szCs w:val="20"/>
              </w:rPr>
              <w:t>...*%</w:t>
            </w:r>
          </w:p>
        </w:tc>
        <w:tc>
          <w:tcPr>
            <w:tcW w:w="1114" w:type="dxa"/>
            <w:tcBorders>
              <w:top w:val="nil"/>
              <w:left w:val="nil"/>
              <w:bottom w:val="double" w:sz="6" w:space="0" w:color="auto"/>
              <w:right w:val="double" w:sz="6" w:space="0" w:color="auto"/>
            </w:tcBorders>
            <w:shd w:val="clear" w:color="auto" w:fill="auto"/>
            <w:noWrap/>
          </w:tcPr>
          <w:p w14:paraId="124C297E" w14:textId="216E3FED" w:rsidR="00AF3E4B" w:rsidRPr="00C50854" w:rsidRDefault="00AF3E4B" w:rsidP="00AF3E4B">
            <w:pPr>
              <w:suppressAutoHyphens w:val="0"/>
              <w:jc w:val="center"/>
              <w:rPr>
                <w:sz w:val="20"/>
                <w:szCs w:val="20"/>
                <w:lang w:eastAsia="et-EE"/>
              </w:rPr>
            </w:pPr>
            <w:r w:rsidRPr="00C50854">
              <w:rPr>
                <w:sz w:val="20"/>
                <w:szCs w:val="20"/>
              </w:rPr>
              <w:t>...*%</w:t>
            </w:r>
          </w:p>
        </w:tc>
        <w:tc>
          <w:tcPr>
            <w:tcW w:w="1343" w:type="dxa"/>
            <w:tcBorders>
              <w:top w:val="nil"/>
              <w:left w:val="nil"/>
              <w:bottom w:val="double" w:sz="6" w:space="0" w:color="auto"/>
              <w:right w:val="double" w:sz="6" w:space="0" w:color="auto"/>
            </w:tcBorders>
            <w:shd w:val="clear" w:color="auto" w:fill="auto"/>
            <w:noWrap/>
          </w:tcPr>
          <w:p w14:paraId="0EE08E8F" w14:textId="5C8BB602" w:rsidR="00AF3E4B" w:rsidRPr="00C50854" w:rsidRDefault="00AF3E4B" w:rsidP="00AF3E4B">
            <w:pPr>
              <w:suppressAutoHyphens w:val="0"/>
              <w:jc w:val="center"/>
              <w:rPr>
                <w:sz w:val="20"/>
                <w:szCs w:val="20"/>
                <w:lang w:eastAsia="et-EE"/>
              </w:rPr>
            </w:pPr>
            <w:r w:rsidRPr="00C50854">
              <w:rPr>
                <w:sz w:val="20"/>
                <w:szCs w:val="20"/>
              </w:rPr>
              <w:t>...*%</w:t>
            </w:r>
          </w:p>
        </w:tc>
      </w:tr>
      <w:tr w:rsidR="00AF3E4B" w:rsidRPr="00C50854" w14:paraId="6794BA1A" w14:textId="77777777" w:rsidTr="00754016">
        <w:trPr>
          <w:trHeight w:val="247"/>
        </w:trPr>
        <w:tc>
          <w:tcPr>
            <w:tcW w:w="2233" w:type="dxa"/>
            <w:tcBorders>
              <w:top w:val="nil"/>
              <w:left w:val="double" w:sz="6" w:space="0" w:color="auto"/>
              <w:bottom w:val="double" w:sz="6" w:space="0" w:color="auto"/>
              <w:right w:val="double" w:sz="6" w:space="0" w:color="auto"/>
            </w:tcBorders>
            <w:shd w:val="clear" w:color="auto" w:fill="auto"/>
            <w:noWrap/>
            <w:vAlign w:val="center"/>
          </w:tcPr>
          <w:p w14:paraId="709FE17E" w14:textId="26D68F2C" w:rsidR="00AF3E4B" w:rsidRPr="00C50854" w:rsidRDefault="00AF3E4B" w:rsidP="00AF3E4B">
            <w:pPr>
              <w:suppressAutoHyphens w:val="0"/>
              <w:rPr>
                <w:sz w:val="20"/>
                <w:szCs w:val="20"/>
                <w:lang w:eastAsia="et-EE"/>
              </w:rPr>
            </w:pPr>
            <w:r w:rsidRPr="00C50854">
              <w:rPr>
                <w:color w:val="000000"/>
                <w:sz w:val="20"/>
                <w:szCs w:val="20"/>
              </w:rPr>
              <w:t>Teised</w:t>
            </w:r>
          </w:p>
        </w:tc>
        <w:tc>
          <w:tcPr>
            <w:tcW w:w="1114" w:type="dxa"/>
            <w:tcBorders>
              <w:top w:val="nil"/>
              <w:left w:val="nil"/>
              <w:bottom w:val="double" w:sz="6" w:space="0" w:color="auto"/>
              <w:right w:val="double" w:sz="6" w:space="0" w:color="auto"/>
            </w:tcBorders>
            <w:shd w:val="clear" w:color="auto" w:fill="auto"/>
            <w:noWrap/>
          </w:tcPr>
          <w:p w14:paraId="409A85CD" w14:textId="3D38B0E8" w:rsidR="00AF3E4B" w:rsidRPr="00C50854" w:rsidRDefault="00AF3E4B" w:rsidP="00AF3E4B">
            <w:pPr>
              <w:suppressAutoHyphens w:val="0"/>
              <w:ind w:left="-26" w:right="-70"/>
              <w:jc w:val="center"/>
              <w:rPr>
                <w:sz w:val="20"/>
                <w:szCs w:val="20"/>
                <w:lang w:eastAsia="et-EE"/>
              </w:rPr>
            </w:pPr>
            <w:r w:rsidRPr="00C50854">
              <w:rPr>
                <w:sz w:val="20"/>
                <w:szCs w:val="20"/>
              </w:rPr>
              <w:t>...*%</w:t>
            </w:r>
          </w:p>
        </w:tc>
        <w:tc>
          <w:tcPr>
            <w:tcW w:w="1112" w:type="dxa"/>
            <w:tcBorders>
              <w:top w:val="nil"/>
              <w:left w:val="nil"/>
              <w:bottom w:val="double" w:sz="6" w:space="0" w:color="auto"/>
              <w:right w:val="double" w:sz="6" w:space="0" w:color="auto"/>
            </w:tcBorders>
            <w:shd w:val="clear" w:color="auto" w:fill="auto"/>
          </w:tcPr>
          <w:p w14:paraId="030BDA06" w14:textId="6618DC5B" w:rsidR="00AF3E4B" w:rsidRPr="00C50854" w:rsidRDefault="00AF3E4B" w:rsidP="00AF3E4B">
            <w:pPr>
              <w:suppressAutoHyphens w:val="0"/>
              <w:jc w:val="center"/>
              <w:rPr>
                <w:sz w:val="20"/>
                <w:szCs w:val="20"/>
                <w:lang w:eastAsia="et-EE"/>
              </w:rPr>
            </w:pPr>
            <w:r w:rsidRPr="00C50854">
              <w:rPr>
                <w:sz w:val="20"/>
                <w:szCs w:val="20"/>
              </w:rPr>
              <w:t>...*%</w:t>
            </w:r>
          </w:p>
        </w:tc>
        <w:tc>
          <w:tcPr>
            <w:tcW w:w="1358" w:type="dxa"/>
            <w:tcBorders>
              <w:top w:val="nil"/>
              <w:left w:val="nil"/>
              <w:bottom w:val="double" w:sz="6" w:space="0" w:color="auto"/>
              <w:right w:val="double" w:sz="6" w:space="0" w:color="auto"/>
            </w:tcBorders>
            <w:shd w:val="clear" w:color="auto" w:fill="auto"/>
            <w:noWrap/>
          </w:tcPr>
          <w:p w14:paraId="78B7D5C5" w14:textId="57E71602" w:rsidR="00AF3E4B" w:rsidRPr="00C50854" w:rsidRDefault="00AF3E4B" w:rsidP="00AF3E4B">
            <w:pPr>
              <w:suppressAutoHyphens w:val="0"/>
              <w:jc w:val="center"/>
              <w:rPr>
                <w:sz w:val="20"/>
                <w:szCs w:val="20"/>
                <w:lang w:eastAsia="et-EE"/>
              </w:rPr>
            </w:pPr>
            <w:r w:rsidRPr="00C50854">
              <w:rPr>
                <w:sz w:val="20"/>
                <w:szCs w:val="20"/>
              </w:rPr>
              <w:t>...*%</w:t>
            </w:r>
          </w:p>
        </w:tc>
        <w:tc>
          <w:tcPr>
            <w:tcW w:w="1053" w:type="dxa"/>
            <w:tcBorders>
              <w:top w:val="nil"/>
              <w:left w:val="nil"/>
              <w:bottom w:val="double" w:sz="6" w:space="0" w:color="auto"/>
              <w:right w:val="double" w:sz="6" w:space="0" w:color="auto"/>
            </w:tcBorders>
            <w:shd w:val="clear" w:color="auto" w:fill="auto"/>
            <w:noWrap/>
          </w:tcPr>
          <w:p w14:paraId="3F90CC3F" w14:textId="71AC7447" w:rsidR="00AF3E4B" w:rsidRPr="00C50854" w:rsidRDefault="00AF3E4B" w:rsidP="00AF3E4B">
            <w:pPr>
              <w:suppressAutoHyphens w:val="0"/>
              <w:ind w:left="-70" w:right="-70"/>
              <w:jc w:val="center"/>
              <w:rPr>
                <w:sz w:val="20"/>
                <w:szCs w:val="20"/>
                <w:lang w:eastAsia="et-EE"/>
              </w:rPr>
            </w:pPr>
            <w:r w:rsidRPr="00C50854">
              <w:rPr>
                <w:sz w:val="20"/>
                <w:szCs w:val="20"/>
              </w:rPr>
              <w:t>...*%</w:t>
            </w:r>
          </w:p>
        </w:tc>
        <w:tc>
          <w:tcPr>
            <w:tcW w:w="1114" w:type="dxa"/>
            <w:tcBorders>
              <w:top w:val="nil"/>
              <w:left w:val="nil"/>
              <w:bottom w:val="double" w:sz="6" w:space="0" w:color="auto"/>
              <w:right w:val="double" w:sz="6" w:space="0" w:color="auto"/>
            </w:tcBorders>
            <w:shd w:val="clear" w:color="auto" w:fill="auto"/>
            <w:noWrap/>
          </w:tcPr>
          <w:p w14:paraId="30F86A06" w14:textId="4AFFB2C3" w:rsidR="00AF3E4B" w:rsidRPr="00C50854" w:rsidRDefault="00AF3E4B" w:rsidP="00AF3E4B">
            <w:pPr>
              <w:suppressAutoHyphens w:val="0"/>
              <w:jc w:val="center"/>
              <w:rPr>
                <w:sz w:val="20"/>
                <w:szCs w:val="20"/>
                <w:lang w:eastAsia="et-EE"/>
              </w:rPr>
            </w:pPr>
            <w:r w:rsidRPr="00C50854">
              <w:rPr>
                <w:sz w:val="20"/>
                <w:szCs w:val="20"/>
              </w:rPr>
              <w:t>...*%</w:t>
            </w:r>
          </w:p>
        </w:tc>
        <w:tc>
          <w:tcPr>
            <w:tcW w:w="1343" w:type="dxa"/>
            <w:tcBorders>
              <w:top w:val="nil"/>
              <w:left w:val="nil"/>
              <w:bottom w:val="double" w:sz="6" w:space="0" w:color="auto"/>
              <w:right w:val="double" w:sz="6" w:space="0" w:color="auto"/>
            </w:tcBorders>
            <w:shd w:val="clear" w:color="auto" w:fill="auto"/>
            <w:noWrap/>
          </w:tcPr>
          <w:p w14:paraId="4508398D" w14:textId="7BA8BFD4" w:rsidR="00AF3E4B" w:rsidRPr="00C50854" w:rsidRDefault="00AF3E4B" w:rsidP="00AF3E4B">
            <w:pPr>
              <w:suppressAutoHyphens w:val="0"/>
              <w:jc w:val="center"/>
              <w:rPr>
                <w:sz w:val="20"/>
                <w:szCs w:val="20"/>
                <w:lang w:eastAsia="et-EE"/>
              </w:rPr>
            </w:pPr>
            <w:r w:rsidRPr="00C50854">
              <w:rPr>
                <w:sz w:val="20"/>
                <w:szCs w:val="20"/>
              </w:rPr>
              <w:t>...*%</w:t>
            </w:r>
          </w:p>
        </w:tc>
      </w:tr>
      <w:tr w:rsidR="00517F47" w:rsidRPr="00C50854" w14:paraId="6D4B4765" w14:textId="77777777" w:rsidTr="00DB2ED2">
        <w:trPr>
          <w:trHeight w:val="247"/>
        </w:trPr>
        <w:tc>
          <w:tcPr>
            <w:tcW w:w="2233" w:type="dxa"/>
            <w:tcBorders>
              <w:top w:val="double" w:sz="4" w:space="0" w:color="auto"/>
              <w:left w:val="double" w:sz="4" w:space="0" w:color="auto"/>
              <w:bottom w:val="double" w:sz="4" w:space="0" w:color="auto"/>
              <w:right w:val="double" w:sz="4" w:space="0" w:color="auto"/>
            </w:tcBorders>
            <w:noWrap/>
          </w:tcPr>
          <w:p w14:paraId="4FB45627" w14:textId="21E24259" w:rsidR="00517F47" w:rsidRPr="00C50854" w:rsidRDefault="00517F47" w:rsidP="00517F47">
            <w:pPr>
              <w:suppressAutoHyphens w:val="0"/>
              <w:rPr>
                <w:sz w:val="20"/>
                <w:szCs w:val="20"/>
                <w:lang w:eastAsia="et-EE"/>
              </w:rPr>
            </w:pPr>
            <w:r w:rsidRPr="00C50854">
              <w:rPr>
                <w:sz w:val="20"/>
                <w:szCs w:val="20"/>
                <w:lang w:eastAsia="et-EE"/>
              </w:rPr>
              <w:t>Kokku</w:t>
            </w:r>
          </w:p>
        </w:tc>
        <w:tc>
          <w:tcPr>
            <w:tcW w:w="1114" w:type="dxa"/>
            <w:tcBorders>
              <w:top w:val="double" w:sz="4" w:space="0" w:color="auto"/>
              <w:left w:val="double" w:sz="4" w:space="0" w:color="auto"/>
              <w:bottom w:val="double" w:sz="4" w:space="0" w:color="auto"/>
              <w:right w:val="double" w:sz="4" w:space="0" w:color="auto"/>
            </w:tcBorders>
            <w:noWrap/>
          </w:tcPr>
          <w:p w14:paraId="545A06C9" w14:textId="294EC20C" w:rsidR="00517F47" w:rsidRPr="00C50854" w:rsidRDefault="00517F47" w:rsidP="00FC49A5">
            <w:pPr>
              <w:suppressAutoHyphens w:val="0"/>
              <w:jc w:val="center"/>
              <w:rPr>
                <w:sz w:val="20"/>
                <w:szCs w:val="20"/>
                <w:lang w:eastAsia="et-EE"/>
              </w:rPr>
            </w:pPr>
            <w:r w:rsidRPr="00C50854">
              <w:rPr>
                <w:sz w:val="20"/>
                <w:szCs w:val="20"/>
              </w:rPr>
              <w:t>100%</w:t>
            </w:r>
          </w:p>
        </w:tc>
        <w:tc>
          <w:tcPr>
            <w:tcW w:w="1112" w:type="dxa"/>
            <w:tcBorders>
              <w:top w:val="double" w:sz="4" w:space="0" w:color="auto"/>
              <w:left w:val="double" w:sz="4" w:space="0" w:color="auto"/>
              <w:bottom w:val="double" w:sz="4" w:space="0" w:color="auto"/>
              <w:right w:val="double" w:sz="4" w:space="0" w:color="auto"/>
            </w:tcBorders>
          </w:tcPr>
          <w:p w14:paraId="1CC32716" w14:textId="6CC7E575" w:rsidR="00517F47" w:rsidRPr="00C50854" w:rsidRDefault="00517F47" w:rsidP="00FC49A5">
            <w:pPr>
              <w:suppressAutoHyphens w:val="0"/>
              <w:jc w:val="center"/>
              <w:rPr>
                <w:sz w:val="20"/>
                <w:szCs w:val="20"/>
                <w:lang w:eastAsia="et-EE"/>
              </w:rPr>
            </w:pPr>
            <w:r w:rsidRPr="00C50854">
              <w:rPr>
                <w:sz w:val="20"/>
                <w:szCs w:val="20"/>
              </w:rPr>
              <w:t>70%</w:t>
            </w:r>
          </w:p>
        </w:tc>
        <w:tc>
          <w:tcPr>
            <w:tcW w:w="1358" w:type="dxa"/>
            <w:tcBorders>
              <w:top w:val="double" w:sz="4" w:space="0" w:color="auto"/>
              <w:left w:val="double" w:sz="4" w:space="0" w:color="auto"/>
              <w:bottom w:val="double" w:sz="4" w:space="0" w:color="auto"/>
              <w:right w:val="double" w:sz="4" w:space="0" w:color="auto"/>
            </w:tcBorders>
            <w:noWrap/>
          </w:tcPr>
          <w:p w14:paraId="05BF3736" w14:textId="5384BCBE" w:rsidR="00517F47" w:rsidRPr="00C50854" w:rsidRDefault="00517F47" w:rsidP="00FC49A5">
            <w:pPr>
              <w:suppressAutoHyphens w:val="0"/>
              <w:jc w:val="center"/>
              <w:rPr>
                <w:sz w:val="20"/>
                <w:szCs w:val="20"/>
                <w:lang w:eastAsia="et-EE"/>
              </w:rPr>
            </w:pPr>
            <w:r w:rsidRPr="00C50854">
              <w:rPr>
                <w:sz w:val="20"/>
                <w:szCs w:val="20"/>
              </w:rPr>
              <w:t>30%</w:t>
            </w:r>
          </w:p>
        </w:tc>
        <w:tc>
          <w:tcPr>
            <w:tcW w:w="1053" w:type="dxa"/>
            <w:tcBorders>
              <w:top w:val="double" w:sz="4" w:space="0" w:color="auto"/>
              <w:left w:val="double" w:sz="4" w:space="0" w:color="auto"/>
              <w:bottom w:val="double" w:sz="4" w:space="0" w:color="auto"/>
              <w:right w:val="double" w:sz="4" w:space="0" w:color="auto"/>
            </w:tcBorders>
            <w:noWrap/>
          </w:tcPr>
          <w:p w14:paraId="13B5B949" w14:textId="4769CD6D" w:rsidR="00517F47" w:rsidRPr="00C50854" w:rsidRDefault="00517F47" w:rsidP="00FC49A5">
            <w:pPr>
              <w:suppressAutoHyphens w:val="0"/>
              <w:jc w:val="center"/>
              <w:rPr>
                <w:sz w:val="20"/>
                <w:szCs w:val="20"/>
                <w:lang w:eastAsia="et-EE"/>
              </w:rPr>
            </w:pPr>
            <w:r w:rsidRPr="00C50854">
              <w:rPr>
                <w:sz w:val="20"/>
                <w:szCs w:val="20"/>
              </w:rPr>
              <w:t>100%</w:t>
            </w:r>
          </w:p>
        </w:tc>
        <w:tc>
          <w:tcPr>
            <w:tcW w:w="1114" w:type="dxa"/>
            <w:tcBorders>
              <w:top w:val="double" w:sz="4" w:space="0" w:color="auto"/>
              <w:left w:val="double" w:sz="4" w:space="0" w:color="auto"/>
              <w:bottom w:val="double" w:sz="4" w:space="0" w:color="auto"/>
              <w:right w:val="double" w:sz="4" w:space="0" w:color="auto"/>
            </w:tcBorders>
            <w:noWrap/>
          </w:tcPr>
          <w:p w14:paraId="3D91CE81" w14:textId="6CBD6F9B" w:rsidR="00517F47" w:rsidRPr="00C50854" w:rsidRDefault="00517F47" w:rsidP="00FC49A5">
            <w:pPr>
              <w:suppressAutoHyphens w:val="0"/>
              <w:jc w:val="center"/>
              <w:rPr>
                <w:sz w:val="20"/>
                <w:szCs w:val="20"/>
                <w:lang w:eastAsia="et-EE"/>
              </w:rPr>
            </w:pPr>
            <w:r w:rsidRPr="00C50854">
              <w:rPr>
                <w:sz w:val="20"/>
                <w:szCs w:val="20"/>
              </w:rPr>
              <w:t>66%</w:t>
            </w:r>
          </w:p>
        </w:tc>
        <w:tc>
          <w:tcPr>
            <w:tcW w:w="1343" w:type="dxa"/>
            <w:tcBorders>
              <w:top w:val="double" w:sz="4" w:space="0" w:color="auto"/>
              <w:left w:val="double" w:sz="4" w:space="0" w:color="auto"/>
              <w:bottom w:val="double" w:sz="4" w:space="0" w:color="auto"/>
              <w:right w:val="double" w:sz="4" w:space="0" w:color="auto"/>
            </w:tcBorders>
            <w:noWrap/>
          </w:tcPr>
          <w:p w14:paraId="1DAC126B" w14:textId="61337356" w:rsidR="00517F47" w:rsidRPr="00C50854" w:rsidRDefault="00517F47" w:rsidP="00FC49A5">
            <w:pPr>
              <w:suppressAutoHyphens w:val="0"/>
              <w:jc w:val="center"/>
              <w:rPr>
                <w:sz w:val="20"/>
                <w:szCs w:val="20"/>
                <w:lang w:eastAsia="et-EE"/>
              </w:rPr>
            </w:pPr>
            <w:r w:rsidRPr="00C50854">
              <w:rPr>
                <w:sz w:val="20"/>
                <w:szCs w:val="20"/>
              </w:rPr>
              <w:t>34%</w:t>
            </w:r>
          </w:p>
        </w:tc>
      </w:tr>
    </w:tbl>
    <w:p w14:paraId="42E19727" w14:textId="4D5C17BE" w:rsidR="00246BB6" w:rsidRPr="00C50854" w:rsidRDefault="00CC6E9A" w:rsidP="00246BB6">
      <w:pPr>
        <w:suppressAutoHyphens w:val="0"/>
        <w:spacing w:before="120" w:after="120"/>
        <w:rPr>
          <w:bCs/>
          <w:sz w:val="20"/>
          <w:szCs w:val="20"/>
          <w:lang w:eastAsia="et-EE"/>
        </w:rPr>
      </w:pPr>
      <w:bookmarkStart w:id="239" w:name="_Ref223924010"/>
      <w:r w:rsidRPr="00C50854">
        <w:rPr>
          <w:b/>
          <w:bCs/>
          <w:sz w:val="20"/>
          <w:szCs w:val="20"/>
          <w:lang w:eastAsia="et-EE"/>
        </w:rPr>
        <w:t xml:space="preserve">Tabel </w:t>
      </w:r>
      <w:r w:rsidR="00341D2F" w:rsidRPr="00C50854">
        <w:rPr>
          <w:b/>
          <w:bCs/>
          <w:sz w:val="20"/>
          <w:szCs w:val="20"/>
          <w:lang w:eastAsia="et-EE"/>
        </w:rPr>
        <w:fldChar w:fldCharType="begin"/>
      </w:r>
      <w:r w:rsidR="00341D2F" w:rsidRPr="00C50854">
        <w:rPr>
          <w:b/>
          <w:bCs/>
          <w:sz w:val="20"/>
          <w:szCs w:val="20"/>
          <w:lang w:eastAsia="et-EE"/>
        </w:rPr>
        <w:instrText xml:space="preserve"> SEQ Tabel \* ARABIC </w:instrText>
      </w:r>
      <w:r w:rsidR="00341D2F" w:rsidRPr="00C50854">
        <w:rPr>
          <w:b/>
          <w:bCs/>
          <w:sz w:val="20"/>
          <w:szCs w:val="20"/>
          <w:lang w:eastAsia="et-EE"/>
        </w:rPr>
        <w:fldChar w:fldCharType="separate"/>
      </w:r>
      <w:r w:rsidR="00D24389" w:rsidRPr="00C50854">
        <w:rPr>
          <w:b/>
          <w:bCs/>
          <w:noProof/>
          <w:sz w:val="20"/>
          <w:szCs w:val="20"/>
          <w:lang w:eastAsia="et-EE"/>
        </w:rPr>
        <w:t>18</w:t>
      </w:r>
      <w:r w:rsidR="00341D2F" w:rsidRPr="00C50854">
        <w:rPr>
          <w:b/>
          <w:bCs/>
          <w:sz w:val="20"/>
          <w:szCs w:val="20"/>
          <w:lang w:eastAsia="et-EE"/>
        </w:rPr>
        <w:fldChar w:fldCharType="end"/>
      </w:r>
      <w:bookmarkEnd w:id="239"/>
      <w:r w:rsidRPr="00C50854">
        <w:rPr>
          <w:b/>
          <w:bCs/>
          <w:sz w:val="20"/>
          <w:szCs w:val="20"/>
          <w:lang w:eastAsia="et-EE"/>
        </w:rPr>
        <w:t xml:space="preserve">. </w:t>
      </w:r>
      <w:r w:rsidR="00AA59D4" w:rsidRPr="00C50854">
        <w:rPr>
          <w:bCs/>
          <w:sz w:val="20"/>
          <w:szCs w:val="20"/>
          <w:lang w:eastAsia="et-EE"/>
        </w:rPr>
        <w:t>Valguskaabel ja vaskpaar j</w:t>
      </w:r>
      <w:r w:rsidRPr="00C50854">
        <w:rPr>
          <w:bCs/>
          <w:sz w:val="20"/>
          <w:szCs w:val="20"/>
          <w:lang w:eastAsia="et-EE"/>
        </w:rPr>
        <w:t>uurdepääsuvõrgu infrastruktuur 201</w:t>
      </w:r>
      <w:r w:rsidR="00AE2AE0" w:rsidRPr="00C50854">
        <w:rPr>
          <w:bCs/>
          <w:sz w:val="20"/>
          <w:szCs w:val="20"/>
          <w:lang w:eastAsia="et-EE"/>
        </w:rPr>
        <w:t>8</w:t>
      </w:r>
      <w:r w:rsidRPr="00C50854">
        <w:rPr>
          <w:bCs/>
          <w:sz w:val="20"/>
          <w:szCs w:val="20"/>
          <w:lang w:eastAsia="et-EE"/>
        </w:rPr>
        <w:t>. a lõpu</w:t>
      </w:r>
      <w:r w:rsidRPr="00C50854">
        <w:rPr>
          <w:rFonts w:ascii="Arial" w:hAnsi="Arial" w:cs="Arial"/>
          <w:bCs/>
          <w:sz w:val="20"/>
          <w:szCs w:val="20"/>
          <w:lang w:eastAsia="et-EE"/>
        </w:rPr>
        <w:t xml:space="preserve"> </w:t>
      </w:r>
      <w:r w:rsidRPr="00C50854">
        <w:rPr>
          <w:bCs/>
          <w:sz w:val="20"/>
          <w:szCs w:val="20"/>
          <w:lang w:eastAsia="et-EE"/>
        </w:rPr>
        <w:t>seisuga.</w:t>
      </w:r>
    </w:p>
    <w:p w14:paraId="05519CAE" w14:textId="41849D2D" w:rsidR="0052749E" w:rsidRPr="00C50854" w:rsidRDefault="00AB6CC2" w:rsidP="00311E1F">
      <w:pPr>
        <w:numPr>
          <w:ilvl w:val="0"/>
          <w:numId w:val="13"/>
        </w:numPr>
        <w:suppressAutoHyphens w:val="0"/>
        <w:autoSpaceDE w:val="0"/>
        <w:autoSpaceDN w:val="0"/>
        <w:adjustRightInd w:val="0"/>
        <w:spacing w:before="120" w:after="120"/>
        <w:jc w:val="both"/>
        <w:rPr>
          <w:lang w:eastAsia="et-EE"/>
        </w:rPr>
      </w:pPr>
      <w:r w:rsidRPr="00C50854">
        <w:rPr>
          <w:lang w:eastAsia="et-EE"/>
        </w:rPr>
        <w:t>Telia</w:t>
      </w:r>
      <w:r w:rsidR="00B00D4C" w:rsidRPr="00C50854">
        <w:rPr>
          <w:lang w:eastAsia="et-EE"/>
        </w:rPr>
        <w:t xml:space="preserve"> </w:t>
      </w:r>
      <w:r w:rsidR="0080393D" w:rsidRPr="00C50854">
        <w:rPr>
          <w:lang w:eastAsia="et-EE"/>
        </w:rPr>
        <w:t>kliendiliinide arv</w:t>
      </w:r>
      <w:r w:rsidR="00CC6E9A" w:rsidRPr="00C50854">
        <w:rPr>
          <w:lang w:eastAsia="et-EE"/>
        </w:rPr>
        <w:t xml:space="preserve"> teenuste osutamiseks kasutatavatest aktiivsetest (st klientidele jaeteenuse osutamiseks kasutatavatest) vaskpaaril</w:t>
      </w:r>
      <w:r w:rsidR="009719BF" w:rsidRPr="00C50854">
        <w:rPr>
          <w:lang w:eastAsia="et-EE"/>
        </w:rPr>
        <w:t xml:space="preserve"> ja valguskaablil</w:t>
      </w:r>
      <w:r w:rsidR="00CC6E9A" w:rsidRPr="00C50854">
        <w:rPr>
          <w:lang w:eastAsia="et-EE"/>
        </w:rPr>
        <w:t xml:space="preserve"> põhinevatest kliendiliinidest on 20</w:t>
      </w:r>
      <w:r w:rsidR="00F22A6D" w:rsidRPr="00C50854">
        <w:rPr>
          <w:lang w:eastAsia="et-EE"/>
        </w:rPr>
        <w:t>1</w:t>
      </w:r>
      <w:r w:rsidR="00246BB6" w:rsidRPr="00C50854">
        <w:rPr>
          <w:lang w:eastAsia="et-EE"/>
        </w:rPr>
        <w:t>5</w:t>
      </w:r>
      <w:r w:rsidR="00CC6E9A" w:rsidRPr="00C50854">
        <w:rPr>
          <w:lang w:eastAsia="et-EE"/>
        </w:rPr>
        <w:t xml:space="preserve">. aastaga </w:t>
      </w:r>
      <w:r w:rsidR="00243EDC" w:rsidRPr="00C50854">
        <w:rPr>
          <w:lang w:eastAsia="et-EE"/>
        </w:rPr>
        <w:t xml:space="preserve">võrreldes </w:t>
      </w:r>
      <w:r w:rsidR="00CC6E9A" w:rsidRPr="00C50854">
        <w:rPr>
          <w:lang w:eastAsia="et-EE"/>
        </w:rPr>
        <w:t xml:space="preserve">suurenenud </w:t>
      </w:r>
      <w:r w:rsidR="00AF3E4B" w:rsidRPr="00C50854">
        <w:rPr>
          <w:lang w:eastAsia="et-EE"/>
        </w:rPr>
        <w:t>...*</w:t>
      </w:r>
      <w:r w:rsidR="009719BF" w:rsidRPr="00C50854">
        <w:rPr>
          <w:lang w:eastAsia="et-EE"/>
        </w:rPr>
        <w:t>% võrra</w:t>
      </w:r>
      <w:r w:rsidR="0052749E" w:rsidRPr="00C50854">
        <w:rPr>
          <w:lang w:eastAsia="et-EE"/>
        </w:rPr>
        <w:t xml:space="preserve"> </w:t>
      </w:r>
      <w:r w:rsidR="00246BB6" w:rsidRPr="00C50854">
        <w:rPr>
          <w:lang w:eastAsia="et-EE"/>
        </w:rPr>
        <w:t>(</w:t>
      </w:r>
      <w:r w:rsidR="00AF3E4B" w:rsidRPr="00C50854">
        <w:rPr>
          <w:lang w:eastAsia="et-EE"/>
        </w:rPr>
        <w:t>...*</w:t>
      </w:r>
      <w:r w:rsidR="00246BB6" w:rsidRPr="00C50854">
        <w:rPr>
          <w:lang w:eastAsia="et-EE"/>
        </w:rPr>
        <w:t xml:space="preserve"> </w:t>
      </w:r>
      <w:r w:rsidR="0052749E" w:rsidRPr="00C50854">
        <w:rPr>
          <w:lang w:eastAsia="et-EE"/>
        </w:rPr>
        <w:t xml:space="preserve">kliendiliinilt </w:t>
      </w:r>
      <w:r w:rsidR="00AF3E4B" w:rsidRPr="00C50854">
        <w:rPr>
          <w:lang w:eastAsia="et-EE"/>
        </w:rPr>
        <w:t>...*</w:t>
      </w:r>
      <w:r w:rsidR="0052749E" w:rsidRPr="00C50854">
        <w:rPr>
          <w:lang w:eastAsia="et-EE"/>
        </w:rPr>
        <w:t xml:space="preserve"> kliendiliinile).</w:t>
      </w:r>
    </w:p>
    <w:p w14:paraId="6A43880C" w14:textId="1A2690E8" w:rsidR="00CC6E9A" w:rsidRPr="00C50854" w:rsidRDefault="00BD2FCA"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 xml:space="preserve">Teiste </w:t>
      </w:r>
      <w:r w:rsidR="00CC6E9A" w:rsidRPr="00C50854">
        <w:rPr>
          <w:lang w:eastAsia="et-EE"/>
        </w:rPr>
        <w:t xml:space="preserve">analüüsi kaasatud ettevõtjate juurdepääsuvõrgu osakaal </w:t>
      </w:r>
      <w:r w:rsidR="00602F17" w:rsidRPr="00C50854">
        <w:rPr>
          <w:lang w:eastAsia="et-EE"/>
        </w:rPr>
        <w:t xml:space="preserve">on </w:t>
      </w:r>
      <w:r w:rsidR="0006624E" w:rsidRPr="00C50854">
        <w:rPr>
          <w:lang w:eastAsia="et-EE"/>
        </w:rPr>
        <w:t>suurenenud</w:t>
      </w:r>
      <w:r w:rsidR="00243EDC" w:rsidRPr="00C50854">
        <w:rPr>
          <w:lang w:eastAsia="et-EE"/>
        </w:rPr>
        <w:t xml:space="preserve"> </w:t>
      </w:r>
      <w:r w:rsidR="0006624E" w:rsidRPr="00C50854">
        <w:rPr>
          <w:lang w:eastAsia="et-EE"/>
        </w:rPr>
        <w:t xml:space="preserve">1% </w:t>
      </w:r>
      <w:r w:rsidR="00CC6E9A" w:rsidRPr="00C50854">
        <w:rPr>
          <w:lang w:eastAsia="et-EE"/>
        </w:rPr>
        <w:t xml:space="preserve">ettevõtjad on oma </w:t>
      </w:r>
      <w:r w:rsidR="00355DD5" w:rsidRPr="00C50854">
        <w:rPr>
          <w:lang w:eastAsia="et-EE"/>
        </w:rPr>
        <w:t xml:space="preserve">väljaehitatud </w:t>
      </w:r>
      <w:r w:rsidR="00CC6E9A" w:rsidRPr="00C50854">
        <w:rPr>
          <w:lang w:eastAsia="et-EE"/>
        </w:rPr>
        <w:t xml:space="preserve">juurdepääsuvõrku rajanud </w:t>
      </w:r>
      <w:r w:rsidR="00355DD5" w:rsidRPr="00C50854">
        <w:rPr>
          <w:lang w:eastAsia="et-EE"/>
        </w:rPr>
        <w:t>ning</w:t>
      </w:r>
      <w:r w:rsidR="00CC6E9A" w:rsidRPr="00C50854">
        <w:rPr>
          <w:lang w:eastAsia="et-EE"/>
        </w:rPr>
        <w:t xml:space="preserve"> laiendanud.</w:t>
      </w:r>
    </w:p>
    <w:p w14:paraId="3BC71E89" w14:textId="05E17D63" w:rsidR="00CC6E9A" w:rsidRPr="00C50854" w:rsidRDefault="00127F42" w:rsidP="00311E1F">
      <w:pPr>
        <w:numPr>
          <w:ilvl w:val="0"/>
          <w:numId w:val="13"/>
        </w:numPr>
        <w:suppressAutoHyphens w:val="0"/>
        <w:autoSpaceDE w:val="0"/>
        <w:autoSpaceDN w:val="0"/>
        <w:adjustRightInd w:val="0"/>
        <w:spacing w:before="120" w:after="120"/>
        <w:jc w:val="both"/>
        <w:rPr>
          <w:lang w:eastAsia="et-EE"/>
        </w:rPr>
      </w:pPr>
      <w:r w:rsidRPr="00C50854">
        <w:rPr>
          <w:lang w:eastAsia="et-EE"/>
        </w:rPr>
        <w:t>201</w:t>
      </w:r>
      <w:r w:rsidR="00355DD5" w:rsidRPr="00C50854">
        <w:rPr>
          <w:lang w:eastAsia="et-EE"/>
        </w:rPr>
        <w:t>8</w:t>
      </w:r>
      <w:r w:rsidR="00CC6E9A" w:rsidRPr="00C50854">
        <w:rPr>
          <w:lang w:eastAsia="et-EE"/>
        </w:rPr>
        <w:t xml:space="preserve">. aastal oli valguskaabli baasil juurdepääsuvõrgu kliendiliine </w:t>
      </w:r>
      <w:r w:rsidR="000A0822" w:rsidRPr="00C50854">
        <w:rPr>
          <w:lang w:eastAsia="et-EE"/>
        </w:rPr>
        <w:t>33</w:t>
      </w:r>
      <w:r w:rsidR="00075094" w:rsidRPr="00C50854">
        <w:rPr>
          <w:lang w:eastAsia="et-EE"/>
        </w:rPr>
        <w:t xml:space="preserve"> </w:t>
      </w:r>
      <w:r w:rsidR="000A0822" w:rsidRPr="00C50854">
        <w:rPr>
          <w:lang w:eastAsia="et-EE"/>
        </w:rPr>
        <w:t>9661</w:t>
      </w:r>
      <w:r w:rsidR="00CC6E9A" w:rsidRPr="00C50854">
        <w:rPr>
          <w:lang w:eastAsia="et-EE"/>
        </w:rPr>
        <w:t xml:space="preserve"> km. </w:t>
      </w:r>
      <w:r w:rsidR="00F3538E" w:rsidRPr="00C50854">
        <w:rPr>
          <w:lang w:eastAsia="et-EE"/>
        </w:rPr>
        <w:t>Sellest</w:t>
      </w:r>
      <w:r w:rsidR="00CC6E9A" w:rsidRPr="00C50854">
        <w:rPr>
          <w:lang w:eastAsia="et-EE"/>
        </w:rPr>
        <w:t xml:space="preserve"> </w:t>
      </w:r>
      <w:r w:rsidR="00AF3E4B" w:rsidRPr="00C50854">
        <w:rPr>
          <w:lang w:eastAsia="et-EE"/>
        </w:rPr>
        <w:t>...*</w:t>
      </w:r>
      <w:r w:rsidR="00CC6E9A" w:rsidRPr="00C50854">
        <w:rPr>
          <w:lang w:eastAsia="et-EE"/>
        </w:rPr>
        <w:t xml:space="preserve">% kuulus </w:t>
      </w:r>
      <w:r w:rsidR="00387112" w:rsidRPr="00C50854">
        <w:rPr>
          <w:lang w:eastAsia="et-EE"/>
        </w:rPr>
        <w:t>Teliale</w:t>
      </w:r>
      <w:r w:rsidR="00CC6E9A" w:rsidRPr="00C50854">
        <w:rPr>
          <w:lang w:eastAsia="et-EE"/>
        </w:rPr>
        <w:t>. Lairiba ühendust võimaldavaid väljaehitatud valguskaabel kliendiliine oli 201</w:t>
      </w:r>
      <w:r w:rsidR="00075094" w:rsidRPr="00C50854">
        <w:rPr>
          <w:lang w:eastAsia="et-EE"/>
        </w:rPr>
        <w:t>8</w:t>
      </w:r>
      <w:r w:rsidR="00CC6E9A" w:rsidRPr="00C50854">
        <w:rPr>
          <w:lang w:eastAsia="et-EE"/>
        </w:rPr>
        <w:t xml:space="preserve">. aastal ca </w:t>
      </w:r>
      <w:r w:rsidR="00B6106E" w:rsidRPr="00C50854">
        <w:rPr>
          <w:lang w:eastAsia="et-EE"/>
        </w:rPr>
        <w:t>530 607</w:t>
      </w:r>
      <w:r w:rsidR="001E27CE" w:rsidRPr="00C50854">
        <w:rPr>
          <w:lang w:eastAsia="et-EE"/>
        </w:rPr>
        <w:t xml:space="preserve"> tk</w:t>
      </w:r>
      <w:r w:rsidR="00CC6E9A" w:rsidRPr="00C50854">
        <w:rPr>
          <w:lang w:eastAsia="et-EE"/>
        </w:rPr>
        <w:t xml:space="preserve">. </w:t>
      </w:r>
      <w:r w:rsidR="002A5D20" w:rsidRPr="00C50854">
        <w:rPr>
          <w:lang w:eastAsia="et-EE"/>
        </w:rPr>
        <w:t>Lõppkasutaja</w:t>
      </w:r>
      <w:r w:rsidR="00CC6E9A" w:rsidRPr="00C50854">
        <w:rPr>
          <w:lang w:eastAsia="et-EE"/>
        </w:rPr>
        <w:t xml:space="preserve">te poolt oli kasutuses </w:t>
      </w:r>
      <w:r w:rsidR="00C16745" w:rsidRPr="00C50854">
        <w:rPr>
          <w:lang w:eastAsia="et-EE"/>
        </w:rPr>
        <w:t xml:space="preserve">ca </w:t>
      </w:r>
      <w:r w:rsidR="00005860" w:rsidRPr="00C50854">
        <w:rPr>
          <w:lang w:eastAsia="et-EE"/>
        </w:rPr>
        <w:t>150</w:t>
      </w:r>
      <w:r w:rsidR="00C16745" w:rsidRPr="00C50854">
        <w:rPr>
          <w:lang w:eastAsia="et-EE"/>
        </w:rPr>
        <w:t xml:space="preserve"> 000</w:t>
      </w:r>
      <w:r w:rsidR="00B547F6" w:rsidRPr="00C50854">
        <w:rPr>
          <w:lang w:eastAsia="et-EE"/>
        </w:rPr>
        <w:t xml:space="preserve"> valguskaabel kliendiliini. </w:t>
      </w:r>
      <w:r w:rsidR="00CC6E9A" w:rsidRPr="00C50854">
        <w:rPr>
          <w:lang w:eastAsia="et-EE"/>
        </w:rPr>
        <w:t xml:space="preserve">Aktiivsetest kliendiliinidest oli valguskaabli osakaal </w:t>
      </w:r>
      <w:r w:rsidR="004561A8" w:rsidRPr="00C50854">
        <w:rPr>
          <w:lang w:eastAsia="et-EE"/>
        </w:rPr>
        <w:t>50</w:t>
      </w:r>
      <w:r w:rsidR="00CC6E9A" w:rsidRPr="00C50854">
        <w:rPr>
          <w:lang w:eastAsia="et-EE"/>
        </w:rPr>
        <w:t>%</w:t>
      </w:r>
      <w:r w:rsidR="004561A8" w:rsidRPr="00C50854">
        <w:rPr>
          <w:lang w:eastAsia="et-EE"/>
        </w:rPr>
        <w:t>, võrdluseks eelmisel  turuanalüüsi ringil oli see 34%</w:t>
      </w:r>
      <w:r w:rsidR="00CC6E9A" w:rsidRPr="00C50854">
        <w:rPr>
          <w:lang w:eastAsia="et-EE"/>
        </w:rPr>
        <w:t xml:space="preserve">. Turuanalüüsi kaasatud ettevõtjatest kuulub </w:t>
      </w:r>
      <w:r w:rsidR="00AF3E4B" w:rsidRPr="00C50854">
        <w:rPr>
          <w:lang w:eastAsia="et-EE"/>
        </w:rPr>
        <w:t>...*</w:t>
      </w:r>
      <w:r w:rsidR="00CC6E9A" w:rsidRPr="00C50854">
        <w:rPr>
          <w:lang w:eastAsia="et-EE"/>
        </w:rPr>
        <w:t xml:space="preserve">% aktiivsetest valguskaabel kliendiliinidest </w:t>
      </w:r>
      <w:r w:rsidR="00AB6CC2" w:rsidRPr="00C50854">
        <w:rPr>
          <w:lang w:eastAsia="et-EE"/>
        </w:rPr>
        <w:t>Teliale</w:t>
      </w:r>
      <w:r w:rsidR="00CC6E9A" w:rsidRPr="00C50854">
        <w:rPr>
          <w:lang w:eastAsia="et-EE"/>
        </w:rPr>
        <w:t xml:space="preserve"> ning </w:t>
      </w:r>
      <w:r w:rsidR="00AF3E4B" w:rsidRPr="00C50854">
        <w:rPr>
          <w:lang w:eastAsia="et-EE"/>
        </w:rPr>
        <w:t>...*</w:t>
      </w:r>
      <w:r w:rsidR="00CC6E9A" w:rsidRPr="00C50854">
        <w:rPr>
          <w:lang w:eastAsia="et-EE"/>
        </w:rPr>
        <w:t xml:space="preserve">% </w:t>
      </w:r>
      <w:r w:rsidR="004561A8" w:rsidRPr="00C50854">
        <w:rPr>
          <w:lang w:eastAsia="et-EE"/>
        </w:rPr>
        <w:t>STV-</w:t>
      </w:r>
      <w:r w:rsidR="00CC6E9A" w:rsidRPr="00C50854">
        <w:rPr>
          <w:lang w:eastAsia="et-EE"/>
        </w:rPr>
        <w:t>le.</w:t>
      </w:r>
    </w:p>
    <w:p w14:paraId="399D8615" w14:textId="00998648" w:rsidR="00CC6E9A" w:rsidRPr="00C50854" w:rsidRDefault="00C16418" w:rsidP="00311E1F">
      <w:pPr>
        <w:numPr>
          <w:ilvl w:val="0"/>
          <w:numId w:val="13"/>
        </w:numPr>
        <w:suppressAutoHyphens w:val="0"/>
        <w:autoSpaceDE w:val="0"/>
        <w:autoSpaceDN w:val="0"/>
        <w:adjustRightInd w:val="0"/>
        <w:spacing w:before="120" w:after="120"/>
        <w:jc w:val="both"/>
        <w:rPr>
          <w:lang w:eastAsia="et-EE"/>
        </w:rPr>
      </w:pPr>
      <w:r w:rsidRPr="00C50854">
        <w:rPr>
          <w:lang w:eastAsia="et-EE"/>
        </w:rPr>
        <w:t>Ülisuur enamus</w:t>
      </w:r>
      <w:r w:rsidR="00CC6E9A" w:rsidRPr="00C50854">
        <w:rPr>
          <w:lang w:eastAsia="et-EE"/>
        </w:rPr>
        <w:t xml:space="preserve"> Eesti Vabariigi</w:t>
      </w:r>
      <w:r w:rsidR="00367C07" w:rsidRPr="00C50854">
        <w:rPr>
          <w:lang w:eastAsia="et-EE"/>
        </w:rPr>
        <w:t>s</w:t>
      </w:r>
      <w:r w:rsidR="00CC6E9A" w:rsidRPr="00C50854">
        <w:rPr>
          <w:lang w:eastAsia="et-EE"/>
        </w:rPr>
        <w:t xml:space="preserve"> </w:t>
      </w:r>
      <w:r w:rsidR="00367C07" w:rsidRPr="00C50854">
        <w:rPr>
          <w:lang w:eastAsia="et-EE"/>
        </w:rPr>
        <w:t xml:space="preserve">välja ehitatud </w:t>
      </w:r>
      <w:r w:rsidR="00CC6E9A" w:rsidRPr="00C50854">
        <w:rPr>
          <w:lang w:eastAsia="et-EE"/>
        </w:rPr>
        <w:t>kaablikanalisatsioon</w:t>
      </w:r>
      <w:r w:rsidR="00367C07" w:rsidRPr="00C50854">
        <w:rPr>
          <w:lang w:eastAsia="et-EE"/>
        </w:rPr>
        <w:t>ist</w:t>
      </w:r>
      <w:r w:rsidR="00F57600" w:rsidRPr="00C50854">
        <w:rPr>
          <w:lang w:eastAsia="et-EE"/>
        </w:rPr>
        <w:t xml:space="preserve"> on</w:t>
      </w:r>
      <w:r w:rsidR="00CC6E9A" w:rsidRPr="00C50854">
        <w:rPr>
          <w:lang w:eastAsia="et-EE"/>
        </w:rPr>
        <w:t xml:space="preserve"> </w:t>
      </w:r>
      <w:r w:rsidR="00AB6CC2" w:rsidRPr="00C50854">
        <w:rPr>
          <w:lang w:eastAsia="et-EE"/>
        </w:rPr>
        <w:t>Telia</w:t>
      </w:r>
      <w:r w:rsidR="00CC6E9A" w:rsidRPr="00C50854">
        <w:rPr>
          <w:lang w:eastAsia="et-EE"/>
        </w:rPr>
        <w:t xml:space="preserve"> valduses. Käesoleva turuanalüüsi raames kogutud andemete kohaselt omab </w:t>
      </w:r>
      <w:r w:rsidR="00AB6CC2" w:rsidRPr="00C50854">
        <w:rPr>
          <w:lang w:eastAsia="et-EE"/>
        </w:rPr>
        <w:t>Telia</w:t>
      </w:r>
      <w:r w:rsidR="00CC6E9A" w:rsidRPr="00C50854">
        <w:rPr>
          <w:lang w:eastAsia="et-EE"/>
        </w:rPr>
        <w:t xml:space="preserve"> </w:t>
      </w:r>
      <w:r w:rsidR="00AF3E4B" w:rsidRPr="00C50854">
        <w:rPr>
          <w:lang w:eastAsia="et-EE"/>
        </w:rPr>
        <w:t xml:space="preserve">...* </w:t>
      </w:r>
      <w:r w:rsidR="00CC6E9A" w:rsidRPr="00C50854">
        <w:rPr>
          <w:lang w:eastAsia="et-EE"/>
        </w:rPr>
        <w:t xml:space="preserve">% </w:t>
      </w:r>
      <w:r w:rsidR="001F00D6" w:rsidRPr="00C50854">
        <w:rPr>
          <w:lang w:eastAsia="et-EE"/>
        </w:rPr>
        <w:t xml:space="preserve">välja ehitatud </w:t>
      </w:r>
      <w:r w:rsidR="00CC6E9A" w:rsidRPr="00C50854">
        <w:rPr>
          <w:lang w:eastAsia="et-EE"/>
        </w:rPr>
        <w:t xml:space="preserve"> kaablikanalisatsiooni</w:t>
      </w:r>
      <w:r w:rsidR="00243EDC" w:rsidRPr="00C50854">
        <w:rPr>
          <w:lang w:eastAsia="et-EE"/>
        </w:rPr>
        <w:t xml:space="preserve"> </w:t>
      </w:r>
      <w:r w:rsidR="001F00D6" w:rsidRPr="00C50854">
        <w:rPr>
          <w:lang w:eastAsia="et-EE"/>
        </w:rPr>
        <w:t xml:space="preserve">mahust </w:t>
      </w:r>
      <w:r w:rsidR="00243EDC" w:rsidRPr="00C50854">
        <w:rPr>
          <w:lang w:eastAsia="et-EE"/>
        </w:rPr>
        <w:t xml:space="preserve">(vt </w:t>
      </w:r>
      <w:r w:rsidR="007733B6" w:rsidRPr="00C50854">
        <w:rPr>
          <w:lang w:eastAsia="et-EE"/>
        </w:rPr>
        <w:fldChar w:fldCharType="begin"/>
      </w:r>
      <w:r w:rsidR="007733B6" w:rsidRPr="00C50854">
        <w:rPr>
          <w:lang w:eastAsia="et-EE"/>
        </w:rPr>
        <w:instrText xml:space="preserve"> REF _Ref346027257 \h  \* MERGEFORMAT </w:instrText>
      </w:r>
      <w:r w:rsidR="007733B6" w:rsidRPr="00C50854">
        <w:rPr>
          <w:lang w:eastAsia="et-EE"/>
        </w:rPr>
      </w:r>
      <w:r w:rsidR="007733B6" w:rsidRPr="00C50854">
        <w:rPr>
          <w:lang w:eastAsia="et-EE"/>
        </w:rPr>
        <w:fldChar w:fldCharType="separate"/>
      </w:r>
      <w:r w:rsidR="0079054B" w:rsidRPr="00C50854">
        <w:rPr>
          <w:bCs/>
          <w:lang w:eastAsia="et-EE"/>
        </w:rPr>
        <w:t xml:space="preserve">Tabel </w:t>
      </w:r>
      <w:r w:rsidR="0079054B" w:rsidRPr="00C50854">
        <w:rPr>
          <w:bCs/>
          <w:noProof/>
          <w:lang w:eastAsia="et-EE"/>
        </w:rPr>
        <w:t>18</w:t>
      </w:r>
      <w:r w:rsidR="007733B6" w:rsidRPr="00C50854">
        <w:rPr>
          <w:lang w:eastAsia="et-EE"/>
        </w:rPr>
        <w:fldChar w:fldCharType="end"/>
      </w:r>
      <w:r w:rsidR="00243EDC" w:rsidRPr="00C50854">
        <w:rPr>
          <w:lang w:eastAsia="et-EE"/>
        </w:rPr>
        <w:t>).</w:t>
      </w:r>
    </w:p>
    <w:tbl>
      <w:tblPr>
        <w:tblW w:w="9350" w:type="dxa"/>
        <w:tblCellMar>
          <w:left w:w="70" w:type="dxa"/>
          <w:right w:w="70" w:type="dxa"/>
        </w:tblCellMar>
        <w:tblLook w:val="04A0" w:firstRow="1" w:lastRow="0" w:firstColumn="1" w:lastColumn="0" w:noHBand="0" w:noVBand="1"/>
      </w:tblPr>
      <w:tblGrid>
        <w:gridCol w:w="2538"/>
        <w:gridCol w:w="6812"/>
      </w:tblGrid>
      <w:tr w:rsidR="00E02C84" w:rsidRPr="00C50854" w14:paraId="20369998" w14:textId="77777777" w:rsidTr="00A439C5">
        <w:trPr>
          <w:trHeight w:val="1050"/>
        </w:trPr>
        <w:tc>
          <w:tcPr>
            <w:tcW w:w="2538" w:type="dxa"/>
            <w:tcBorders>
              <w:top w:val="double" w:sz="6" w:space="0" w:color="auto"/>
              <w:left w:val="double" w:sz="6" w:space="0" w:color="auto"/>
              <w:bottom w:val="double" w:sz="6" w:space="0" w:color="auto"/>
              <w:right w:val="double" w:sz="6" w:space="0" w:color="auto"/>
            </w:tcBorders>
            <w:shd w:val="clear" w:color="000000" w:fill="CCFFCC"/>
            <w:vAlign w:val="center"/>
            <w:hideMark/>
          </w:tcPr>
          <w:p w14:paraId="45B3AAB6" w14:textId="77777777" w:rsidR="00E02C84" w:rsidRPr="00C50854" w:rsidRDefault="00E02C84" w:rsidP="00E02C84">
            <w:pPr>
              <w:suppressAutoHyphens w:val="0"/>
              <w:jc w:val="center"/>
              <w:rPr>
                <w:b/>
                <w:bCs/>
                <w:color w:val="000000"/>
                <w:sz w:val="20"/>
                <w:szCs w:val="20"/>
                <w:lang w:eastAsia="et-EE"/>
              </w:rPr>
            </w:pPr>
            <w:r w:rsidRPr="00C50854">
              <w:rPr>
                <w:b/>
                <w:bCs/>
                <w:color w:val="000000"/>
                <w:sz w:val="20"/>
                <w:szCs w:val="20"/>
                <w:lang w:eastAsia="et-EE"/>
              </w:rPr>
              <w:t>Ettevõtja</w:t>
            </w:r>
          </w:p>
        </w:tc>
        <w:tc>
          <w:tcPr>
            <w:tcW w:w="6812" w:type="dxa"/>
            <w:tcBorders>
              <w:top w:val="double" w:sz="6" w:space="0" w:color="auto"/>
              <w:left w:val="nil"/>
              <w:bottom w:val="double" w:sz="6" w:space="0" w:color="auto"/>
              <w:right w:val="double" w:sz="6" w:space="0" w:color="auto"/>
            </w:tcBorders>
            <w:shd w:val="clear" w:color="000000" w:fill="CCFFCC"/>
            <w:vAlign w:val="center"/>
            <w:hideMark/>
          </w:tcPr>
          <w:p w14:paraId="18A8D66C" w14:textId="77777777" w:rsidR="00E02C84" w:rsidRPr="00C50854" w:rsidRDefault="00E02C84" w:rsidP="00E02C84">
            <w:pPr>
              <w:suppressAutoHyphens w:val="0"/>
              <w:jc w:val="center"/>
              <w:rPr>
                <w:b/>
                <w:bCs/>
                <w:color w:val="000000"/>
                <w:sz w:val="20"/>
                <w:szCs w:val="20"/>
                <w:lang w:eastAsia="et-EE"/>
              </w:rPr>
            </w:pPr>
            <w:r w:rsidRPr="00C50854">
              <w:rPr>
                <w:b/>
                <w:bCs/>
                <w:color w:val="000000"/>
                <w:sz w:val="20"/>
                <w:szCs w:val="20"/>
                <w:lang w:eastAsia="et-EE"/>
              </w:rPr>
              <w:t>Kaablikanalisatsiooni ulatuse osakaal</w:t>
            </w:r>
          </w:p>
        </w:tc>
      </w:tr>
      <w:tr w:rsidR="00AF3E4B" w:rsidRPr="00C50854" w14:paraId="697CCBE4" w14:textId="77777777" w:rsidTr="00754016">
        <w:trPr>
          <w:trHeight w:val="285"/>
        </w:trPr>
        <w:tc>
          <w:tcPr>
            <w:tcW w:w="2538" w:type="dxa"/>
            <w:tcBorders>
              <w:top w:val="nil"/>
              <w:left w:val="double" w:sz="6" w:space="0" w:color="auto"/>
              <w:bottom w:val="double" w:sz="6" w:space="0" w:color="auto"/>
              <w:right w:val="double" w:sz="6" w:space="0" w:color="auto"/>
            </w:tcBorders>
            <w:shd w:val="clear" w:color="auto" w:fill="auto"/>
            <w:noWrap/>
            <w:vAlign w:val="center"/>
            <w:hideMark/>
          </w:tcPr>
          <w:p w14:paraId="69AF2413" w14:textId="77777777" w:rsidR="00AF3E4B" w:rsidRPr="00C50854" w:rsidRDefault="00AF3E4B" w:rsidP="00AF3E4B">
            <w:pPr>
              <w:suppressAutoHyphens w:val="0"/>
              <w:rPr>
                <w:color w:val="000000"/>
                <w:sz w:val="20"/>
                <w:szCs w:val="20"/>
                <w:lang w:eastAsia="et-EE"/>
              </w:rPr>
            </w:pPr>
            <w:r w:rsidRPr="00C50854">
              <w:rPr>
                <w:color w:val="000000"/>
                <w:sz w:val="20"/>
                <w:szCs w:val="20"/>
                <w:lang w:eastAsia="et-EE"/>
              </w:rPr>
              <w:t>Telia</w:t>
            </w:r>
          </w:p>
        </w:tc>
        <w:tc>
          <w:tcPr>
            <w:tcW w:w="6812" w:type="dxa"/>
            <w:tcBorders>
              <w:top w:val="nil"/>
              <w:left w:val="nil"/>
              <w:bottom w:val="double" w:sz="6" w:space="0" w:color="auto"/>
              <w:right w:val="double" w:sz="6" w:space="0" w:color="auto"/>
            </w:tcBorders>
            <w:shd w:val="clear" w:color="auto" w:fill="auto"/>
            <w:noWrap/>
            <w:hideMark/>
          </w:tcPr>
          <w:p w14:paraId="7F07CE28" w14:textId="30CD951D" w:rsidR="00AF3E4B" w:rsidRPr="00C50854" w:rsidRDefault="00AF3E4B" w:rsidP="00AF3E4B">
            <w:pPr>
              <w:suppressAutoHyphens w:val="0"/>
              <w:jc w:val="center"/>
              <w:rPr>
                <w:color w:val="000000"/>
                <w:sz w:val="20"/>
                <w:szCs w:val="20"/>
                <w:lang w:eastAsia="et-EE"/>
              </w:rPr>
            </w:pPr>
            <w:r w:rsidRPr="00C50854">
              <w:rPr>
                <w:sz w:val="20"/>
                <w:szCs w:val="20"/>
              </w:rPr>
              <w:t>...*%</w:t>
            </w:r>
          </w:p>
        </w:tc>
      </w:tr>
      <w:tr w:rsidR="00AF3E4B" w:rsidRPr="00C50854" w14:paraId="7BDDB53C" w14:textId="77777777" w:rsidTr="00754016">
        <w:trPr>
          <w:trHeight w:val="285"/>
        </w:trPr>
        <w:tc>
          <w:tcPr>
            <w:tcW w:w="2538" w:type="dxa"/>
            <w:tcBorders>
              <w:top w:val="nil"/>
              <w:left w:val="double" w:sz="6" w:space="0" w:color="auto"/>
              <w:bottom w:val="double" w:sz="6" w:space="0" w:color="auto"/>
              <w:right w:val="double" w:sz="6" w:space="0" w:color="auto"/>
            </w:tcBorders>
            <w:shd w:val="clear" w:color="auto" w:fill="auto"/>
            <w:noWrap/>
            <w:vAlign w:val="center"/>
            <w:hideMark/>
          </w:tcPr>
          <w:p w14:paraId="73A6D14D" w14:textId="286CC01F" w:rsidR="00AF3E4B" w:rsidRPr="00C50854" w:rsidRDefault="00AF3E4B" w:rsidP="00AF3E4B">
            <w:pPr>
              <w:suppressAutoHyphens w:val="0"/>
              <w:rPr>
                <w:color w:val="000000"/>
                <w:sz w:val="20"/>
                <w:szCs w:val="20"/>
                <w:lang w:eastAsia="et-EE"/>
              </w:rPr>
            </w:pPr>
            <w:r w:rsidRPr="00C50854">
              <w:rPr>
                <w:color w:val="000000"/>
                <w:sz w:val="20"/>
                <w:szCs w:val="20"/>
                <w:lang w:eastAsia="et-EE"/>
              </w:rPr>
              <w:t xml:space="preserve">Fill </w:t>
            </w:r>
          </w:p>
        </w:tc>
        <w:tc>
          <w:tcPr>
            <w:tcW w:w="6812" w:type="dxa"/>
            <w:tcBorders>
              <w:top w:val="nil"/>
              <w:left w:val="nil"/>
              <w:bottom w:val="double" w:sz="6" w:space="0" w:color="auto"/>
              <w:right w:val="double" w:sz="6" w:space="0" w:color="auto"/>
            </w:tcBorders>
            <w:shd w:val="clear" w:color="auto" w:fill="auto"/>
            <w:noWrap/>
            <w:hideMark/>
          </w:tcPr>
          <w:p w14:paraId="61B87141" w14:textId="3D51A82A" w:rsidR="00AF3E4B" w:rsidRPr="00C50854" w:rsidRDefault="00AF3E4B" w:rsidP="00AF3E4B">
            <w:pPr>
              <w:suppressAutoHyphens w:val="0"/>
              <w:jc w:val="center"/>
              <w:rPr>
                <w:color w:val="000000"/>
                <w:sz w:val="20"/>
                <w:szCs w:val="20"/>
                <w:lang w:eastAsia="et-EE"/>
              </w:rPr>
            </w:pPr>
            <w:r w:rsidRPr="00C50854">
              <w:rPr>
                <w:sz w:val="20"/>
                <w:szCs w:val="20"/>
              </w:rPr>
              <w:t>...*%</w:t>
            </w:r>
          </w:p>
        </w:tc>
      </w:tr>
      <w:tr w:rsidR="00AF3E4B" w:rsidRPr="00C50854" w14:paraId="4863FF07" w14:textId="77777777" w:rsidTr="00754016">
        <w:trPr>
          <w:trHeight w:val="285"/>
        </w:trPr>
        <w:tc>
          <w:tcPr>
            <w:tcW w:w="2538" w:type="dxa"/>
            <w:tcBorders>
              <w:top w:val="nil"/>
              <w:left w:val="double" w:sz="6" w:space="0" w:color="auto"/>
              <w:bottom w:val="double" w:sz="6" w:space="0" w:color="auto"/>
              <w:right w:val="double" w:sz="6" w:space="0" w:color="auto"/>
            </w:tcBorders>
            <w:shd w:val="clear" w:color="auto" w:fill="auto"/>
            <w:noWrap/>
            <w:vAlign w:val="center"/>
            <w:hideMark/>
          </w:tcPr>
          <w:p w14:paraId="037EAAD9" w14:textId="77777777" w:rsidR="00AF3E4B" w:rsidRPr="00C50854" w:rsidRDefault="00AF3E4B" w:rsidP="00AF3E4B">
            <w:pPr>
              <w:suppressAutoHyphens w:val="0"/>
              <w:rPr>
                <w:color w:val="000000"/>
                <w:sz w:val="20"/>
                <w:szCs w:val="20"/>
                <w:lang w:eastAsia="et-EE"/>
              </w:rPr>
            </w:pPr>
            <w:r w:rsidRPr="00C50854">
              <w:rPr>
                <w:color w:val="000000"/>
                <w:sz w:val="20"/>
                <w:szCs w:val="20"/>
                <w:lang w:eastAsia="et-EE"/>
              </w:rPr>
              <w:t>Telset</w:t>
            </w:r>
          </w:p>
        </w:tc>
        <w:tc>
          <w:tcPr>
            <w:tcW w:w="6812" w:type="dxa"/>
            <w:tcBorders>
              <w:top w:val="nil"/>
              <w:left w:val="nil"/>
              <w:bottom w:val="double" w:sz="6" w:space="0" w:color="auto"/>
              <w:right w:val="double" w:sz="6" w:space="0" w:color="auto"/>
            </w:tcBorders>
            <w:shd w:val="clear" w:color="auto" w:fill="auto"/>
            <w:noWrap/>
            <w:hideMark/>
          </w:tcPr>
          <w:p w14:paraId="2D6CF79D" w14:textId="0EEFC686" w:rsidR="00AF3E4B" w:rsidRPr="00C50854" w:rsidRDefault="00AF3E4B" w:rsidP="00AF3E4B">
            <w:pPr>
              <w:suppressAutoHyphens w:val="0"/>
              <w:jc w:val="center"/>
              <w:rPr>
                <w:color w:val="000000"/>
                <w:sz w:val="20"/>
                <w:szCs w:val="20"/>
                <w:lang w:eastAsia="et-EE"/>
              </w:rPr>
            </w:pPr>
            <w:r w:rsidRPr="00C50854">
              <w:rPr>
                <w:sz w:val="20"/>
                <w:szCs w:val="20"/>
              </w:rPr>
              <w:t>...*%</w:t>
            </w:r>
          </w:p>
        </w:tc>
      </w:tr>
      <w:tr w:rsidR="00AF3E4B" w:rsidRPr="00C50854" w14:paraId="79C428E8" w14:textId="77777777" w:rsidTr="00754016">
        <w:trPr>
          <w:trHeight w:val="285"/>
        </w:trPr>
        <w:tc>
          <w:tcPr>
            <w:tcW w:w="2538" w:type="dxa"/>
            <w:tcBorders>
              <w:top w:val="nil"/>
              <w:left w:val="double" w:sz="6" w:space="0" w:color="auto"/>
              <w:bottom w:val="double" w:sz="6" w:space="0" w:color="auto"/>
              <w:right w:val="double" w:sz="6" w:space="0" w:color="auto"/>
            </w:tcBorders>
            <w:shd w:val="clear" w:color="auto" w:fill="auto"/>
            <w:noWrap/>
            <w:vAlign w:val="center"/>
            <w:hideMark/>
          </w:tcPr>
          <w:p w14:paraId="3F3B83D6" w14:textId="77777777" w:rsidR="00AF3E4B" w:rsidRPr="00C50854" w:rsidRDefault="00AF3E4B" w:rsidP="00AF3E4B">
            <w:pPr>
              <w:suppressAutoHyphens w:val="0"/>
              <w:rPr>
                <w:color w:val="000000"/>
                <w:sz w:val="20"/>
                <w:szCs w:val="20"/>
                <w:lang w:eastAsia="et-EE"/>
              </w:rPr>
            </w:pPr>
            <w:r w:rsidRPr="00C50854">
              <w:rPr>
                <w:color w:val="000000"/>
                <w:sz w:val="20"/>
                <w:szCs w:val="20"/>
                <w:lang w:eastAsia="et-EE"/>
              </w:rPr>
              <w:t>Teleteenused</w:t>
            </w:r>
          </w:p>
        </w:tc>
        <w:tc>
          <w:tcPr>
            <w:tcW w:w="6812" w:type="dxa"/>
            <w:tcBorders>
              <w:top w:val="nil"/>
              <w:left w:val="nil"/>
              <w:bottom w:val="double" w:sz="6" w:space="0" w:color="auto"/>
              <w:right w:val="double" w:sz="6" w:space="0" w:color="auto"/>
            </w:tcBorders>
            <w:shd w:val="clear" w:color="auto" w:fill="auto"/>
            <w:noWrap/>
            <w:hideMark/>
          </w:tcPr>
          <w:p w14:paraId="693D8FD7" w14:textId="4ED985A9" w:rsidR="00AF3E4B" w:rsidRPr="00C50854" w:rsidRDefault="00AF3E4B" w:rsidP="00AF3E4B">
            <w:pPr>
              <w:suppressAutoHyphens w:val="0"/>
              <w:jc w:val="center"/>
              <w:rPr>
                <w:color w:val="000000"/>
                <w:sz w:val="20"/>
                <w:szCs w:val="20"/>
                <w:lang w:eastAsia="et-EE"/>
              </w:rPr>
            </w:pPr>
            <w:r w:rsidRPr="00C50854">
              <w:rPr>
                <w:sz w:val="20"/>
                <w:szCs w:val="20"/>
              </w:rPr>
              <w:t>...*%</w:t>
            </w:r>
          </w:p>
        </w:tc>
      </w:tr>
      <w:tr w:rsidR="00AF3E4B" w:rsidRPr="00C50854" w14:paraId="75708578" w14:textId="77777777" w:rsidTr="00754016">
        <w:trPr>
          <w:trHeight w:val="285"/>
        </w:trPr>
        <w:tc>
          <w:tcPr>
            <w:tcW w:w="2538" w:type="dxa"/>
            <w:tcBorders>
              <w:top w:val="nil"/>
              <w:left w:val="double" w:sz="6" w:space="0" w:color="auto"/>
              <w:bottom w:val="double" w:sz="6" w:space="0" w:color="auto"/>
              <w:right w:val="double" w:sz="6" w:space="0" w:color="auto"/>
            </w:tcBorders>
            <w:shd w:val="clear" w:color="auto" w:fill="auto"/>
            <w:noWrap/>
            <w:vAlign w:val="center"/>
            <w:hideMark/>
          </w:tcPr>
          <w:p w14:paraId="75624B82" w14:textId="77777777" w:rsidR="00AF3E4B" w:rsidRPr="00C50854" w:rsidRDefault="00AF3E4B" w:rsidP="00AF3E4B">
            <w:pPr>
              <w:suppressAutoHyphens w:val="0"/>
              <w:rPr>
                <w:color w:val="000000"/>
                <w:sz w:val="20"/>
                <w:szCs w:val="20"/>
                <w:lang w:eastAsia="et-EE"/>
              </w:rPr>
            </w:pPr>
            <w:r w:rsidRPr="00C50854">
              <w:rPr>
                <w:color w:val="000000"/>
                <w:sz w:val="20"/>
                <w:szCs w:val="20"/>
                <w:lang w:eastAsia="et-EE"/>
              </w:rPr>
              <w:t>Elisa</w:t>
            </w:r>
          </w:p>
        </w:tc>
        <w:tc>
          <w:tcPr>
            <w:tcW w:w="6812" w:type="dxa"/>
            <w:tcBorders>
              <w:top w:val="nil"/>
              <w:left w:val="nil"/>
              <w:bottom w:val="double" w:sz="6" w:space="0" w:color="auto"/>
              <w:right w:val="double" w:sz="6" w:space="0" w:color="auto"/>
            </w:tcBorders>
            <w:shd w:val="clear" w:color="auto" w:fill="auto"/>
            <w:noWrap/>
            <w:hideMark/>
          </w:tcPr>
          <w:p w14:paraId="56F7A48C" w14:textId="5C0017FD" w:rsidR="00AF3E4B" w:rsidRPr="00C50854" w:rsidRDefault="00AF3E4B" w:rsidP="00AF3E4B">
            <w:pPr>
              <w:suppressAutoHyphens w:val="0"/>
              <w:jc w:val="center"/>
              <w:rPr>
                <w:color w:val="000000"/>
                <w:sz w:val="20"/>
                <w:szCs w:val="20"/>
                <w:lang w:eastAsia="et-EE"/>
              </w:rPr>
            </w:pPr>
            <w:r w:rsidRPr="00C50854">
              <w:rPr>
                <w:sz w:val="20"/>
                <w:szCs w:val="20"/>
              </w:rPr>
              <w:t>...*%</w:t>
            </w:r>
          </w:p>
        </w:tc>
      </w:tr>
      <w:tr w:rsidR="00AF3E4B" w:rsidRPr="00C50854" w14:paraId="15322CC7" w14:textId="77777777" w:rsidTr="00754016">
        <w:trPr>
          <w:trHeight w:val="285"/>
        </w:trPr>
        <w:tc>
          <w:tcPr>
            <w:tcW w:w="2538" w:type="dxa"/>
            <w:tcBorders>
              <w:top w:val="nil"/>
              <w:left w:val="double" w:sz="6" w:space="0" w:color="auto"/>
              <w:bottom w:val="double" w:sz="6" w:space="0" w:color="auto"/>
              <w:right w:val="double" w:sz="6" w:space="0" w:color="auto"/>
            </w:tcBorders>
            <w:shd w:val="clear" w:color="auto" w:fill="auto"/>
            <w:noWrap/>
            <w:vAlign w:val="center"/>
            <w:hideMark/>
          </w:tcPr>
          <w:p w14:paraId="78BD3B09" w14:textId="77777777" w:rsidR="00AF3E4B" w:rsidRPr="00C50854" w:rsidRDefault="00AF3E4B" w:rsidP="00AF3E4B">
            <w:pPr>
              <w:suppressAutoHyphens w:val="0"/>
              <w:rPr>
                <w:color w:val="000000"/>
                <w:sz w:val="20"/>
                <w:szCs w:val="20"/>
                <w:lang w:eastAsia="et-EE"/>
              </w:rPr>
            </w:pPr>
            <w:r w:rsidRPr="00C50854">
              <w:rPr>
                <w:color w:val="000000"/>
                <w:sz w:val="20"/>
                <w:szCs w:val="20"/>
                <w:lang w:eastAsia="et-EE"/>
              </w:rPr>
              <w:t>Interframe</w:t>
            </w:r>
          </w:p>
        </w:tc>
        <w:tc>
          <w:tcPr>
            <w:tcW w:w="6812" w:type="dxa"/>
            <w:tcBorders>
              <w:top w:val="nil"/>
              <w:left w:val="nil"/>
              <w:bottom w:val="double" w:sz="6" w:space="0" w:color="auto"/>
              <w:right w:val="double" w:sz="6" w:space="0" w:color="auto"/>
            </w:tcBorders>
            <w:shd w:val="clear" w:color="auto" w:fill="auto"/>
            <w:noWrap/>
            <w:hideMark/>
          </w:tcPr>
          <w:p w14:paraId="0E8EBE96" w14:textId="7D6568BA" w:rsidR="00AF3E4B" w:rsidRPr="00C50854" w:rsidRDefault="00AF3E4B" w:rsidP="00AF3E4B">
            <w:pPr>
              <w:suppressAutoHyphens w:val="0"/>
              <w:jc w:val="center"/>
              <w:rPr>
                <w:color w:val="000000"/>
                <w:sz w:val="20"/>
                <w:szCs w:val="20"/>
                <w:lang w:eastAsia="et-EE"/>
              </w:rPr>
            </w:pPr>
            <w:r w:rsidRPr="00C50854">
              <w:rPr>
                <w:sz w:val="20"/>
                <w:szCs w:val="20"/>
              </w:rPr>
              <w:t>...*%</w:t>
            </w:r>
          </w:p>
        </w:tc>
      </w:tr>
      <w:tr w:rsidR="00AF3E4B" w:rsidRPr="00C50854" w14:paraId="3FFEBED8" w14:textId="77777777" w:rsidTr="00754016">
        <w:trPr>
          <w:trHeight w:val="285"/>
        </w:trPr>
        <w:tc>
          <w:tcPr>
            <w:tcW w:w="2538" w:type="dxa"/>
            <w:tcBorders>
              <w:top w:val="nil"/>
              <w:left w:val="double" w:sz="6" w:space="0" w:color="auto"/>
              <w:bottom w:val="double" w:sz="6" w:space="0" w:color="auto"/>
              <w:right w:val="double" w:sz="6" w:space="0" w:color="auto"/>
            </w:tcBorders>
            <w:shd w:val="clear" w:color="auto" w:fill="auto"/>
            <w:noWrap/>
            <w:vAlign w:val="center"/>
            <w:hideMark/>
          </w:tcPr>
          <w:p w14:paraId="23372035" w14:textId="77777777" w:rsidR="00AF3E4B" w:rsidRPr="00C50854" w:rsidRDefault="00AF3E4B" w:rsidP="00AF3E4B">
            <w:pPr>
              <w:suppressAutoHyphens w:val="0"/>
              <w:rPr>
                <w:color w:val="000000"/>
                <w:sz w:val="20"/>
                <w:szCs w:val="20"/>
                <w:lang w:eastAsia="et-EE"/>
              </w:rPr>
            </w:pPr>
            <w:r w:rsidRPr="00C50854">
              <w:rPr>
                <w:color w:val="000000"/>
                <w:sz w:val="20"/>
                <w:szCs w:val="20"/>
                <w:lang w:eastAsia="et-EE"/>
              </w:rPr>
              <w:t>Kokku</w:t>
            </w:r>
          </w:p>
        </w:tc>
        <w:tc>
          <w:tcPr>
            <w:tcW w:w="6812" w:type="dxa"/>
            <w:tcBorders>
              <w:top w:val="nil"/>
              <w:left w:val="nil"/>
              <w:bottom w:val="double" w:sz="6" w:space="0" w:color="auto"/>
              <w:right w:val="double" w:sz="6" w:space="0" w:color="auto"/>
            </w:tcBorders>
            <w:shd w:val="clear" w:color="auto" w:fill="auto"/>
            <w:noWrap/>
            <w:hideMark/>
          </w:tcPr>
          <w:p w14:paraId="14DB66AD" w14:textId="735EF5DD" w:rsidR="00AF3E4B" w:rsidRPr="00C50854" w:rsidRDefault="00AF3E4B" w:rsidP="00AF3E4B">
            <w:pPr>
              <w:suppressAutoHyphens w:val="0"/>
              <w:jc w:val="center"/>
              <w:rPr>
                <w:color w:val="000000"/>
                <w:sz w:val="20"/>
                <w:szCs w:val="20"/>
                <w:lang w:eastAsia="et-EE"/>
              </w:rPr>
            </w:pPr>
            <w:r w:rsidRPr="00C50854">
              <w:rPr>
                <w:sz w:val="20"/>
                <w:szCs w:val="20"/>
              </w:rPr>
              <w:t>...*%</w:t>
            </w:r>
          </w:p>
        </w:tc>
      </w:tr>
    </w:tbl>
    <w:p w14:paraId="1BB1F9D1" w14:textId="2EEA0DEA" w:rsidR="00CC6E9A" w:rsidRPr="00C50854" w:rsidRDefault="00CC6E9A" w:rsidP="00CC6E9A">
      <w:pPr>
        <w:suppressAutoHyphens w:val="0"/>
        <w:spacing w:before="120" w:after="120"/>
        <w:rPr>
          <w:bCs/>
          <w:sz w:val="20"/>
          <w:szCs w:val="20"/>
          <w:lang w:eastAsia="et-EE"/>
        </w:rPr>
      </w:pPr>
      <w:bookmarkStart w:id="240" w:name="_Ref346027257"/>
      <w:r w:rsidRPr="00C50854">
        <w:rPr>
          <w:b/>
          <w:bCs/>
          <w:sz w:val="20"/>
          <w:szCs w:val="20"/>
          <w:lang w:eastAsia="et-EE"/>
        </w:rPr>
        <w:t xml:space="preserve">Tabel </w:t>
      </w:r>
      <w:r w:rsidR="00341D2F" w:rsidRPr="00C50854">
        <w:rPr>
          <w:b/>
          <w:bCs/>
          <w:sz w:val="20"/>
          <w:szCs w:val="20"/>
          <w:lang w:eastAsia="et-EE"/>
        </w:rPr>
        <w:fldChar w:fldCharType="begin"/>
      </w:r>
      <w:r w:rsidR="00341D2F" w:rsidRPr="00C50854">
        <w:rPr>
          <w:b/>
          <w:bCs/>
          <w:sz w:val="20"/>
          <w:szCs w:val="20"/>
          <w:lang w:eastAsia="et-EE"/>
        </w:rPr>
        <w:instrText xml:space="preserve"> SEQ Tabel \* ARABIC </w:instrText>
      </w:r>
      <w:r w:rsidR="00341D2F" w:rsidRPr="00C50854">
        <w:rPr>
          <w:b/>
          <w:bCs/>
          <w:sz w:val="20"/>
          <w:szCs w:val="20"/>
          <w:lang w:eastAsia="et-EE"/>
        </w:rPr>
        <w:fldChar w:fldCharType="separate"/>
      </w:r>
      <w:r w:rsidR="00D24389" w:rsidRPr="00C50854">
        <w:rPr>
          <w:b/>
          <w:bCs/>
          <w:noProof/>
          <w:sz w:val="20"/>
          <w:szCs w:val="20"/>
          <w:lang w:eastAsia="et-EE"/>
        </w:rPr>
        <w:t>19</w:t>
      </w:r>
      <w:r w:rsidR="00341D2F" w:rsidRPr="00C50854">
        <w:rPr>
          <w:b/>
          <w:bCs/>
          <w:sz w:val="20"/>
          <w:szCs w:val="20"/>
          <w:lang w:eastAsia="et-EE"/>
        </w:rPr>
        <w:fldChar w:fldCharType="end"/>
      </w:r>
      <w:bookmarkEnd w:id="240"/>
      <w:r w:rsidR="00602F17" w:rsidRPr="00C50854">
        <w:rPr>
          <w:b/>
          <w:bCs/>
          <w:noProof/>
          <w:sz w:val="20"/>
          <w:szCs w:val="20"/>
          <w:lang w:eastAsia="et-EE"/>
        </w:rPr>
        <w:t>.</w:t>
      </w:r>
      <w:r w:rsidRPr="00C50854">
        <w:rPr>
          <w:b/>
          <w:bCs/>
          <w:sz w:val="20"/>
          <w:szCs w:val="20"/>
          <w:lang w:eastAsia="et-EE"/>
        </w:rPr>
        <w:t xml:space="preserve"> </w:t>
      </w:r>
      <w:r w:rsidRPr="00C50854">
        <w:rPr>
          <w:bCs/>
          <w:sz w:val="20"/>
          <w:szCs w:val="20"/>
          <w:lang w:eastAsia="et-EE"/>
        </w:rPr>
        <w:t>Kaab</w:t>
      </w:r>
      <w:r w:rsidR="005701C2" w:rsidRPr="00C50854">
        <w:rPr>
          <w:bCs/>
          <w:sz w:val="20"/>
          <w:szCs w:val="20"/>
          <w:lang w:eastAsia="et-EE"/>
        </w:rPr>
        <w:t>li</w:t>
      </w:r>
      <w:r w:rsidR="005908A1" w:rsidRPr="00C50854">
        <w:rPr>
          <w:bCs/>
          <w:sz w:val="20"/>
          <w:szCs w:val="20"/>
          <w:lang w:eastAsia="et-EE"/>
        </w:rPr>
        <w:t>k</w:t>
      </w:r>
      <w:r w:rsidRPr="00C50854">
        <w:rPr>
          <w:bCs/>
          <w:sz w:val="20"/>
          <w:szCs w:val="20"/>
          <w:lang w:eastAsia="et-EE"/>
        </w:rPr>
        <w:t>analisatsiooni ulatuse osakaal 201</w:t>
      </w:r>
      <w:r w:rsidR="005B1937" w:rsidRPr="00C50854">
        <w:rPr>
          <w:bCs/>
          <w:sz w:val="20"/>
          <w:szCs w:val="20"/>
          <w:lang w:eastAsia="et-EE"/>
        </w:rPr>
        <w:t>8</w:t>
      </w:r>
      <w:r w:rsidRPr="00C50854">
        <w:rPr>
          <w:bCs/>
          <w:sz w:val="20"/>
          <w:szCs w:val="20"/>
          <w:lang w:eastAsia="et-EE"/>
        </w:rPr>
        <w:t>. aasta seisuga</w:t>
      </w:r>
    </w:p>
    <w:p w14:paraId="15C97D54" w14:textId="03D501AF"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Kaab</w:t>
      </w:r>
      <w:r w:rsidR="005701C2" w:rsidRPr="00C50854">
        <w:rPr>
          <w:lang w:eastAsia="et-EE"/>
        </w:rPr>
        <w:t>li</w:t>
      </w:r>
      <w:r w:rsidRPr="00C50854">
        <w:rPr>
          <w:lang w:eastAsia="et-EE"/>
        </w:rPr>
        <w:t xml:space="preserve">kanalisatsiooni ei ole oluliselt laiendatud. Nii </w:t>
      </w:r>
      <w:r w:rsidR="007733B6" w:rsidRPr="00C50854">
        <w:rPr>
          <w:lang w:eastAsia="et-EE"/>
        </w:rPr>
        <w:t xml:space="preserve">Telia </w:t>
      </w:r>
      <w:r w:rsidRPr="00C50854">
        <w:rPr>
          <w:lang w:eastAsia="et-EE"/>
        </w:rPr>
        <w:t xml:space="preserve">kui teised võrguteenuse osutajad on </w:t>
      </w:r>
      <w:r w:rsidR="00F45E5A" w:rsidRPr="00C50854">
        <w:rPr>
          <w:lang w:eastAsia="et-EE"/>
        </w:rPr>
        <w:t>võtnud kasutusele tehnoloogilised lahendused</w:t>
      </w:r>
      <w:r w:rsidRPr="00C50854">
        <w:rPr>
          <w:lang w:eastAsia="et-EE"/>
        </w:rPr>
        <w:t>, mille kohaselt paigaldatakse sidevõrgu infrastruktuur maapinda ilma kaab</w:t>
      </w:r>
      <w:r w:rsidR="005701C2" w:rsidRPr="00C50854">
        <w:rPr>
          <w:lang w:eastAsia="et-EE"/>
        </w:rPr>
        <w:t>li</w:t>
      </w:r>
      <w:r w:rsidRPr="00C50854">
        <w:rPr>
          <w:lang w:eastAsia="et-EE"/>
        </w:rPr>
        <w:t>ka</w:t>
      </w:r>
      <w:r w:rsidR="00367C07" w:rsidRPr="00C50854">
        <w:rPr>
          <w:lang w:eastAsia="et-EE"/>
        </w:rPr>
        <w:t>nalisatsiooni</w:t>
      </w:r>
      <w:r w:rsidR="00243EDC" w:rsidRPr="00C50854">
        <w:rPr>
          <w:lang w:eastAsia="et-EE"/>
        </w:rPr>
        <w:t xml:space="preserve">ta – seega </w:t>
      </w:r>
      <w:r w:rsidRPr="00C50854">
        <w:rPr>
          <w:lang w:eastAsia="et-EE"/>
        </w:rPr>
        <w:t>laiendavad ettevõtjad oma infrastruktuuri, kuid juba loodud kaab</w:t>
      </w:r>
      <w:r w:rsidR="005701C2" w:rsidRPr="00C50854">
        <w:rPr>
          <w:lang w:eastAsia="et-EE"/>
        </w:rPr>
        <w:t>li</w:t>
      </w:r>
      <w:r w:rsidRPr="00C50854">
        <w:rPr>
          <w:lang w:eastAsia="et-EE"/>
        </w:rPr>
        <w:t>kanalisatsiooni maht enam oluliselt ei suurene.</w:t>
      </w:r>
    </w:p>
    <w:p w14:paraId="6DD9AE0B" w14:textId="3366FBCF"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Ettevõtjad, kes osutavad jaeteenuseid ja soovivad nimetatud teenuse osutamiseks välja ehitada elektroonilise side teenuste osutamist võimaldava fikseeritud sidevõrgu, võivad selleks vajaliku kaablikanalisatsiooni rajada ise või rentida seda sideettevõtjalt, kellel on kaablikanalisatsioon juba varemalt välja ehitatud – seega ennekõike </w:t>
      </w:r>
      <w:r w:rsidR="007733B6" w:rsidRPr="00C50854">
        <w:rPr>
          <w:lang w:eastAsia="et-EE"/>
        </w:rPr>
        <w:t>Telialt</w:t>
      </w:r>
      <w:r w:rsidRPr="00C50854">
        <w:rPr>
          <w:lang w:eastAsia="et-EE"/>
        </w:rPr>
        <w:t>.</w:t>
      </w:r>
    </w:p>
    <w:p w14:paraId="52F6D47B" w14:textId="467DE60C"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Kõikjale uue kaablikanalisatsiooni, eriti paralleelse kaablikanalisatsiooni rajamine ei ole sageli võimalik või on see raskendatud keskkonnakaitse, planeerimis- ning ehitusnõuetest tulenevate piirangute tõttu. Uue kaablikanalisatsiooni rajamisel (muuhulgas piirkondades, kus varasemalt välja ehitatud infrastruktuur puudub), kehtivad sellised piirangud võrdselt kõikidele ettevõtjatele. Tulenevalt kaablikanalisatsiooni rajamise märkimisväärsetest (pöördumatutest) kuludest ja võimalikest ehituspiirangutest, on enamikule sideettevõtjatest peamiseks kaablikanalisatsiooni kasutamise võimaluseks selle rentimine </w:t>
      </w:r>
      <w:r w:rsidR="007733B6" w:rsidRPr="00C50854">
        <w:rPr>
          <w:lang w:eastAsia="et-EE"/>
        </w:rPr>
        <w:t>Telialt</w:t>
      </w:r>
      <w:r w:rsidRPr="00C50854">
        <w:rPr>
          <w:lang w:eastAsia="et-EE"/>
        </w:rPr>
        <w:t>. Vaba mahu olemasolul on kaablikanalisatsiooni rent mõistlikel tingimustel märgatavalt kiirem võimalus oma sidevõrgu rajamiseks - ligipääs kaablikanalisatsioonile on sidevõrku rajada soovivatele ettevõtjatele olulise tähtsusega.</w:t>
      </w:r>
    </w:p>
    <w:p w14:paraId="62424F85" w14:textId="5FA5ADAD" w:rsidR="00CC6E9A" w:rsidRPr="00C50854" w:rsidRDefault="00322083" w:rsidP="00311E1F">
      <w:pPr>
        <w:numPr>
          <w:ilvl w:val="0"/>
          <w:numId w:val="13"/>
        </w:numPr>
        <w:suppressAutoHyphens w:val="0"/>
        <w:autoSpaceDE w:val="0"/>
        <w:autoSpaceDN w:val="0"/>
        <w:adjustRightInd w:val="0"/>
        <w:spacing w:before="120" w:after="120"/>
        <w:jc w:val="both"/>
        <w:rPr>
          <w:lang w:eastAsia="et-EE"/>
        </w:rPr>
      </w:pPr>
      <w:r w:rsidRPr="00C50854">
        <w:rPr>
          <w:lang w:eastAsia="et-EE"/>
        </w:rPr>
        <w:t>Laialdase k</w:t>
      </w:r>
      <w:r w:rsidR="00CC6E9A" w:rsidRPr="00C50854">
        <w:rPr>
          <w:lang w:eastAsia="et-EE"/>
        </w:rPr>
        <w:t xml:space="preserve">aablikanalisatsiooni omamine annab </w:t>
      </w:r>
      <w:r w:rsidR="007733B6" w:rsidRPr="00C50854">
        <w:rPr>
          <w:lang w:eastAsia="et-EE"/>
        </w:rPr>
        <w:t xml:space="preserve">Teliale </w:t>
      </w:r>
      <w:r w:rsidR="00CC6E9A" w:rsidRPr="00C50854">
        <w:rPr>
          <w:lang w:eastAsia="et-EE"/>
        </w:rPr>
        <w:t xml:space="preserve">olulise konkurentsieelise teistele sideettevõtjatele võrguteenuste osutamisel, sh juurdepääsuteenuse osutamiseks. Samas on teised sideettevõtjad oma tegevuses sõltuvad </w:t>
      </w:r>
      <w:r w:rsidR="00084A49" w:rsidRPr="00C50854">
        <w:rPr>
          <w:lang w:eastAsia="et-EE"/>
        </w:rPr>
        <w:t>Teliast</w:t>
      </w:r>
      <w:r w:rsidR="00CC6E9A" w:rsidRPr="00C50854">
        <w:rPr>
          <w:lang w:eastAsia="et-EE"/>
        </w:rPr>
        <w:t>, sest ilma</w:t>
      </w:r>
      <w:r w:rsidR="00367C07" w:rsidRPr="00C50854">
        <w:rPr>
          <w:lang w:eastAsia="et-EE"/>
        </w:rPr>
        <w:t xml:space="preserve"> </w:t>
      </w:r>
      <w:r w:rsidR="00084A49" w:rsidRPr="00C50854">
        <w:rPr>
          <w:lang w:eastAsia="et-EE"/>
        </w:rPr>
        <w:t>Telia</w:t>
      </w:r>
      <w:r w:rsidR="00CC6E9A" w:rsidRPr="00C50854">
        <w:rPr>
          <w:lang w:eastAsia="et-EE"/>
        </w:rPr>
        <w:t xml:space="preserve"> infrastruktuurile juurdepääsuta ei ole ne</w:t>
      </w:r>
      <w:r w:rsidR="00367C07" w:rsidRPr="00C50854">
        <w:rPr>
          <w:lang w:eastAsia="et-EE"/>
        </w:rPr>
        <w:t>il võimalik efektiivselt teenuseid</w:t>
      </w:r>
      <w:r w:rsidR="00CC6E9A" w:rsidRPr="00C50854">
        <w:rPr>
          <w:lang w:eastAsia="et-EE"/>
        </w:rPr>
        <w:t xml:space="preserve"> osutada.</w:t>
      </w:r>
    </w:p>
    <w:p w14:paraId="24F17D2E" w14:textId="77777777" w:rsidR="00CC6E9A" w:rsidRPr="00C50854" w:rsidRDefault="00CC6E9A" w:rsidP="00CC6E9A">
      <w:pPr>
        <w:suppressAutoHyphens w:val="0"/>
        <w:autoSpaceDE w:val="0"/>
        <w:autoSpaceDN w:val="0"/>
        <w:adjustRightInd w:val="0"/>
        <w:spacing w:before="120" w:after="120"/>
        <w:rPr>
          <w:b/>
          <w:lang w:eastAsia="et-EE"/>
        </w:rPr>
      </w:pPr>
      <w:r w:rsidRPr="00C50854">
        <w:rPr>
          <w:b/>
          <w:lang w:eastAsia="et-EE"/>
        </w:rPr>
        <w:t>Kokkuvõte</w:t>
      </w:r>
    </w:p>
    <w:p w14:paraId="5F5C1BB6" w14:textId="71B4E4A5"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 xml:space="preserve">Turuanalüüsi läbiviimise käigus vaadeldud ettevõtjate sidevõrgu infrastruktuuri juurdepääsuvõrgu osa analüüs näitab, et </w:t>
      </w:r>
      <w:r w:rsidR="00084A49" w:rsidRPr="00C50854">
        <w:rPr>
          <w:lang w:eastAsia="et-EE"/>
        </w:rPr>
        <w:t>Telia</w:t>
      </w:r>
      <w:r w:rsidR="00746479" w:rsidRPr="00C50854">
        <w:rPr>
          <w:lang w:eastAsia="et-EE"/>
        </w:rPr>
        <w:t xml:space="preserve"> </w:t>
      </w:r>
      <w:r w:rsidRPr="00C50854">
        <w:rPr>
          <w:lang w:eastAsia="et-EE"/>
        </w:rPr>
        <w:t xml:space="preserve">omab kõige laialdasemat (suuremat osa Eestist katvat) sidevõrgu infrastruktuuri - </w:t>
      </w:r>
      <w:r w:rsidR="00084A49" w:rsidRPr="00C50854">
        <w:rPr>
          <w:lang w:eastAsia="et-EE"/>
        </w:rPr>
        <w:t xml:space="preserve">Telia </w:t>
      </w:r>
      <w:r w:rsidRPr="00C50854">
        <w:rPr>
          <w:lang w:eastAsia="et-EE"/>
        </w:rPr>
        <w:t xml:space="preserve">omandis on </w:t>
      </w:r>
      <w:r w:rsidR="00AF3E4B" w:rsidRPr="00C50854">
        <w:rPr>
          <w:lang w:eastAsia="et-EE"/>
        </w:rPr>
        <w:t>...*</w:t>
      </w:r>
      <w:r w:rsidRPr="00C50854">
        <w:rPr>
          <w:lang w:eastAsia="et-EE"/>
        </w:rPr>
        <w:t xml:space="preserve">% väljaehitatud- ja </w:t>
      </w:r>
      <w:r w:rsidR="00AF3E4B" w:rsidRPr="00C50854">
        <w:rPr>
          <w:lang w:eastAsia="et-EE"/>
        </w:rPr>
        <w:t>...*</w:t>
      </w:r>
      <w:r w:rsidRPr="00C50854">
        <w:rPr>
          <w:lang w:eastAsia="et-EE"/>
        </w:rPr>
        <w:t xml:space="preserve">% aktiivsest juurdepääsuvõrgu infrastruktuurist. Samuti on </w:t>
      </w:r>
      <w:r w:rsidR="00084A49" w:rsidRPr="00C50854">
        <w:rPr>
          <w:lang w:eastAsia="et-EE"/>
        </w:rPr>
        <w:t xml:space="preserve">Telia </w:t>
      </w:r>
      <w:r w:rsidRPr="00C50854">
        <w:rPr>
          <w:lang w:eastAsia="et-EE"/>
        </w:rPr>
        <w:t xml:space="preserve">omandis </w:t>
      </w:r>
      <w:r w:rsidR="00AF3E4B" w:rsidRPr="00C50854">
        <w:rPr>
          <w:lang w:eastAsia="et-EE"/>
        </w:rPr>
        <w:t>...*</w:t>
      </w:r>
      <w:r w:rsidRPr="00C50854">
        <w:rPr>
          <w:lang w:eastAsia="et-EE"/>
        </w:rPr>
        <w:t xml:space="preserve">% välja ehitatud kaablikanalisatsioonist, mille vahendusel on võimalik osutada </w:t>
      </w:r>
      <w:r w:rsidR="00084A49" w:rsidRPr="00C50854">
        <w:rPr>
          <w:lang w:eastAsia="et-EE"/>
        </w:rPr>
        <w:t xml:space="preserve">kohaliku </w:t>
      </w:r>
      <w:r w:rsidRPr="00C50854">
        <w:rPr>
          <w:lang w:eastAsia="et-EE"/>
        </w:rPr>
        <w:t xml:space="preserve">juurdepääsu hulgituru koosseisu kuuluvaid teenuseid. Ülejäänud ettevõtjate vastav hulgiteenuste osutamist võimaldav sidevõrgu infrastruktuur on lokaalse ulatusega. Seega omab </w:t>
      </w:r>
      <w:r w:rsidR="00084A49" w:rsidRPr="00C50854">
        <w:rPr>
          <w:lang w:eastAsia="et-EE"/>
        </w:rPr>
        <w:t xml:space="preserve">Telia </w:t>
      </w:r>
      <w:r w:rsidRPr="00C50854">
        <w:rPr>
          <w:lang w:eastAsia="et-EE"/>
        </w:rPr>
        <w:t xml:space="preserve">sidevõrgu infrastruktuuri, mis võimaldab oluliselt mõjutada ja kontrollida fikseeritud </w:t>
      </w:r>
      <w:r w:rsidR="00746479" w:rsidRPr="00C50854">
        <w:rPr>
          <w:lang w:eastAsia="et-EE"/>
        </w:rPr>
        <w:t xml:space="preserve">sidevõrgus kohaliku </w:t>
      </w:r>
      <w:r w:rsidRPr="00C50854">
        <w:rPr>
          <w:lang w:eastAsia="et-EE"/>
        </w:rPr>
        <w:t>juurdepääsu hulgituru teenuste osutamist vaskpaari</w:t>
      </w:r>
      <w:r w:rsidR="00243EDC" w:rsidRPr="00C50854">
        <w:rPr>
          <w:lang w:eastAsia="et-EE"/>
        </w:rPr>
        <w:t>-</w:t>
      </w:r>
      <w:r w:rsidRPr="00C50854">
        <w:rPr>
          <w:lang w:eastAsia="et-EE"/>
        </w:rPr>
        <w:t xml:space="preserve"> ja valguskaabli baasil üle Eesti.</w:t>
      </w:r>
    </w:p>
    <w:p w14:paraId="6B9FF253" w14:textId="77777777" w:rsidR="00CC6E9A" w:rsidRPr="00C50854" w:rsidRDefault="00CC6E9A" w:rsidP="004D4AF8">
      <w:pPr>
        <w:pStyle w:val="Pealkiri4"/>
      </w:pPr>
      <w:bookmarkStart w:id="241" w:name="_Toc464639345"/>
      <w:r w:rsidRPr="00C50854">
        <w:t>4.3</w:t>
      </w:r>
      <w:r w:rsidR="00C90110" w:rsidRPr="00C50854">
        <w:t>.2.2</w:t>
      </w:r>
      <w:r w:rsidRPr="00C50854">
        <w:t>. Investeeringud sidevõrgu infrastruktuuri</w:t>
      </w:r>
      <w:bookmarkEnd w:id="241"/>
    </w:p>
    <w:p w14:paraId="722058DA" w14:textId="77777777"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Kuna ettevõtted oma investeeringuid puudutavaid andmeid ei esitanud, vaadeldi turuosaliste tehtud investeeringuid majandusaasta aruannetes toodud andmetest lähtudes. Samuti ei esitanud ettevõtjad andmeid tulevikus tehtavate investeeringute kohta.</w:t>
      </w:r>
    </w:p>
    <w:p w14:paraId="5DFDA964" w14:textId="3EAD9194" w:rsidR="00CC6E9A" w:rsidRPr="00C50854" w:rsidRDefault="00084A49"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Kohaliku </w:t>
      </w:r>
      <w:r w:rsidR="00CC6E9A" w:rsidRPr="00C50854">
        <w:rPr>
          <w:lang w:eastAsia="et-EE"/>
        </w:rPr>
        <w:t xml:space="preserve">juurdepääsu hulgituru ja sellega lähedalt seotud jaeturgude areng on </w:t>
      </w:r>
      <w:r w:rsidR="00243EDC" w:rsidRPr="00C50854">
        <w:rPr>
          <w:lang w:eastAsia="et-EE"/>
        </w:rPr>
        <w:t xml:space="preserve">seotud </w:t>
      </w:r>
      <w:r w:rsidR="00CC6E9A" w:rsidRPr="00C50854">
        <w:rPr>
          <w:lang w:eastAsia="et-EE"/>
        </w:rPr>
        <w:t xml:space="preserve">oluliselt investeeringutega, mida ettevõtjad on viimastel aastatel teinud oma sidevõrgu arendamiseks. Seetõttu on järgnevalt antud ülevaade ettevõtjate poolt sidevõrgu infrastruktuuri ja </w:t>
      </w:r>
      <w:r w:rsidRPr="00C50854">
        <w:rPr>
          <w:lang w:eastAsia="et-EE"/>
        </w:rPr>
        <w:t xml:space="preserve">kohaliku </w:t>
      </w:r>
      <w:r w:rsidR="00CC6E9A" w:rsidRPr="00C50854">
        <w:rPr>
          <w:lang w:eastAsia="et-EE"/>
        </w:rPr>
        <w:t>juurdepääsu hulgituru teenuste osutamiseks vajalikesse seadmetesse tehtud investeeringutest.</w:t>
      </w:r>
    </w:p>
    <w:p w14:paraId="67584774" w14:textId="04F24044" w:rsidR="00CC6E9A" w:rsidRPr="00C50854" w:rsidRDefault="00A75A38" w:rsidP="00311E1F">
      <w:pPr>
        <w:numPr>
          <w:ilvl w:val="0"/>
          <w:numId w:val="13"/>
        </w:numPr>
        <w:suppressAutoHyphens w:val="0"/>
        <w:autoSpaceDE w:val="0"/>
        <w:autoSpaceDN w:val="0"/>
        <w:adjustRightInd w:val="0"/>
        <w:spacing w:before="120" w:after="120"/>
        <w:jc w:val="both"/>
        <w:rPr>
          <w:lang w:eastAsia="et-EE"/>
        </w:rPr>
      </w:pPr>
      <w:r w:rsidRPr="00C50854">
        <w:rPr>
          <w:lang w:eastAsia="et-EE"/>
        </w:rPr>
        <w:t>Aasta</w:t>
      </w:r>
      <w:r w:rsidR="00CC6E9A" w:rsidRPr="00C50854">
        <w:rPr>
          <w:lang w:eastAsia="et-EE"/>
        </w:rPr>
        <w:t>l 201</w:t>
      </w:r>
      <w:r w:rsidR="00BC42EC" w:rsidRPr="00C50854">
        <w:rPr>
          <w:lang w:eastAsia="et-EE"/>
        </w:rPr>
        <w:t>8</w:t>
      </w:r>
      <w:r w:rsidR="00E711F4" w:rsidRPr="00C50854">
        <w:rPr>
          <w:lang w:eastAsia="et-EE"/>
        </w:rPr>
        <w:t>.</w:t>
      </w:r>
      <w:r w:rsidR="00CC6E9A" w:rsidRPr="00C50854">
        <w:rPr>
          <w:lang w:eastAsia="et-EE"/>
        </w:rPr>
        <w:t xml:space="preserve"> on sideettevõtjad Eesti elektroonilise side turul investeerinud </w:t>
      </w:r>
      <w:r w:rsidR="00480FBC" w:rsidRPr="00C50854">
        <w:rPr>
          <w:lang w:eastAsia="et-EE"/>
        </w:rPr>
        <w:t xml:space="preserve">fikseeritud </w:t>
      </w:r>
      <w:r w:rsidR="00CC6E9A" w:rsidRPr="00C50854">
        <w:rPr>
          <w:lang w:eastAsia="et-EE"/>
        </w:rPr>
        <w:t>sidevõrkudesse, sh lairibateenuste osutamist võimaldavatesse infrastruktuuridesse</w:t>
      </w:r>
      <w:r w:rsidRPr="00C50854">
        <w:rPr>
          <w:lang w:eastAsia="et-EE"/>
        </w:rPr>
        <w:t xml:space="preserve"> </w:t>
      </w:r>
      <w:r w:rsidR="009E59AF" w:rsidRPr="00C50854">
        <w:rPr>
          <w:lang w:eastAsia="et-EE"/>
        </w:rPr>
        <w:t>45,3</w:t>
      </w:r>
      <w:r w:rsidR="00CC6E9A" w:rsidRPr="00C50854">
        <w:rPr>
          <w:lang w:eastAsia="et-EE"/>
        </w:rPr>
        <w:t xml:space="preserve"> miljonit eurot. Eeldatavalt on nimetatud investeeringud tehtud sidevõrkude ülekande- ja juurdepääsuvõrgu uuendamiseks ja laiendamiseks</w:t>
      </w:r>
      <w:r w:rsidR="00381BF5" w:rsidRPr="00C50854">
        <w:rPr>
          <w:lang w:eastAsia="et-EE"/>
        </w:rPr>
        <w:t xml:space="preserve"> (</w:t>
      </w:r>
      <w:r w:rsidR="006047C2" w:rsidRPr="00C50854">
        <w:rPr>
          <w:lang w:eastAsia="et-EE"/>
        </w:rPr>
        <w:t>aastatel 201</w:t>
      </w:r>
      <w:r w:rsidR="009E59AF" w:rsidRPr="00C50854">
        <w:rPr>
          <w:lang w:eastAsia="et-EE"/>
        </w:rPr>
        <w:t>6</w:t>
      </w:r>
      <w:r w:rsidR="006047C2" w:rsidRPr="00C50854">
        <w:rPr>
          <w:lang w:eastAsia="et-EE"/>
        </w:rPr>
        <w:t>-201</w:t>
      </w:r>
      <w:r w:rsidR="009E59AF" w:rsidRPr="00C50854">
        <w:rPr>
          <w:lang w:eastAsia="et-EE"/>
        </w:rPr>
        <w:t>8</w:t>
      </w:r>
      <w:r w:rsidR="006047C2" w:rsidRPr="00C50854">
        <w:rPr>
          <w:lang w:eastAsia="et-EE"/>
        </w:rPr>
        <w:t xml:space="preserve"> kokku 1</w:t>
      </w:r>
      <w:r w:rsidR="009E59AF" w:rsidRPr="00C50854">
        <w:rPr>
          <w:lang w:eastAsia="et-EE"/>
        </w:rPr>
        <w:t>27</w:t>
      </w:r>
      <w:r w:rsidR="006047C2" w:rsidRPr="00C50854">
        <w:rPr>
          <w:lang w:eastAsia="et-EE"/>
        </w:rPr>
        <w:t xml:space="preserve"> miljonit</w:t>
      </w:r>
      <w:r w:rsidR="002C14CD" w:rsidRPr="00C50854">
        <w:t xml:space="preserve"> </w:t>
      </w:r>
      <w:r w:rsidR="002C14CD" w:rsidRPr="00C50854">
        <w:rPr>
          <w:lang w:eastAsia="et-EE"/>
        </w:rPr>
        <w:t>eurot</w:t>
      </w:r>
      <w:r w:rsidR="006047C2" w:rsidRPr="00C50854">
        <w:rPr>
          <w:lang w:eastAsia="et-EE"/>
        </w:rPr>
        <w:t>)</w:t>
      </w:r>
      <w:r w:rsidR="00CC6E9A" w:rsidRPr="00C50854">
        <w:rPr>
          <w:lang w:eastAsia="et-EE"/>
        </w:rPr>
        <w:t>.</w:t>
      </w:r>
    </w:p>
    <w:p w14:paraId="3EFA96B4" w14:textId="7AE15B75"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Kuna infrastruktuuri rajamiseks on vajalikud suured pöördumatud kulud ühe kliendiliini kohta ja juurdepääsuvõr</w:t>
      </w:r>
      <w:r w:rsidR="00E1621F" w:rsidRPr="00C50854">
        <w:rPr>
          <w:lang w:eastAsia="et-EE"/>
        </w:rPr>
        <w:t>k</w:t>
      </w:r>
      <w:r w:rsidRPr="00C50854">
        <w:rPr>
          <w:lang w:eastAsia="et-EE"/>
        </w:rPr>
        <w:t>u investeeringute tagasiteenimise aeg on tunduvalt pikem võrreldes ülekandevõr</w:t>
      </w:r>
      <w:r w:rsidR="00E1621F" w:rsidRPr="00C50854">
        <w:rPr>
          <w:lang w:eastAsia="et-EE"/>
        </w:rPr>
        <w:t>k</w:t>
      </w:r>
      <w:r w:rsidRPr="00C50854">
        <w:rPr>
          <w:lang w:eastAsia="et-EE"/>
        </w:rPr>
        <w:t>u investeeringute</w:t>
      </w:r>
      <w:r w:rsidR="00E1621F" w:rsidRPr="00C50854">
        <w:rPr>
          <w:lang w:eastAsia="et-EE"/>
        </w:rPr>
        <w:t>ga</w:t>
      </w:r>
      <w:r w:rsidRPr="00C50854">
        <w:rPr>
          <w:lang w:eastAsia="et-EE"/>
        </w:rPr>
        <w:t xml:space="preserve">, investeeritakse üldjuhul ainult sellistesse piirkondadesse, kus </w:t>
      </w:r>
      <w:r w:rsidR="00E1621F" w:rsidRPr="00C50854">
        <w:rPr>
          <w:lang w:eastAsia="et-EE"/>
        </w:rPr>
        <w:t>juurdepääsu</w:t>
      </w:r>
      <w:r w:rsidRPr="00C50854">
        <w:rPr>
          <w:lang w:eastAsia="et-EE"/>
        </w:rPr>
        <w:t xml:space="preserve">võrgu väljaehitamise kulutuste tagasiteenimine on kõige </w:t>
      </w:r>
      <w:r w:rsidR="00A1134F" w:rsidRPr="00C50854">
        <w:rPr>
          <w:lang w:eastAsia="et-EE"/>
        </w:rPr>
        <w:t>tõenäolisem</w:t>
      </w:r>
      <w:r w:rsidRPr="00C50854">
        <w:rPr>
          <w:lang w:eastAsia="et-EE"/>
        </w:rPr>
        <w:t xml:space="preserve">. Kui piirkonna kohta tehtud uurimus näitab, et infrastruktuuri investeeringute tagasiteenimise tõenäosus on väike, siis tavaliselt neis piirkondades uut </w:t>
      </w:r>
      <w:r w:rsidR="00E1621F" w:rsidRPr="00C50854">
        <w:rPr>
          <w:lang w:eastAsia="et-EE"/>
        </w:rPr>
        <w:t>juurdepääsu</w:t>
      </w:r>
      <w:r w:rsidRPr="00C50854">
        <w:rPr>
          <w:lang w:eastAsia="et-EE"/>
        </w:rPr>
        <w:t>võrku välja ei ehitata ning juba olemasolevat võrku ei uuendata.</w:t>
      </w:r>
    </w:p>
    <w:p w14:paraId="0FE2231A" w14:textId="77777777" w:rsidR="001B3978"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Vaadeldaval perioodil on </w:t>
      </w:r>
      <w:r w:rsidR="004F0397" w:rsidRPr="00C50854">
        <w:rPr>
          <w:lang w:eastAsia="et-EE"/>
        </w:rPr>
        <w:t xml:space="preserve">turul tegutsevatest </w:t>
      </w:r>
      <w:r w:rsidRPr="00C50854">
        <w:rPr>
          <w:lang w:eastAsia="et-EE"/>
        </w:rPr>
        <w:t xml:space="preserve">ettevõtjatest kõige rohkem investeerinud </w:t>
      </w:r>
      <w:r w:rsidR="00E1621F" w:rsidRPr="00C50854">
        <w:rPr>
          <w:lang w:eastAsia="et-EE"/>
        </w:rPr>
        <w:t xml:space="preserve">sidevõrgu infrastruktuuri </w:t>
      </w:r>
      <w:r w:rsidR="00A1134F" w:rsidRPr="00C50854">
        <w:rPr>
          <w:lang w:eastAsia="et-EE"/>
        </w:rPr>
        <w:t>Telia</w:t>
      </w:r>
      <w:r w:rsidRPr="00C50854">
        <w:rPr>
          <w:lang w:eastAsia="et-EE"/>
        </w:rPr>
        <w:t xml:space="preserve">. </w:t>
      </w:r>
    </w:p>
    <w:p w14:paraId="0B1B6848" w14:textId="6E63504A" w:rsidR="001B3978" w:rsidRPr="00C50854" w:rsidRDefault="00BC096E" w:rsidP="00311E1F">
      <w:pPr>
        <w:numPr>
          <w:ilvl w:val="0"/>
          <w:numId w:val="13"/>
        </w:numPr>
        <w:suppressAutoHyphens w:val="0"/>
        <w:autoSpaceDE w:val="0"/>
        <w:autoSpaceDN w:val="0"/>
        <w:adjustRightInd w:val="0"/>
        <w:spacing w:before="120" w:after="120"/>
        <w:jc w:val="both"/>
        <w:rPr>
          <w:lang w:eastAsia="et-EE"/>
        </w:rPr>
      </w:pPr>
      <w:r w:rsidRPr="00C50854">
        <w:rPr>
          <w:lang w:eastAsia="et-EE"/>
        </w:rPr>
        <w:t>Telial on vahemikus 2017-2020 käimas riigi mahukaim interneti püsivõrgu</w:t>
      </w:r>
      <w:r w:rsidR="001B3978" w:rsidRPr="00C50854">
        <w:rPr>
          <w:lang w:eastAsia="et-EE"/>
        </w:rPr>
        <w:t xml:space="preserve"> </w:t>
      </w:r>
      <w:r w:rsidRPr="00C50854">
        <w:rPr>
          <w:lang w:eastAsia="et-EE"/>
        </w:rPr>
        <w:t>moderniseerimise programm, mille käigus jõuab kiire ja tänapäevane internetiühendus</w:t>
      </w:r>
      <w:r w:rsidR="001B3978" w:rsidRPr="00C50854">
        <w:rPr>
          <w:lang w:eastAsia="et-EE"/>
        </w:rPr>
        <w:t xml:space="preserve"> </w:t>
      </w:r>
      <w:r w:rsidRPr="00C50854">
        <w:rPr>
          <w:lang w:eastAsia="et-EE"/>
        </w:rPr>
        <w:t>sadade tuhandete Eesti elanikeni. 2018. aastal jõudis ülikiire ja tänapäevane interneti</w:t>
      </w:r>
      <w:r w:rsidR="001B3978" w:rsidRPr="00C50854">
        <w:rPr>
          <w:lang w:eastAsia="et-EE"/>
        </w:rPr>
        <w:t xml:space="preserve"> </w:t>
      </w:r>
      <w:r w:rsidRPr="00C50854">
        <w:rPr>
          <w:lang w:eastAsia="et-EE"/>
        </w:rPr>
        <w:t xml:space="preserve">püsiühendus enam kui </w:t>
      </w:r>
      <w:r w:rsidR="00305C05">
        <w:rPr>
          <w:lang w:eastAsia="et-EE"/>
        </w:rPr>
        <w:t xml:space="preserve">…* </w:t>
      </w:r>
      <w:r w:rsidRPr="00C50854">
        <w:rPr>
          <w:lang w:eastAsia="et-EE"/>
        </w:rPr>
        <w:t>koduni.</w:t>
      </w:r>
      <w:r w:rsidR="001B3978" w:rsidRPr="00C50854">
        <w:rPr>
          <w:lang w:eastAsia="et-EE"/>
        </w:rPr>
        <w:t xml:space="preserve"> Selle protsessi käigus minnakse tavaliselt vaskpaar juurdepääsu tehnoloogialt üle </w:t>
      </w:r>
      <w:proofErr w:type="spellStart"/>
      <w:r w:rsidR="005620AA" w:rsidRPr="00C50854">
        <w:rPr>
          <w:i/>
          <w:iCs/>
          <w:lang w:eastAsia="et-EE"/>
        </w:rPr>
        <w:t>vectoring</w:t>
      </w:r>
      <w:proofErr w:type="spellEnd"/>
      <w:r w:rsidR="005620AA" w:rsidRPr="00C50854">
        <w:rPr>
          <w:lang w:eastAsia="et-EE"/>
        </w:rPr>
        <w:t xml:space="preserve"> </w:t>
      </w:r>
      <w:r w:rsidR="001B3978" w:rsidRPr="00C50854">
        <w:rPr>
          <w:lang w:eastAsia="et-EE"/>
        </w:rPr>
        <w:t>tehnoloogiale. Kogu ülemineku protsess peaks seega toimuma</w:t>
      </w:r>
      <w:r w:rsidR="00305C05">
        <w:rPr>
          <w:lang w:eastAsia="et-EE"/>
        </w:rPr>
        <w:t>…%</w:t>
      </w:r>
      <w:r w:rsidR="001B3978" w:rsidRPr="00C50854">
        <w:rPr>
          <w:lang w:eastAsia="et-EE"/>
        </w:rPr>
        <w:t xml:space="preserve"> ulatuses </w:t>
      </w:r>
      <w:r w:rsidR="00305C05">
        <w:rPr>
          <w:lang w:eastAsia="et-EE"/>
        </w:rPr>
        <w:t>…* aasta</w:t>
      </w:r>
      <w:r w:rsidR="001B3978" w:rsidRPr="00C50854">
        <w:rPr>
          <w:lang w:eastAsia="et-EE"/>
        </w:rPr>
        <w:t xml:space="preserve"> perspektiivis. Peale </w:t>
      </w:r>
      <w:proofErr w:type="spellStart"/>
      <w:r w:rsidR="005620AA" w:rsidRPr="00C50854">
        <w:rPr>
          <w:i/>
          <w:iCs/>
          <w:lang w:eastAsia="et-EE"/>
        </w:rPr>
        <w:t>vectoring</w:t>
      </w:r>
      <w:proofErr w:type="spellEnd"/>
      <w:r w:rsidR="005620AA" w:rsidRPr="00C50854">
        <w:rPr>
          <w:lang w:eastAsia="et-EE"/>
        </w:rPr>
        <w:t xml:space="preserve"> </w:t>
      </w:r>
      <w:r w:rsidR="001B3978" w:rsidRPr="00C50854">
        <w:rPr>
          <w:lang w:eastAsia="et-EE"/>
        </w:rPr>
        <w:t xml:space="preserve">tehnoloogiale üleminekut ei kuulu nimetatud </w:t>
      </w:r>
      <w:r w:rsidR="002A14F4" w:rsidRPr="00C50854">
        <w:rPr>
          <w:lang w:eastAsia="et-EE"/>
        </w:rPr>
        <w:t>vaskpaarid</w:t>
      </w:r>
      <w:r w:rsidR="001B3978" w:rsidRPr="00C50854">
        <w:rPr>
          <w:lang w:eastAsia="et-EE"/>
        </w:rPr>
        <w:t xml:space="preserve"> asjaomase turu koosseisu. </w:t>
      </w:r>
    </w:p>
    <w:p w14:paraId="2E745CB2" w14:textId="7B9E1A09" w:rsidR="00E35DB4" w:rsidRPr="00C50854" w:rsidRDefault="00BC096E"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 </w:t>
      </w:r>
      <w:r w:rsidR="00CC6E9A" w:rsidRPr="00C50854">
        <w:rPr>
          <w:lang w:eastAsia="et-EE"/>
        </w:rPr>
        <w:t>Teiste ettevõtjate investeeringud sidevõrgu infrastruktuuri on olnud oluliselt väiksemad</w:t>
      </w:r>
      <w:r w:rsidR="009C2815" w:rsidRPr="00C50854">
        <w:rPr>
          <w:lang w:eastAsia="et-EE"/>
        </w:rPr>
        <w:t xml:space="preserve"> </w:t>
      </w:r>
      <w:r w:rsidR="006A0058" w:rsidRPr="00C50854">
        <w:rPr>
          <w:lang w:eastAsia="et-EE"/>
        </w:rPr>
        <w:t>(</w:t>
      </w:r>
      <w:r w:rsidR="00976AEB" w:rsidRPr="00C50854">
        <w:rPr>
          <w:lang w:eastAsia="et-EE"/>
        </w:rPr>
        <w:fldChar w:fldCharType="begin"/>
      </w:r>
      <w:r w:rsidR="00976AEB" w:rsidRPr="00C50854">
        <w:rPr>
          <w:lang w:eastAsia="et-EE"/>
        </w:rPr>
        <w:instrText xml:space="preserve"> REF _Ref215909604 \h  \* MERGEFORMAT </w:instrText>
      </w:r>
      <w:r w:rsidR="00976AEB" w:rsidRPr="00C50854">
        <w:rPr>
          <w:lang w:eastAsia="et-EE"/>
        </w:rPr>
      </w:r>
      <w:r w:rsidR="00976AEB" w:rsidRPr="00C50854">
        <w:rPr>
          <w:lang w:eastAsia="et-EE"/>
        </w:rPr>
        <w:fldChar w:fldCharType="separate"/>
      </w:r>
      <w:r w:rsidR="00976AEB" w:rsidRPr="00C50854">
        <w:rPr>
          <w:bCs/>
          <w:lang w:eastAsia="et-EE"/>
        </w:rPr>
        <w:t xml:space="preserve">Tabel </w:t>
      </w:r>
      <w:r w:rsidR="00976AEB" w:rsidRPr="00C50854">
        <w:rPr>
          <w:bCs/>
          <w:noProof/>
          <w:lang w:eastAsia="et-EE"/>
        </w:rPr>
        <w:t>20</w:t>
      </w:r>
      <w:r w:rsidR="00976AEB" w:rsidRPr="00C50854">
        <w:rPr>
          <w:lang w:eastAsia="et-EE"/>
        </w:rPr>
        <w:fldChar w:fldCharType="end"/>
      </w:r>
      <w:r w:rsidR="009C2815" w:rsidRPr="00C50854">
        <w:rPr>
          <w:lang w:eastAsia="et-EE"/>
        </w:rPr>
        <w:t>).</w:t>
      </w:r>
      <w:r w:rsidR="00381BF5" w:rsidRPr="00C50854">
        <w:rPr>
          <w:lang w:eastAsia="et-EE"/>
        </w:rPr>
        <w:t xml:space="preserve"> </w:t>
      </w:r>
    </w:p>
    <w:p w14:paraId="3E4A1AD6" w14:textId="77777777" w:rsidR="00E35DB4" w:rsidRPr="00C50854" w:rsidRDefault="00E35DB4">
      <w:pPr>
        <w:suppressAutoHyphens w:val="0"/>
        <w:rPr>
          <w:lang w:eastAsia="et-EE"/>
        </w:rPr>
      </w:pPr>
      <w:r w:rsidRPr="00C50854">
        <w:rPr>
          <w:lang w:eastAsia="et-EE"/>
        </w:rPr>
        <w:br w:type="page"/>
      </w:r>
    </w:p>
    <w:tbl>
      <w:tblPr>
        <w:tblW w:w="92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4030"/>
        <w:gridCol w:w="1657"/>
        <w:gridCol w:w="1883"/>
        <w:gridCol w:w="1687"/>
      </w:tblGrid>
      <w:tr w:rsidR="00956A8F" w:rsidRPr="00C50854" w14:paraId="57F244E7" w14:textId="77777777" w:rsidTr="00956A8F">
        <w:trPr>
          <w:trHeight w:val="243"/>
        </w:trPr>
        <w:tc>
          <w:tcPr>
            <w:tcW w:w="4030" w:type="dxa"/>
            <w:shd w:val="clear" w:color="auto" w:fill="CCFFCC"/>
            <w:noWrap/>
            <w:vAlign w:val="bottom"/>
            <w:hideMark/>
          </w:tcPr>
          <w:p w14:paraId="21528A82" w14:textId="621BBF5B" w:rsidR="00956A8F" w:rsidRPr="00C50854" w:rsidRDefault="00956A8F" w:rsidP="004B666A">
            <w:pPr>
              <w:suppressAutoHyphens w:val="0"/>
              <w:rPr>
                <w:b/>
                <w:sz w:val="20"/>
                <w:szCs w:val="20"/>
                <w:lang w:eastAsia="et-EE"/>
              </w:rPr>
            </w:pPr>
            <w:r w:rsidRPr="00C50854">
              <w:rPr>
                <w:b/>
                <w:sz w:val="20"/>
                <w:szCs w:val="20"/>
                <w:lang w:eastAsia="et-EE"/>
              </w:rPr>
              <w:lastRenderedPageBreak/>
              <w:t> Ettevõtja</w:t>
            </w:r>
          </w:p>
        </w:tc>
        <w:tc>
          <w:tcPr>
            <w:tcW w:w="1657" w:type="dxa"/>
            <w:shd w:val="clear" w:color="auto" w:fill="CCFFCC"/>
            <w:noWrap/>
            <w:vAlign w:val="bottom"/>
            <w:hideMark/>
          </w:tcPr>
          <w:p w14:paraId="4E3A0598" w14:textId="15B6CB92" w:rsidR="00956A8F" w:rsidRPr="00C50854" w:rsidRDefault="00956A8F" w:rsidP="00FC49A5">
            <w:pPr>
              <w:suppressAutoHyphens w:val="0"/>
              <w:jc w:val="center"/>
              <w:rPr>
                <w:b/>
                <w:sz w:val="20"/>
                <w:szCs w:val="20"/>
                <w:lang w:eastAsia="et-EE"/>
              </w:rPr>
            </w:pPr>
            <w:r w:rsidRPr="00C50854">
              <w:rPr>
                <w:b/>
                <w:sz w:val="20"/>
                <w:szCs w:val="20"/>
                <w:lang w:eastAsia="et-EE"/>
              </w:rPr>
              <w:t>201</w:t>
            </w:r>
            <w:r w:rsidR="009E59AF" w:rsidRPr="00C50854">
              <w:rPr>
                <w:b/>
                <w:sz w:val="20"/>
                <w:szCs w:val="20"/>
                <w:lang w:eastAsia="et-EE"/>
              </w:rPr>
              <w:t>6</w:t>
            </w:r>
          </w:p>
        </w:tc>
        <w:tc>
          <w:tcPr>
            <w:tcW w:w="1883" w:type="dxa"/>
            <w:shd w:val="clear" w:color="auto" w:fill="CCFFCC"/>
            <w:noWrap/>
            <w:vAlign w:val="bottom"/>
            <w:hideMark/>
          </w:tcPr>
          <w:p w14:paraId="22F5780E" w14:textId="0F4EB225" w:rsidR="00956A8F" w:rsidRPr="00C50854" w:rsidRDefault="00956A8F" w:rsidP="00FC49A5">
            <w:pPr>
              <w:suppressAutoHyphens w:val="0"/>
              <w:jc w:val="center"/>
              <w:rPr>
                <w:b/>
                <w:sz w:val="20"/>
                <w:szCs w:val="20"/>
                <w:lang w:eastAsia="et-EE"/>
              </w:rPr>
            </w:pPr>
            <w:r w:rsidRPr="00C50854">
              <w:rPr>
                <w:b/>
                <w:sz w:val="20"/>
                <w:szCs w:val="20"/>
                <w:lang w:eastAsia="et-EE"/>
              </w:rPr>
              <w:t>201</w:t>
            </w:r>
            <w:r w:rsidR="009E59AF" w:rsidRPr="00C50854">
              <w:rPr>
                <w:b/>
                <w:sz w:val="20"/>
                <w:szCs w:val="20"/>
                <w:lang w:eastAsia="et-EE"/>
              </w:rPr>
              <w:t>7</w:t>
            </w:r>
          </w:p>
        </w:tc>
        <w:tc>
          <w:tcPr>
            <w:tcW w:w="1687" w:type="dxa"/>
            <w:shd w:val="clear" w:color="auto" w:fill="CCFFCC"/>
            <w:noWrap/>
            <w:vAlign w:val="bottom"/>
            <w:hideMark/>
          </w:tcPr>
          <w:p w14:paraId="3E0B70C7" w14:textId="11F913E4" w:rsidR="00956A8F" w:rsidRPr="00C50854" w:rsidRDefault="00956A8F" w:rsidP="00FC49A5">
            <w:pPr>
              <w:suppressAutoHyphens w:val="0"/>
              <w:jc w:val="center"/>
              <w:rPr>
                <w:b/>
                <w:sz w:val="20"/>
                <w:szCs w:val="20"/>
                <w:lang w:eastAsia="et-EE"/>
              </w:rPr>
            </w:pPr>
            <w:r w:rsidRPr="00C50854">
              <w:rPr>
                <w:b/>
                <w:sz w:val="20"/>
                <w:szCs w:val="20"/>
                <w:lang w:eastAsia="et-EE"/>
              </w:rPr>
              <w:t>201</w:t>
            </w:r>
            <w:r w:rsidR="009E59AF" w:rsidRPr="00C50854">
              <w:rPr>
                <w:b/>
                <w:sz w:val="20"/>
                <w:szCs w:val="20"/>
                <w:lang w:eastAsia="et-EE"/>
              </w:rPr>
              <w:t>8</w:t>
            </w:r>
          </w:p>
        </w:tc>
      </w:tr>
      <w:tr w:rsidR="00AF3E4B" w:rsidRPr="00C50854" w14:paraId="17E5D78F" w14:textId="77777777" w:rsidTr="00956A8F">
        <w:trPr>
          <w:trHeight w:val="243"/>
        </w:trPr>
        <w:tc>
          <w:tcPr>
            <w:tcW w:w="4030" w:type="dxa"/>
            <w:shd w:val="clear" w:color="auto" w:fill="auto"/>
            <w:noWrap/>
            <w:hideMark/>
          </w:tcPr>
          <w:p w14:paraId="044A3E1E" w14:textId="2B5B713F" w:rsidR="00AF3E4B" w:rsidRPr="00C50854" w:rsidRDefault="00AF3E4B" w:rsidP="00AF3E4B">
            <w:pPr>
              <w:suppressAutoHyphens w:val="0"/>
              <w:rPr>
                <w:b/>
                <w:sz w:val="20"/>
                <w:szCs w:val="20"/>
                <w:lang w:eastAsia="et-EE"/>
              </w:rPr>
            </w:pPr>
            <w:r w:rsidRPr="00C50854">
              <w:rPr>
                <w:sz w:val="20"/>
                <w:szCs w:val="20"/>
              </w:rPr>
              <w:t>Telia</w:t>
            </w:r>
          </w:p>
        </w:tc>
        <w:tc>
          <w:tcPr>
            <w:tcW w:w="1657" w:type="dxa"/>
            <w:shd w:val="clear" w:color="auto" w:fill="auto"/>
            <w:noWrap/>
            <w:hideMark/>
          </w:tcPr>
          <w:p w14:paraId="6F807967" w14:textId="69AC4BCD" w:rsidR="00AF3E4B" w:rsidRPr="00C50854" w:rsidRDefault="00AF3E4B" w:rsidP="00AF3E4B">
            <w:pPr>
              <w:suppressAutoHyphens w:val="0"/>
              <w:jc w:val="center"/>
              <w:rPr>
                <w:sz w:val="20"/>
                <w:szCs w:val="20"/>
                <w:lang w:eastAsia="et-EE"/>
              </w:rPr>
            </w:pPr>
            <w:r w:rsidRPr="00C50854">
              <w:rPr>
                <w:sz w:val="20"/>
                <w:szCs w:val="20"/>
              </w:rPr>
              <w:t>...*%</w:t>
            </w:r>
          </w:p>
        </w:tc>
        <w:tc>
          <w:tcPr>
            <w:tcW w:w="1883" w:type="dxa"/>
            <w:shd w:val="clear" w:color="auto" w:fill="auto"/>
            <w:noWrap/>
            <w:hideMark/>
          </w:tcPr>
          <w:p w14:paraId="2EBE6812" w14:textId="2EB1CB11" w:rsidR="00AF3E4B" w:rsidRPr="00C50854" w:rsidRDefault="00AF3E4B" w:rsidP="00AF3E4B">
            <w:pPr>
              <w:suppressAutoHyphens w:val="0"/>
              <w:jc w:val="center"/>
              <w:rPr>
                <w:sz w:val="20"/>
                <w:szCs w:val="20"/>
                <w:lang w:eastAsia="et-EE"/>
              </w:rPr>
            </w:pPr>
            <w:r w:rsidRPr="00C50854">
              <w:rPr>
                <w:sz w:val="20"/>
                <w:szCs w:val="20"/>
              </w:rPr>
              <w:t>...*%</w:t>
            </w:r>
          </w:p>
        </w:tc>
        <w:tc>
          <w:tcPr>
            <w:tcW w:w="1687" w:type="dxa"/>
            <w:shd w:val="clear" w:color="auto" w:fill="auto"/>
            <w:noWrap/>
            <w:hideMark/>
          </w:tcPr>
          <w:p w14:paraId="59AB338F" w14:textId="2402313D" w:rsidR="00AF3E4B" w:rsidRPr="00C50854" w:rsidRDefault="00AF3E4B" w:rsidP="00AF3E4B">
            <w:pPr>
              <w:suppressAutoHyphens w:val="0"/>
              <w:jc w:val="center"/>
              <w:rPr>
                <w:sz w:val="20"/>
                <w:szCs w:val="20"/>
                <w:lang w:eastAsia="et-EE"/>
              </w:rPr>
            </w:pPr>
            <w:r w:rsidRPr="00C50854">
              <w:rPr>
                <w:sz w:val="20"/>
                <w:szCs w:val="20"/>
              </w:rPr>
              <w:t>...*%</w:t>
            </w:r>
          </w:p>
        </w:tc>
      </w:tr>
      <w:tr w:rsidR="00AF3E4B" w:rsidRPr="00C50854" w14:paraId="60B62C0B" w14:textId="77777777" w:rsidTr="00956A8F">
        <w:trPr>
          <w:trHeight w:val="243"/>
        </w:trPr>
        <w:tc>
          <w:tcPr>
            <w:tcW w:w="4030" w:type="dxa"/>
            <w:shd w:val="clear" w:color="auto" w:fill="auto"/>
            <w:noWrap/>
            <w:hideMark/>
          </w:tcPr>
          <w:p w14:paraId="678B3DEC" w14:textId="242B0E92" w:rsidR="00AF3E4B" w:rsidRPr="00C50854" w:rsidRDefault="00AF3E4B" w:rsidP="00AF3E4B">
            <w:pPr>
              <w:suppressAutoHyphens w:val="0"/>
              <w:rPr>
                <w:b/>
                <w:sz w:val="20"/>
                <w:szCs w:val="20"/>
                <w:lang w:eastAsia="et-EE"/>
              </w:rPr>
            </w:pPr>
            <w:r w:rsidRPr="00C50854">
              <w:rPr>
                <w:sz w:val="20"/>
                <w:szCs w:val="20"/>
              </w:rPr>
              <w:t>Teleteenused</w:t>
            </w:r>
          </w:p>
        </w:tc>
        <w:tc>
          <w:tcPr>
            <w:tcW w:w="1657" w:type="dxa"/>
            <w:shd w:val="clear" w:color="auto" w:fill="auto"/>
            <w:noWrap/>
            <w:hideMark/>
          </w:tcPr>
          <w:p w14:paraId="4196BD45" w14:textId="1460E32A" w:rsidR="00AF3E4B" w:rsidRPr="00C50854" w:rsidRDefault="00AF3E4B" w:rsidP="00AF3E4B">
            <w:pPr>
              <w:suppressAutoHyphens w:val="0"/>
              <w:jc w:val="center"/>
              <w:rPr>
                <w:sz w:val="20"/>
                <w:szCs w:val="20"/>
                <w:lang w:eastAsia="et-EE"/>
              </w:rPr>
            </w:pPr>
            <w:r w:rsidRPr="00C50854">
              <w:rPr>
                <w:sz w:val="20"/>
                <w:szCs w:val="20"/>
              </w:rPr>
              <w:t>...*%</w:t>
            </w:r>
          </w:p>
        </w:tc>
        <w:tc>
          <w:tcPr>
            <w:tcW w:w="1883" w:type="dxa"/>
            <w:shd w:val="clear" w:color="auto" w:fill="auto"/>
            <w:noWrap/>
            <w:hideMark/>
          </w:tcPr>
          <w:p w14:paraId="4EE7D5C9" w14:textId="1A12DE32" w:rsidR="00AF3E4B" w:rsidRPr="00C50854" w:rsidRDefault="00AF3E4B" w:rsidP="00AF3E4B">
            <w:pPr>
              <w:suppressAutoHyphens w:val="0"/>
              <w:jc w:val="center"/>
              <w:rPr>
                <w:sz w:val="20"/>
                <w:szCs w:val="20"/>
                <w:lang w:eastAsia="et-EE"/>
              </w:rPr>
            </w:pPr>
            <w:r w:rsidRPr="00C50854">
              <w:rPr>
                <w:sz w:val="20"/>
                <w:szCs w:val="20"/>
              </w:rPr>
              <w:t>...*%</w:t>
            </w:r>
          </w:p>
        </w:tc>
        <w:tc>
          <w:tcPr>
            <w:tcW w:w="1687" w:type="dxa"/>
            <w:shd w:val="clear" w:color="auto" w:fill="auto"/>
            <w:noWrap/>
            <w:hideMark/>
          </w:tcPr>
          <w:p w14:paraId="2F015211" w14:textId="27927CF6" w:rsidR="00AF3E4B" w:rsidRPr="00C50854" w:rsidRDefault="00AF3E4B" w:rsidP="00AF3E4B">
            <w:pPr>
              <w:suppressAutoHyphens w:val="0"/>
              <w:jc w:val="center"/>
              <w:rPr>
                <w:sz w:val="20"/>
                <w:szCs w:val="20"/>
                <w:lang w:eastAsia="et-EE"/>
              </w:rPr>
            </w:pPr>
            <w:r w:rsidRPr="00C50854">
              <w:rPr>
                <w:sz w:val="20"/>
                <w:szCs w:val="20"/>
              </w:rPr>
              <w:t>...*%</w:t>
            </w:r>
          </w:p>
        </w:tc>
      </w:tr>
      <w:tr w:rsidR="00AF3E4B" w:rsidRPr="00C50854" w14:paraId="4B693073" w14:textId="77777777" w:rsidTr="00956A8F">
        <w:trPr>
          <w:trHeight w:val="243"/>
        </w:trPr>
        <w:tc>
          <w:tcPr>
            <w:tcW w:w="4030" w:type="dxa"/>
            <w:shd w:val="clear" w:color="auto" w:fill="auto"/>
            <w:noWrap/>
            <w:hideMark/>
          </w:tcPr>
          <w:p w14:paraId="47C481FB" w14:textId="649970AF" w:rsidR="00AF3E4B" w:rsidRPr="00C50854" w:rsidRDefault="00AF3E4B" w:rsidP="00AF3E4B">
            <w:pPr>
              <w:suppressAutoHyphens w:val="0"/>
              <w:rPr>
                <w:b/>
                <w:sz w:val="20"/>
                <w:szCs w:val="20"/>
                <w:lang w:eastAsia="et-EE"/>
              </w:rPr>
            </w:pPr>
            <w:r w:rsidRPr="00C50854">
              <w:rPr>
                <w:sz w:val="20"/>
                <w:szCs w:val="20"/>
              </w:rPr>
              <w:t>STV</w:t>
            </w:r>
          </w:p>
        </w:tc>
        <w:tc>
          <w:tcPr>
            <w:tcW w:w="1657" w:type="dxa"/>
            <w:shd w:val="clear" w:color="auto" w:fill="auto"/>
            <w:noWrap/>
            <w:hideMark/>
          </w:tcPr>
          <w:p w14:paraId="23BEB0EF" w14:textId="2ABF58B1" w:rsidR="00AF3E4B" w:rsidRPr="00C50854" w:rsidRDefault="00AF3E4B" w:rsidP="00AF3E4B">
            <w:pPr>
              <w:suppressAutoHyphens w:val="0"/>
              <w:jc w:val="center"/>
              <w:rPr>
                <w:sz w:val="20"/>
                <w:szCs w:val="20"/>
                <w:lang w:eastAsia="et-EE"/>
              </w:rPr>
            </w:pPr>
            <w:r w:rsidRPr="00C50854">
              <w:rPr>
                <w:sz w:val="20"/>
                <w:szCs w:val="20"/>
              </w:rPr>
              <w:t>...*%</w:t>
            </w:r>
          </w:p>
        </w:tc>
        <w:tc>
          <w:tcPr>
            <w:tcW w:w="1883" w:type="dxa"/>
            <w:shd w:val="clear" w:color="auto" w:fill="auto"/>
            <w:noWrap/>
            <w:hideMark/>
          </w:tcPr>
          <w:p w14:paraId="65968768" w14:textId="7D8DD12C" w:rsidR="00AF3E4B" w:rsidRPr="00C50854" w:rsidRDefault="00AF3E4B" w:rsidP="00AF3E4B">
            <w:pPr>
              <w:suppressAutoHyphens w:val="0"/>
              <w:jc w:val="center"/>
              <w:rPr>
                <w:sz w:val="20"/>
                <w:szCs w:val="20"/>
                <w:lang w:eastAsia="et-EE"/>
              </w:rPr>
            </w:pPr>
            <w:r w:rsidRPr="00C50854">
              <w:rPr>
                <w:sz w:val="20"/>
                <w:szCs w:val="20"/>
              </w:rPr>
              <w:t>...*%</w:t>
            </w:r>
          </w:p>
        </w:tc>
        <w:tc>
          <w:tcPr>
            <w:tcW w:w="1687" w:type="dxa"/>
            <w:shd w:val="clear" w:color="auto" w:fill="auto"/>
            <w:noWrap/>
            <w:hideMark/>
          </w:tcPr>
          <w:p w14:paraId="5AD57EAA" w14:textId="143A8658" w:rsidR="00AF3E4B" w:rsidRPr="00C50854" w:rsidRDefault="00AF3E4B" w:rsidP="00AF3E4B">
            <w:pPr>
              <w:suppressAutoHyphens w:val="0"/>
              <w:jc w:val="center"/>
              <w:rPr>
                <w:sz w:val="20"/>
                <w:szCs w:val="20"/>
                <w:lang w:eastAsia="et-EE"/>
              </w:rPr>
            </w:pPr>
            <w:r w:rsidRPr="00C50854">
              <w:rPr>
                <w:sz w:val="20"/>
                <w:szCs w:val="20"/>
              </w:rPr>
              <w:t>...*%</w:t>
            </w:r>
          </w:p>
        </w:tc>
      </w:tr>
      <w:tr w:rsidR="00AF3E4B" w:rsidRPr="00C50854" w14:paraId="4A18C74C" w14:textId="77777777" w:rsidTr="00956A8F">
        <w:trPr>
          <w:trHeight w:val="243"/>
        </w:trPr>
        <w:tc>
          <w:tcPr>
            <w:tcW w:w="4030" w:type="dxa"/>
            <w:shd w:val="clear" w:color="auto" w:fill="auto"/>
            <w:noWrap/>
            <w:hideMark/>
          </w:tcPr>
          <w:p w14:paraId="1D748CD0" w14:textId="377F17C8" w:rsidR="00AF3E4B" w:rsidRPr="00C50854" w:rsidRDefault="00AF3E4B" w:rsidP="00AF3E4B">
            <w:pPr>
              <w:suppressAutoHyphens w:val="0"/>
              <w:rPr>
                <w:b/>
                <w:sz w:val="20"/>
                <w:szCs w:val="20"/>
                <w:lang w:eastAsia="et-EE"/>
              </w:rPr>
            </w:pPr>
            <w:r w:rsidRPr="00C50854">
              <w:rPr>
                <w:sz w:val="20"/>
                <w:szCs w:val="20"/>
              </w:rPr>
              <w:t>Interframe</w:t>
            </w:r>
          </w:p>
        </w:tc>
        <w:tc>
          <w:tcPr>
            <w:tcW w:w="1657" w:type="dxa"/>
            <w:shd w:val="clear" w:color="auto" w:fill="auto"/>
            <w:noWrap/>
            <w:hideMark/>
          </w:tcPr>
          <w:p w14:paraId="1E40D16F" w14:textId="482E244A" w:rsidR="00AF3E4B" w:rsidRPr="00C50854" w:rsidRDefault="00AF3E4B" w:rsidP="00AF3E4B">
            <w:pPr>
              <w:suppressAutoHyphens w:val="0"/>
              <w:jc w:val="center"/>
              <w:rPr>
                <w:sz w:val="20"/>
                <w:szCs w:val="20"/>
                <w:lang w:eastAsia="et-EE"/>
              </w:rPr>
            </w:pPr>
            <w:r w:rsidRPr="00C50854">
              <w:rPr>
                <w:sz w:val="20"/>
                <w:szCs w:val="20"/>
              </w:rPr>
              <w:t>...*%</w:t>
            </w:r>
          </w:p>
        </w:tc>
        <w:tc>
          <w:tcPr>
            <w:tcW w:w="1883" w:type="dxa"/>
            <w:shd w:val="clear" w:color="auto" w:fill="auto"/>
            <w:noWrap/>
            <w:hideMark/>
          </w:tcPr>
          <w:p w14:paraId="37AF5B27" w14:textId="0FC19BB0" w:rsidR="00AF3E4B" w:rsidRPr="00C50854" w:rsidRDefault="00AF3E4B" w:rsidP="00AF3E4B">
            <w:pPr>
              <w:suppressAutoHyphens w:val="0"/>
              <w:jc w:val="center"/>
              <w:rPr>
                <w:sz w:val="20"/>
                <w:szCs w:val="20"/>
                <w:lang w:eastAsia="et-EE"/>
              </w:rPr>
            </w:pPr>
            <w:r w:rsidRPr="00C50854">
              <w:rPr>
                <w:sz w:val="20"/>
                <w:szCs w:val="20"/>
              </w:rPr>
              <w:t>...*%</w:t>
            </w:r>
          </w:p>
        </w:tc>
        <w:tc>
          <w:tcPr>
            <w:tcW w:w="1687" w:type="dxa"/>
            <w:shd w:val="clear" w:color="auto" w:fill="auto"/>
            <w:noWrap/>
            <w:hideMark/>
          </w:tcPr>
          <w:p w14:paraId="5D48BA1D" w14:textId="5CC50C53" w:rsidR="00AF3E4B" w:rsidRPr="00C50854" w:rsidRDefault="00AF3E4B" w:rsidP="00AF3E4B">
            <w:pPr>
              <w:suppressAutoHyphens w:val="0"/>
              <w:jc w:val="center"/>
              <w:rPr>
                <w:sz w:val="20"/>
                <w:szCs w:val="20"/>
                <w:lang w:eastAsia="et-EE"/>
              </w:rPr>
            </w:pPr>
            <w:r w:rsidRPr="00C50854">
              <w:rPr>
                <w:sz w:val="20"/>
                <w:szCs w:val="20"/>
              </w:rPr>
              <w:t>...*%</w:t>
            </w:r>
          </w:p>
        </w:tc>
      </w:tr>
      <w:tr w:rsidR="00AF3E4B" w:rsidRPr="00C50854" w14:paraId="3C1EC568" w14:textId="77777777" w:rsidTr="00956A8F">
        <w:trPr>
          <w:trHeight w:val="243"/>
        </w:trPr>
        <w:tc>
          <w:tcPr>
            <w:tcW w:w="4030" w:type="dxa"/>
            <w:shd w:val="clear" w:color="auto" w:fill="auto"/>
            <w:noWrap/>
            <w:hideMark/>
          </w:tcPr>
          <w:p w14:paraId="33A28381" w14:textId="60BB9F8E" w:rsidR="00AF3E4B" w:rsidRPr="00C50854" w:rsidRDefault="00AF3E4B" w:rsidP="00AF3E4B">
            <w:pPr>
              <w:suppressAutoHyphens w:val="0"/>
              <w:rPr>
                <w:b/>
                <w:sz w:val="20"/>
                <w:szCs w:val="20"/>
                <w:lang w:eastAsia="et-EE"/>
              </w:rPr>
            </w:pPr>
            <w:r w:rsidRPr="00C50854">
              <w:rPr>
                <w:sz w:val="20"/>
                <w:szCs w:val="20"/>
              </w:rPr>
              <w:t>Teised</w:t>
            </w:r>
          </w:p>
        </w:tc>
        <w:tc>
          <w:tcPr>
            <w:tcW w:w="1657" w:type="dxa"/>
            <w:shd w:val="clear" w:color="auto" w:fill="auto"/>
            <w:noWrap/>
            <w:hideMark/>
          </w:tcPr>
          <w:p w14:paraId="7DD44961" w14:textId="1BEF605C" w:rsidR="00AF3E4B" w:rsidRPr="00C50854" w:rsidRDefault="00AF3E4B" w:rsidP="00AF3E4B">
            <w:pPr>
              <w:suppressAutoHyphens w:val="0"/>
              <w:jc w:val="center"/>
              <w:rPr>
                <w:sz w:val="20"/>
                <w:szCs w:val="20"/>
                <w:lang w:eastAsia="et-EE"/>
              </w:rPr>
            </w:pPr>
            <w:r w:rsidRPr="00C50854">
              <w:rPr>
                <w:sz w:val="20"/>
                <w:szCs w:val="20"/>
              </w:rPr>
              <w:t>...*%</w:t>
            </w:r>
          </w:p>
        </w:tc>
        <w:tc>
          <w:tcPr>
            <w:tcW w:w="1883" w:type="dxa"/>
            <w:shd w:val="clear" w:color="auto" w:fill="auto"/>
            <w:noWrap/>
            <w:hideMark/>
          </w:tcPr>
          <w:p w14:paraId="5410108A" w14:textId="3ADF93AB" w:rsidR="00AF3E4B" w:rsidRPr="00C50854" w:rsidRDefault="00AF3E4B" w:rsidP="00AF3E4B">
            <w:pPr>
              <w:suppressAutoHyphens w:val="0"/>
              <w:jc w:val="center"/>
              <w:rPr>
                <w:sz w:val="20"/>
                <w:szCs w:val="20"/>
                <w:lang w:eastAsia="et-EE"/>
              </w:rPr>
            </w:pPr>
            <w:r w:rsidRPr="00C50854">
              <w:rPr>
                <w:sz w:val="20"/>
                <w:szCs w:val="20"/>
              </w:rPr>
              <w:t>...*%</w:t>
            </w:r>
          </w:p>
        </w:tc>
        <w:tc>
          <w:tcPr>
            <w:tcW w:w="1687" w:type="dxa"/>
            <w:shd w:val="clear" w:color="auto" w:fill="auto"/>
            <w:noWrap/>
            <w:hideMark/>
          </w:tcPr>
          <w:p w14:paraId="0757532E" w14:textId="7BE9EEFD" w:rsidR="00AF3E4B" w:rsidRPr="00C50854" w:rsidRDefault="00AF3E4B" w:rsidP="00AF3E4B">
            <w:pPr>
              <w:suppressAutoHyphens w:val="0"/>
              <w:jc w:val="center"/>
              <w:rPr>
                <w:sz w:val="20"/>
                <w:szCs w:val="20"/>
                <w:lang w:eastAsia="et-EE"/>
              </w:rPr>
            </w:pPr>
            <w:r w:rsidRPr="00C50854">
              <w:rPr>
                <w:sz w:val="20"/>
                <w:szCs w:val="20"/>
              </w:rPr>
              <w:t>...*%</w:t>
            </w:r>
          </w:p>
        </w:tc>
      </w:tr>
      <w:tr w:rsidR="00956A8F" w:rsidRPr="00C50854" w14:paraId="01DAC080" w14:textId="77777777" w:rsidTr="00956A8F">
        <w:trPr>
          <w:trHeight w:val="243"/>
        </w:trPr>
        <w:tc>
          <w:tcPr>
            <w:tcW w:w="4030" w:type="dxa"/>
            <w:shd w:val="clear" w:color="auto" w:fill="auto"/>
            <w:noWrap/>
            <w:hideMark/>
          </w:tcPr>
          <w:p w14:paraId="0387FB61" w14:textId="2101F0ED" w:rsidR="00956A8F" w:rsidRPr="00C50854" w:rsidRDefault="00956A8F" w:rsidP="00381BF5">
            <w:pPr>
              <w:suppressAutoHyphens w:val="0"/>
              <w:rPr>
                <w:b/>
                <w:sz w:val="20"/>
                <w:szCs w:val="20"/>
                <w:lang w:eastAsia="et-EE"/>
              </w:rPr>
            </w:pPr>
            <w:r w:rsidRPr="00C50854">
              <w:rPr>
                <w:b/>
                <w:sz w:val="20"/>
                <w:szCs w:val="20"/>
              </w:rPr>
              <w:t>Kokku</w:t>
            </w:r>
          </w:p>
        </w:tc>
        <w:tc>
          <w:tcPr>
            <w:tcW w:w="1657" w:type="dxa"/>
            <w:shd w:val="clear" w:color="auto" w:fill="auto"/>
            <w:noWrap/>
            <w:hideMark/>
          </w:tcPr>
          <w:p w14:paraId="6E72785D" w14:textId="4A5AC6B1" w:rsidR="00956A8F" w:rsidRPr="00C50854" w:rsidRDefault="00956A8F" w:rsidP="00FC49A5">
            <w:pPr>
              <w:suppressAutoHyphens w:val="0"/>
              <w:jc w:val="center"/>
              <w:rPr>
                <w:b/>
                <w:sz w:val="20"/>
                <w:szCs w:val="20"/>
                <w:lang w:eastAsia="et-EE"/>
              </w:rPr>
            </w:pPr>
            <w:r w:rsidRPr="00C50854">
              <w:rPr>
                <w:b/>
                <w:sz w:val="20"/>
                <w:szCs w:val="20"/>
              </w:rPr>
              <w:t>100%</w:t>
            </w:r>
          </w:p>
        </w:tc>
        <w:tc>
          <w:tcPr>
            <w:tcW w:w="1883" w:type="dxa"/>
            <w:shd w:val="clear" w:color="auto" w:fill="auto"/>
            <w:noWrap/>
            <w:hideMark/>
          </w:tcPr>
          <w:p w14:paraId="38808883" w14:textId="6F0B18A5" w:rsidR="00956A8F" w:rsidRPr="00C50854" w:rsidRDefault="00956A8F" w:rsidP="00FC49A5">
            <w:pPr>
              <w:suppressAutoHyphens w:val="0"/>
              <w:jc w:val="center"/>
              <w:rPr>
                <w:b/>
                <w:sz w:val="20"/>
                <w:szCs w:val="20"/>
                <w:lang w:eastAsia="et-EE"/>
              </w:rPr>
            </w:pPr>
            <w:r w:rsidRPr="00C50854">
              <w:rPr>
                <w:b/>
                <w:sz w:val="20"/>
                <w:szCs w:val="20"/>
              </w:rPr>
              <w:t>100%</w:t>
            </w:r>
          </w:p>
        </w:tc>
        <w:tc>
          <w:tcPr>
            <w:tcW w:w="1687" w:type="dxa"/>
            <w:shd w:val="clear" w:color="auto" w:fill="auto"/>
            <w:noWrap/>
            <w:hideMark/>
          </w:tcPr>
          <w:p w14:paraId="3601E5D4" w14:textId="59130FB9" w:rsidR="00956A8F" w:rsidRPr="00C50854" w:rsidRDefault="00956A8F" w:rsidP="00FC49A5">
            <w:pPr>
              <w:suppressAutoHyphens w:val="0"/>
              <w:jc w:val="center"/>
              <w:rPr>
                <w:b/>
                <w:sz w:val="20"/>
                <w:szCs w:val="20"/>
                <w:lang w:eastAsia="et-EE"/>
              </w:rPr>
            </w:pPr>
            <w:r w:rsidRPr="00C50854">
              <w:rPr>
                <w:b/>
                <w:sz w:val="20"/>
                <w:szCs w:val="20"/>
              </w:rPr>
              <w:t>100%</w:t>
            </w:r>
          </w:p>
        </w:tc>
      </w:tr>
    </w:tbl>
    <w:p w14:paraId="10087E3D" w14:textId="1C1EA979" w:rsidR="00CC6E9A" w:rsidRPr="00C50854" w:rsidRDefault="00CC6E9A" w:rsidP="00CC6E9A">
      <w:pPr>
        <w:suppressAutoHyphens w:val="0"/>
        <w:spacing w:before="120" w:after="120"/>
        <w:rPr>
          <w:b/>
          <w:bCs/>
          <w:sz w:val="20"/>
          <w:szCs w:val="20"/>
          <w:lang w:eastAsia="et-EE"/>
        </w:rPr>
      </w:pPr>
      <w:bookmarkStart w:id="242" w:name="_Ref215909604"/>
      <w:bookmarkStart w:id="243" w:name="_Ref346282936"/>
      <w:r w:rsidRPr="00C50854">
        <w:rPr>
          <w:b/>
          <w:bCs/>
          <w:sz w:val="20"/>
          <w:szCs w:val="20"/>
          <w:lang w:eastAsia="et-EE"/>
        </w:rPr>
        <w:t xml:space="preserve">Tabel </w:t>
      </w:r>
      <w:r w:rsidR="00341D2F" w:rsidRPr="00C50854">
        <w:rPr>
          <w:b/>
          <w:bCs/>
          <w:sz w:val="20"/>
          <w:szCs w:val="20"/>
          <w:lang w:eastAsia="et-EE"/>
        </w:rPr>
        <w:fldChar w:fldCharType="begin"/>
      </w:r>
      <w:r w:rsidR="00341D2F" w:rsidRPr="00C50854">
        <w:rPr>
          <w:b/>
          <w:bCs/>
          <w:sz w:val="20"/>
          <w:szCs w:val="20"/>
          <w:lang w:eastAsia="et-EE"/>
        </w:rPr>
        <w:instrText xml:space="preserve"> SEQ Tabel \* ARABIC </w:instrText>
      </w:r>
      <w:r w:rsidR="00341D2F" w:rsidRPr="00C50854">
        <w:rPr>
          <w:b/>
          <w:bCs/>
          <w:sz w:val="20"/>
          <w:szCs w:val="20"/>
          <w:lang w:eastAsia="et-EE"/>
        </w:rPr>
        <w:fldChar w:fldCharType="separate"/>
      </w:r>
      <w:r w:rsidR="00D24389" w:rsidRPr="00C50854">
        <w:rPr>
          <w:b/>
          <w:bCs/>
          <w:noProof/>
          <w:sz w:val="20"/>
          <w:szCs w:val="20"/>
          <w:lang w:eastAsia="et-EE"/>
        </w:rPr>
        <w:t>20</w:t>
      </w:r>
      <w:r w:rsidR="00341D2F" w:rsidRPr="00C50854">
        <w:rPr>
          <w:b/>
          <w:bCs/>
          <w:sz w:val="20"/>
          <w:szCs w:val="20"/>
          <w:lang w:eastAsia="et-EE"/>
        </w:rPr>
        <w:fldChar w:fldCharType="end"/>
      </w:r>
      <w:bookmarkEnd w:id="242"/>
      <w:bookmarkEnd w:id="243"/>
      <w:r w:rsidRPr="00C50854">
        <w:rPr>
          <w:bCs/>
          <w:sz w:val="20"/>
          <w:szCs w:val="20"/>
          <w:lang w:eastAsia="et-EE"/>
        </w:rPr>
        <w:t xml:space="preserve">. </w:t>
      </w:r>
      <w:r w:rsidR="00A1134F" w:rsidRPr="00C50854">
        <w:rPr>
          <w:bCs/>
          <w:sz w:val="20"/>
          <w:szCs w:val="20"/>
          <w:lang w:eastAsia="et-EE"/>
        </w:rPr>
        <w:t>T</w:t>
      </w:r>
      <w:r w:rsidRPr="00C50854">
        <w:rPr>
          <w:bCs/>
          <w:sz w:val="20"/>
          <w:szCs w:val="20"/>
          <w:lang w:eastAsia="et-EE"/>
        </w:rPr>
        <w:t>ehtud investeeringute osakaalud aastatel 20</w:t>
      </w:r>
      <w:r w:rsidR="00A1134F" w:rsidRPr="00C50854">
        <w:rPr>
          <w:bCs/>
          <w:sz w:val="20"/>
          <w:szCs w:val="20"/>
          <w:lang w:eastAsia="et-EE"/>
        </w:rPr>
        <w:t>1</w:t>
      </w:r>
      <w:r w:rsidR="009E59AF" w:rsidRPr="00C50854">
        <w:rPr>
          <w:bCs/>
          <w:sz w:val="20"/>
          <w:szCs w:val="20"/>
          <w:lang w:eastAsia="et-EE"/>
        </w:rPr>
        <w:t>6</w:t>
      </w:r>
      <w:r w:rsidR="00A1134F" w:rsidRPr="00C50854">
        <w:rPr>
          <w:bCs/>
          <w:sz w:val="20"/>
          <w:szCs w:val="20"/>
          <w:lang w:eastAsia="et-EE"/>
        </w:rPr>
        <w:t>-201</w:t>
      </w:r>
      <w:r w:rsidR="009E59AF" w:rsidRPr="00C50854">
        <w:rPr>
          <w:bCs/>
          <w:sz w:val="20"/>
          <w:szCs w:val="20"/>
          <w:lang w:eastAsia="et-EE"/>
        </w:rPr>
        <w:t>8</w:t>
      </w:r>
    </w:p>
    <w:p w14:paraId="30DF94B8" w14:textId="355D0145" w:rsidR="00CC6E9A" w:rsidRPr="00C50854" w:rsidRDefault="00CC6E9A" w:rsidP="00311E1F">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 xml:space="preserve">Võrreldes teiste sideettevõtjatega on </w:t>
      </w:r>
      <w:r w:rsidR="00F317A5" w:rsidRPr="00C50854">
        <w:rPr>
          <w:lang w:eastAsia="et-EE"/>
        </w:rPr>
        <w:t>Telia</w:t>
      </w:r>
      <w:r w:rsidRPr="00C50854">
        <w:rPr>
          <w:lang w:eastAsia="et-EE"/>
        </w:rPr>
        <w:t xml:space="preserve"> poolt teostatud investeeringute maht sidevõrgu ülekande ja juurdepääsu infrastruktuuri oluliselt suurem. See on osaliselt põhjendatav ka </w:t>
      </w:r>
      <w:r w:rsidR="00F317A5" w:rsidRPr="00C50854">
        <w:rPr>
          <w:lang w:eastAsia="et-EE"/>
        </w:rPr>
        <w:t>Telia</w:t>
      </w:r>
      <w:r w:rsidRPr="00C50854">
        <w:rPr>
          <w:lang w:eastAsia="et-EE"/>
        </w:rPr>
        <w:t xml:space="preserve"> omandis oleva sidevõrgu suurusega, mille jaeteenuste osutamiseks </w:t>
      </w:r>
      <w:r w:rsidR="00480FBC" w:rsidRPr="00C50854">
        <w:rPr>
          <w:lang w:eastAsia="et-EE"/>
        </w:rPr>
        <w:t>käigus hoidmine</w:t>
      </w:r>
      <w:r w:rsidRPr="00C50854">
        <w:rPr>
          <w:lang w:eastAsia="et-EE"/>
        </w:rPr>
        <w:t>, kaasajastamine ja kohandamine on nõudnud palju finantsvahendeid.</w:t>
      </w:r>
    </w:p>
    <w:p w14:paraId="0C593748" w14:textId="77777777"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Ülejäänud analüüsi kaasatud ettevõtjate investeeringud on samuti</w:t>
      </w:r>
      <w:r w:rsidR="009C2815" w:rsidRPr="00C50854">
        <w:rPr>
          <w:lang w:eastAsia="et-EE"/>
        </w:rPr>
        <w:t xml:space="preserve"> suuremas osas</w:t>
      </w:r>
      <w:r w:rsidRPr="00C50854">
        <w:rPr>
          <w:lang w:eastAsia="et-EE"/>
        </w:rPr>
        <w:t xml:space="preserve"> olnud suunatud sidevõrgu infrastruktuuri laiendamisele või kvaliteedi parandamisele.</w:t>
      </w:r>
    </w:p>
    <w:p w14:paraId="55AA6FDD" w14:textId="55F57042"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Seega on põhiliseks </w:t>
      </w:r>
      <w:r w:rsidR="00084A49" w:rsidRPr="00C50854">
        <w:rPr>
          <w:lang w:eastAsia="et-EE"/>
        </w:rPr>
        <w:t xml:space="preserve">kohaliku </w:t>
      </w:r>
      <w:r w:rsidRPr="00C50854">
        <w:rPr>
          <w:lang w:eastAsia="et-EE"/>
        </w:rPr>
        <w:t xml:space="preserve">juurdepääsu hulgituru teenuste ning jaeteenuste osutamist võimaldavasse sidevõrgu infrastruktuuri investeerijaks </w:t>
      </w:r>
      <w:r w:rsidR="00F317A5" w:rsidRPr="00C50854">
        <w:rPr>
          <w:lang w:eastAsia="et-EE"/>
        </w:rPr>
        <w:t>Telia</w:t>
      </w:r>
      <w:r w:rsidRPr="00C50854">
        <w:rPr>
          <w:lang w:eastAsia="et-EE"/>
        </w:rPr>
        <w:t xml:space="preserve">, kes kontrollib olulist osa Eestit katvast elektroonilise side teenuste osutamist võimaldavast infrastruktuurist ning ühtlasi omab suurimat kliendibaasi fikseeritud </w:t>
      </w:r>
      <w:r w:rsidR="00F90008" w:rsidRPr="00C50854">
        <w:rPr>
          <w:lang w:eastAsia="et-EE"/>
        </w:rPr>
        <w:t xml:space="preserve">sidevõrgu </w:t>
      </w:r>
      <w:r w:rsidRPr="00C50854">
        <w:rPr>
          <w:lang w:eastAsia="et-EE"/>
        </w:rPr>
        <w:t>sideteenuste turul (</w:t>
      </w:r>
      <w:r w:rsidR="00987543" w:rsidRPr="00C50854">
        <w:rPr>
          <w:lang w:eastAsia="et-EE"/>
        </w:rPr>
        <w:t xml:space="preserve">vaata </w:t>
      </w:r>
      <w:r w:rsidRPr="00C50854">
        <w:rPr>
          <w:lang w:eastAsia="et-EE"/>
        </w:rPr>
        <w:t>punkti 4.2.1.).</w:t>
      </w:r>
    </w:p>
    <w:p w14:paraId="06925FA9" w14:textId="7F30FE44"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Tänu laiaulatuslikule ja </w:t>
      </w:r>
      <w:r w:rsidR="007E573D" w:rsidRPr="00C50854">
        <w:rPr>
          <w:lang w:eastAsia="et-EE"/>
        </w:rPr>
        <w:t>suurimale</w:t>
      </w:r>
      <w:r w:rsidRPr="00C50854">
        <w:rPr>
          <w:lang w:eastAsia="et-EE"/>
        </w:rPr>
        <w:t xml:space="preserve"> sidevõrgule ning seega ka võimalusele osutada kõige suuremas mahus jaeteenuseid, kogeb </w:t>
      </w:r>
      <w:r w:rsidR="00F317A5" w:rsidRPr="00C50854">
        <w:rPr>
          <w:lang w:eastAsia="et-EE"/>
        </w:rPr>
        <w:t>Telia</w:t>
      </w:r>
      <w:r w:rsidRPr="00C50854">
        <w:rPr>
          <w:lang w:eastAsia="et-EE"/>
        </w:rPr>
        <w:t xml:space="preserve"> mastaabisäästu, mis jääb uutele turule sisenejatele kättesaamatuks. See on aga oluliseks sisenemistõkkeks fikseeritud </w:t>
      </w:r>
      <w:r w:rsidR="00F90008" w:rsidRPr="00C50854">
        <w:rPr>
          <w:lang w:eastAsia="et-EE"/>
        </w:rPr>
        <w:t xml:space="preserve">sidevõrgus kohaliku </w:t>
      </w:r>
      <w:r w:rsidRPr="00C50854">
        <w:rPr>
          <w:lang w:eastAsia="et-EE"/>
        </w:rPr>
        <w:t>juurdepääsu hulgiturule ja sellega lähedalt seotud jaeturgudele sisenemisel.</w:t>
      </w:r>
    </w:p>
    <w:p w14:paraId="386C78DD" w14:textId="77777777" w:rsidR="00CC6E9A" w:rsidRPr="00C50854" w:rsidRDefault="00CC6E9A" w:rsidP="004D4AF8">
      <w:pPr>
        <w:pStyle w:val="Pealkiri4"/>
      </w:pPr>
      <w:bookmarkStart w:id="244" w:name="_Toc464639346"/>
      <w:r w:rsidRPr="00C50854">
        <w:t>4.3.2.3. Järeldused</w:t>
      </w:r>
      <w:bookmarkEnd w:id="244"/>
    </w:p>
    <w:p w14:paraId="34657F0B" w14:textId="29A61898"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Suures ulatuses Eestit katva sidevõrgu omamine annab </w:t>
      </w:r>
      <w:r w:rsidR="00F317A5" w:rsidRPr="00C50854">
        <w:rPr>
          <w:lang w:eastAsia="et-EE"/>
        </w:rPr>
        <w:t>Teliale</w:t>
      </w:r>
      <w:r w:rsidRPr="00C50854">
        <w:rPr>
          <w:lang w:eastAsia="et-EE"/>
        </w:rPr>
        <w:t xml:space="preserve"> suurimad võimalused </w:t>
      </w:r>
      <w:r w:rsidR="00084A49" w:rsidRPr="00C50854">
        <w:rPr>
          <w:lang w:eastAsia="et-EE"/>
        </w:rPr>
        <w:t xml:space="preserve">kohaliku </w:t>
      </w:r>
      <w:r w:rsidRPr="00C50854">
        <w:rPr>
          <w:lang w:eastAsia="et-EE"/>
        </w:rPr>
        <w:t xml:space="preserve">juurdepääsu hulgituru teenuste osutamiseks, mis tagab </w:t>
      </w:r>
      <w:r w:rsidR="00F317A5" w:rsidRPr="00C50854">
        <w:rPr>
          <w:lang w:eastAsia="et-EE"/>
        </w:rPr>
        <w:t>Teliale</w:t>
      </w:r>
      <w:r w:rsidRPr="00C50854">
        <w:rPr>
          <w:lang w:eastAsia="et-EE"/>
        </w:rPr>
        <w:t xml:space="preserve"> jaeteenuste</w:t>
      </w:r>
      <w:r w:rsidR="00E711F4" w:rsidRPr="00C50854">
        <w:rPr>
          <w:lang w:eastAsia="et-EE"/>
        </w:rPr>
        <w:t xml:space="preserve"> </w:t>
      </w:r>
      <w:r w:rsidRPr="00C50854">
        <w:rPr>
          <w:lang w:eastAsia="et-EE"/>
        </w:rPr>
        <w:t xml:space="preserve">turul ka selge eelise konkurentide ees. Viimased peavad selleks, et tagada </w:t>
      </w:r>
      <w:r w:rsidR="00F317A5" w:rsidRPr="00C50854">
        <w:rPr>
          <w:lang w:eastAsia="et-EE"/>
        </w:rPr>
        <w:t>Teliaga</w:t>
      </w:r>
      <w:r w:rsidRPr="00C50854">
        <w:rPr>
          <w:lang w:eastAsia="et-EE"/>
        </w:rPr>
        <w:t xml:space="preserve"> võrreldavas mahus teenuste osutamine, kas arendama välja </w:t>
      </w:r>
      <w:r w:rsidR="00F317A5" w:rsidRPr="00C50854">
        <w:rPr>
          <w:lang w:eastAsia="et-EE"/>
        </w:rPr>
        <w:t>Teliaga</w:t>
      </w:r>
      <w:r w:rsidRPr="00C50854">
        <w:rPr>
          <w:lang w:eastAsia="et-EE"/>
        </w:rPr>
        <w:t xml:space="preserve"> paralleelse infrastruktuuri</w:t>
      </w:r>
      <w:r w:rsidR="007F614E" w:rsidRPr="00C50854">
        <w:rPr>
          <w:lang w:eastAsia="et-EE"/>
        </w:rPr>
        <w:t xml:space="preserve"> ning konkureerima Teliaga</w:t>
      </w:r>
      <w:r w:rsidRPr="00C50854">
        <w:rPr>
          <w:lang w:eastAsia="et-EE"/>
        </w:rPr>
        <w:t xml:space="preserve"> või </w:t>
      </w:r>
      <w:r w:rsidR="00084A49" w:rsidRPr="00C50854">
        <w:rPr>
          <w:lang w:eastAsia="et-EE"/>
        </w:rPr>
        <w:t xml:space="preserve">rentima  </w:t>
      </w:r>
      <w:r w:rsidR="00F317A5" w:rsidRPr="00C50854">
        <w:rPr>
          <w:lang w:eastAsia="et-EE"/>
        </w:rPr>
        <w:t>Telia</w:t>
      </w:r>
      <w:r w:rsidR="00084A49" w:rsidRPr="00C50854">
        <w:rPr>
          <w:lang w:eastAsia="et-EE"/>
        </w:rPr>
        <w:t xml:space="preserve">lt </w:t>
      </w:r>
      <w:r w:rsidRPr="00C50854">
        <w:rPr>
          <w:lang w:eastAsia="et-EE"/>
        </w:rPr>
        <w:t xml:space="preserve"> </w:t>
      </w:r>
      <w:r w:rsidR="00084A49" w:rsidRPr="00C50854">
        <w:rPr>
          <w:lang w:eastAsia="et-EE"/>
        </w:rPr>
        <w:t xml:space="preserve">juurdepääsu </w:t>
      </w:r>
      <w:r w:rsidR="00480E19" w:rsidRPr="00C50854">
        <w:rPr>
          <w:lang w:eastAsia="et-EE"/>
        </w:rPr>
        <w:t>hulgi</w:t>
      </w:r>
      <w:r w:rsidRPr="00C50854">
        <w:rPr>
          <w:lang w:eastAsia="et-EE"/>
        </w:rPr>
        <w:t xml:space="preserve">teenuseid </w:t>
      </w:r>
      <w:r w:rsidR="00084A49" w:rsidRPr="00C50854">
        <w:rPr>
          <w:lang w:eastAsia="et-EE"/>
        </w:rPr>
        <w:t>samas mahus</w:t>
      </w:r>
      <w:r w:rsidRPr="00C50854">
        <w:rPr>
          <w:lang w:eastAsia="et-EE"/>
        </w:rPr>
        <w:t xml:space="preserve">. </w:t>
      </w:r>
      <w:r w:rsidR="00F317A5" w:rsidRPr="00C50854">
        <w:rPr>
          <w:lang w:eastAsia="et-EE"/>
        </w:rPr>
        <w:t>Telia</w:t>
      </w:r>
      <w:r w:rsidRPr="00C50854">
        <w:rPr>
          <w:lang w:eastAsia="et-EE"/>
        </w:rPr>
        <w:t xml:space="preserve"> seevastu on konkurentidest üsna sõltumatu, kuna tänu suurima juurdepääsuvõrgu olemasolule kontrollib ta ka suure</w:t>
      </w:r>
      <w:r w:rsidR="00480E19" w:rsidRPr="00C50854">
        <w:rPr>
          <w:lang w:eastAsia="et-EE"/>
        </w:rPr>
        <w:t>mat osa fikseeritud sidevõrkude</w:t>
      </w:r>
      <w:r w:rsidRPr="00C50854">
        <w:rPr>
          <w:lang w:eastAsia="et-EE"/>
        </w:rPr>
        <w:t xml:space="preserve"> jaeteenus</w:t>
      </w:r>
      <w:r w:rsidR="00480E19" w:rsidRPr="00C50854">
        <w:rPr>
          <w:lang w:eastAsia="et-EE"/>
        </w:rPr>
        <w:t>t</w:t>
      </w:r>
      <w:r w:rsidRPr="00C50854">
        <w:rPr>
          <w:lang w:eastAsia="et-EE"/>
        </w:rPr>
        <w:t xml:space="preserve">e lõppkasutajatest, mistõttu omab </w:t>
      </w:r>
      <w:r w:rsidR="00F317A5" w:rsidRPr="00C50854">
        <w:rPr>
          <w:lang w:eastAsia="et-EE"/>
        </w:rPr>
        <w:t>Telia</w:t>
      </w:r>
      <w:r w:rsidRPr="00C50854">
        <w:rPr>
          <w:lang w:eastAsia="et-EE"/>
        </w:rPr>
        <w:t xml:space="preserve"> olulisi eelised kõigi teiste fikseeritud sidevõrkude jaeteenuseid osutavate </w:t>
      </w:r>
      <w:r w:rsidR="00480E19" w:rsidRPr="00C50854">
        <w:rPr>
          <w:lang w:eastAsia="et-EE"/>
        </w:rPr>
        <w:t>side</w:t>
      </w:r>
      <w:r w:rsidRPr="00C50854">
        <w:rPr>
          <w:lang w:eastAsia="et-EE"/>
        </w:rPr>
        <w:t>ettevõtjate ees.</w:t>
      </w:r>
    </w:p>
    <w:p w14:paraId="34C78AC9" w14:textId="7628DBBF"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Kuigi turuanalüüsi mittekaasatud </w:t>
      </w:r>
      <w:r w:rsidR="00C926A7" w:rsidRPr="00C50854">
        <w:rPr>
          <w:lang w:eastAsia="et-EE"/>
        </w:rPr>
        <w:t xml:space="preserve">kaabelleviteenust osutavad sideettevõtted </w:t>
      </w:r>
      <w:r w:rsidRPr="00C50854">
        <w:rPr>
          <w:lang w:eastAsia="et-EE"/>
        </w:rPr>
        <w:t xml:space="preserve">avaldavad </w:t>
      </w:r>
      <w:r w:rsidR="00F317A5" w:rsidRPr="00C50854">
        <w:rPr>
          <w:lang w:eastAsia="et-EE"/>
        </w:rPr>
        <w:t>Teliale</w:t>
      </w:r>
      <w:r w:rsidRPr="00C50854">
        <w:rPr>
          <w:lang w:eastAsia="et-EE"/>
        </w:rPr>
        <w:t xml:space="preserve"> konkurentsisurvet linnades, ei ole see oluliselt vähendanud </w:t>
      </w:r>
      <w:r w:rsidR="00F317A5" w:rsidRPr="00C50854">
        <w:rPr>
          <w:lang w:eastAsia="et-EE"/>
        </w:rPr>
        <w:t xml:space="preserve">Telia </w:t>
      </w:r>
      <w:r w:rsidRPr="00C50854">
        <w:rPr>
          <w:lang w:eastAsia="et-EE"/>
        </w:rPr>
        <w:t>võimet tegutseda teistest teenuseosutajatest sõltumatult.</w:t>
      </w:r>
    </w:p>
    <w:p w14:paraId="662406ED" w14:textId="1E18BD21" w:rsidR="00CC6E9A" w:rsidRPr="00C50854" w:rsidRDefault="00456678" w:rsidP="00311E1F">
      <w:pPr>
        <w:numPr>
          <w:ilvl w:val="0"/>
          <w:numId w:val="13"/>
        </w:numPr>
        <w:suppressAutoHyphens w:val="0"/>
        <w:autoSpaceDE w:val="0"/>
        <w:autoSpaceDN w:val="0"/>
        <w:adjustRightInd w:val="0"/>
        <w:spacing w:before="120" w:after="120"/>
        <w:jc w:val="both"/>
        <w:rPr>
          <w:lang w:eastAsia="et-EE"/>
        </w:rPr>
      </w:pPr>
      <w:r>
        <w:rPr>
          <w:lang w:eastAsia="et-EE"/>
        </w:rPr>
        <w:t>T</w:t>
      </w:r>
      <w:r w:rsidR="00F317A5" w:rsidRPr="00C50854">
        <w:rPr>
          <w:lang w:eastAsia="et-EE"/>
        </w:rPr>
        <w:t>TJA</w:t>
      </w:r>
      <w:r w:rsidR="00CC6E9A" w:rsidRPr="00C50854">
        <w:rPr>
          <w:lang w:eastAsia="et-EE"/>
        </w:rPr>
        <w:t xml:space="preserve"> on seisukohal, et </w:t>
      </w:r>
      <w:r w:rsidR="00F317A5" w:rsidRPr="00C50854">
        <w:rPr>
          <w:lang w:eastAsia="et-EE"/>
        </w:rPr>
        <w:t>Telia</w:t>
      </w:r>
      <w:r w:rsidR="00CC6E9A" w:rsidRPr="00C50854">
        <w:rPr>
          <w:lang w:eastAsia="et-EE"/>
        </w:rPr>
        <w:t xml:space="preserve"> eelised </w:t>
      </w:r>
      <w:r w:rsidR="006A0058" w:rsidRPr="00C50854">
        <w:rPr>
          <w:lang w:eastAsia="et-EE"/>
        </w:rPr>
        <w:t xml:space="preserve">kohaliku </w:t>
      </w:r>
      <w:r w:rsidR="00CC6E9A" w:rsidRPr="00C50854">
        <w:rPr>
          <w:lang w:eastAsia="et-EE"/>
        </w:rPr>
        <w:t xml:space="preserve">juurdepääsu hulgituru </w:t>
      </w:r>
      <w:r w:rsidR="00480E19" w:rsidRPr="00C50854">
        <w:rPr>
          <w:lang w:eastAsia="et-EE"/>
        </w:rPr>
        <w:t>t</w:t>
      </w:r>
      <w:r w:rsidR="00CC6E9A" w:rsidRPr="00C50854">
        <w:rPr>
          <w:lang w:eastAsia="et-EE"/>
        </w:rPr>
        <w:t xml:space="preserve">eenuste osutamisel, mida ta omab tänu suurimale infrastruktuurile ja laialdasele kliendibaasile, säilivad ka lähema kolme aasta jooksul, kuna ei ole tõenäoline, et ükski alternatiivne operaator oleks võimeline nii kiiresti edukalt rajama uut, </w:t>
      </w:r>
      <w:r w:rsidR="00F317A5" w:rsidRPr="00C50854">
        <w:rPr>
          <w:lang w:eastAsia="et-EE"/>
        </w:rPr>
        <w:t>Telia</w:t>
      </w:r>
      <w:r w:rsidR="00CC6E9A" w:rsidRPr="00C50854">
        <w:rPr>
          <w:lang w:eastAsia="et-EE"/>
        </w:rPr>
        <w:t xml:space="preserve"> juurdepääsuvõrku kas täielikult või suures osas dubleerivat infrastruktuuri või tegema vajalikke suuremahulisi investeeringuid olemasoleva infrastruktuuri laiendamiseks ja täiustamiseks, et osutada selle baasil vastavaid hulgiteenuseid.</w:t>
      </w:r>
    </w:p>
    <w:p w14:paraId="70FC08B0" w14:textId="77777777" w:rsidR="00CC6E9A" w:rsidRPr="00C50854" w:rsidRDefault="00CC6E9A" w:rsidP="00480FBC">
      <w:pPr>
        <w:suppressAutoHyphens w:val="0"/>
        <w:spacing w:before="240" w:after="120"/>
        <w:jc w:val="both"/>
        <w:rPr>
          <w:b/>
          <w:lang w:eastAsia="et-EE"/>
        </w:rPr>
      </w:pPr>
      <w:r w:rsidRPr="00C50854">
        <w:rPr>
          <w:b/>
          <w:lang w:eastAsia="et-EE"/>
        </w:rPr>
        <w:t>Kokkuvõte</w:t>
      </w:r>
    </w:p>
    <w:p w14:paraId="0FE64BF7" w14:textId="7FFD969A" w:rsidR="009C2815" w:rsidRPr="00C50854" w:rsidRDefault="001B3978"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Hetkel omab </w:t>
      </w:r>
      <w:r w:rsidR="00F317A5" w:rsidRPr="00C50854">
        <w:rPr>
          <w:lang w:eastAsia="et-EE"/>
        </w:rPr>
        <w:t>Telia</w:t>
      </w:r>
      <w:r w:rsidR="00CC6E9A" w:rsidRPr="00C50854">
        <w:rPr>
          <w:lang w:eastAsia="et-EE"/>
        </w:rPr>
        <w:t xml:space="preserve"> suures ulatuses Eestit katvat elektroonilise side jaeteenuse osutamist võimaldavat </w:t>
      </w:r>
      <w:r w:rsidR="00480E19" w:rsidRPr="00C50854">
        <w:rPr>
          <w:lang w:eastAsia="et-EE"/>
        </w:rPr>
        <w:t xml:space="preserve">fikseeritud </w:t>
      </w:r>
      <w:r w:rsidR="00CC6E9A" w:rsidRPr="00C50854">
        <w:rPr>
          <w:lang w:eastAsia="et-EE"/>
        </w:rPr>
        <w:t xml:space="preserve">juurdepääsuvõrgu infrastruktuuri. Tema omandis on </w:t>
      </w:r>
      <w:r w:rsidR="00305C05">
        <w:rPr>
          <w:lang w:eastAsia="et-EE"/>
        </w:rPr>
        <w:t>…*</w:t>
      </w:r>
      <w:r w:rsidR="00CC6E9A" w:rsidRPr="00C50854">
        <w:rPr>
          <w:lang w:eastAsia="et-EE"/>
        </w:rPr>
        <w:t xml:space="preserve"> väljaehi</w:t>
      </w:r>
      <w:r w:rsidR="009C2815" w:rsidRPr="00C50854">
        <w:rPr>
          <w:lang w:eastAsia="et-EE"/>
        </w:rPr>
        <w:t>tatud kliendiliinidest. Seega omab</w:t>
      </w:r>
      <w:r w:rsidR="00CC6E9A" w:rsidRPr="00C50854">
        <w:rPr>
          <w:lang w:eastAsia="et-EE"/>
        </w:rPr>
        <w:t xml:space="preserve"> </w:t>
      </w:r>
      <w:r w:rsidR="00F317A5" w:rsidRPr="00C50854">
        <w:rPr>
          <w:lang w:eastAsia="et-EE"/>
        </w:rPr>
        <w:t>Telia</w:t>
      </w:r>
      <w:r w:rsidR="00CC6E9A" w:rsidRPr="00C50854">
        <w:rPr>
          <w:lang w:eastAsia="et-EE"/>
        </w:rPr>
        <w:t xml:space="preserve"> </w:t>
      </w:r>
      <w:r w:rsidR="00480E19" w:rsidRPr="00C50854">
        <w:rPr>
          <w:lang w:eastAsia="et-EE"/>
        </w:rPr>
        <w:t xml:space="preserve">fikseeritud sidevõrgus </w:t>
      </w:r>
      <w:r w:rsidR="00CC6E9A" w:rsidRPr="00C50854">
        <w:rPr>
          <w:lang w:eastAsia="et-EE"/>
        </w:rPr>
        <w:t>elektroonilise side jaeteenuste osutamisel lõppkasutajatele</w:t>
      </w:r>
      <w:r w:rsidR="009C2815" w:rsidRPr="00C50854">
        <w:rPr>
          <w:lang w:eastAsia="et-EE"/>
        </w:rPr>
        <w:t xml:space="preserve"> kõige paremat positsiooni</w:t>
      </w:r>
      <w:r w:rsidR="00CC6E9A" w:rsidRPr="00C50854">
        <w:rPr>
          <w:lang w:eastAsia="et-EE"/>
        </w:rPr>
        <w:t>.</w:t>
      </w:r>
    </w:p>
    <w:p w14:paraId="10FCF84F" w14:textId="6CFE46E8" w:rsidR="00CC6E9A" w:rsidRPr="00C50854" w:rsidRDefault="00CC6E9A"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 xml:space="preserve">Samuti omab </w:t>
      </w:r>
      <w:r w:rsidR="00F317A5" w:rsidRPr="00C50854">
        <w:rPr>
          <w:lang w:eastAsia="et-EE"/>
        </w:rPr>
        <w:t>Telia</w:t>
      </w:r>
      <w:r w:rsidRPr="00C50854">
        <w:rPr>
          <w:lang w:eastAsia="et-EE"/>
        </w:rPr>
        <w:t xml:space="preserve"> </w:t>
      </w:r>
      <w:r w:rsidR="006A0058" w:rsidRPr="00C50854">
        <w:rPr>
          <w:lang w:eastAsia="et-EE"/>
        </w:rPr>
        <w:t xml:space="preserve">kohaliku </w:t>
      </w:r>
      <w:r w:rsidRPr="00C50854">
        <w:rPr>
          <w:lang w:eastAsia="et-EE"/>
        </w:rPr>
        <w:t>juurdepääsu hulgituru teenuste osutamiseks</w:t>
      </w:r>
      <w:r w:rsidR="009C2815" w:rsidRPr="00C50854">
        <w:rPr>
          <w:lang w:eastAsia="et-EE"/>
        </w:rPr>
        <w:t xml:space="preserve"> parimaid võimalusi - ü</w:t>
      </w:r>
      <w:r w:rsidRPr="00C50854">
        <w:rPr>
          <w:lang w:eastAsia="et-EE"/>
        </w:rPr>
        <w:t xml:space="preserve">kski teine jaeteenuse osutamist võimaldava infrastruktuuri omanik ei suuda tegutseda olulisel määral sõltumatult </w:t>
      </w:r>
      <w:r w:rsidR="00F317A5" w:rsidRPr="00C50854">
        <w:rPr>
          <w:lang w:eastAsia="et-EE"/>
        </w:rPr>
        <w:t>Telia</w:t>
      </w:r>
      <w:r w:rsidRPr="00C50854">
        <w:rPr>
          <w:lang w:eastAsia="et-EE"/>
        </w:rPr>
        <w:t xml:space="preserve">st, kuna </w:t>
      </w:r>
      <w:r w:rsidR="00F317A5" w:rsidRPr="00C50854">
        <w:rPr>
          <w:lang w:eastAsia="et-EE"/>
        </w:rPr>
        <w:t>Telia</w:t>
      </w:r>
      <w:r w:rsidRPr="00C50854">
        <w:rPr>
          <w:lang w:eastAsia="et-EE"/>
        </w:rPr>
        <w:t xml:space="preserve"> kontrollib suurimat klientideni välja ehitatud juurdepääsuvõrku ja </w:t>
      </w:r>
      <w:r w:rsidR="00305C05">
        <w:rPr>
          <w:lang w:eastAsia="et-EE"/>
        </w:rPr>
        <w:t xml:space="preserve">…* </w:t>
      </w:r>
      <w:r w:rsidRPr="00C50854">
        <w:rPr>
          <w:lang w:eastAsia="et-EE"/>
        </w:rPr>
        <w:t>väljaehitatud kaablikanalisatsioonist.</w:t>
      </w:r>
      <w:r w:rsidR="001B3978" w:rsidRPr="00C50854">
        <w:rPr>
          <w:lang w:eastAsia="et-EE"/>
        </w:rPr>
        <w:t xml:space="preserve"> </w:t>
      </w:r>
    </w:p>
    <w:p w14:paraId="5DBA69E7" w14:textId="149F0489" w:rsidR="00005855" w:rsidRPr="00C50854" w:rsidRDefault="001B3978"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Kui Telia peaks asendama täies ulatuses vaskpaar juurdepääsu tehnoloogia </w:t>
      </w:r>
      <w:r w:rsidR="00776652" w:rsidRPr="00C50854">
        <w:rPr>
          <w:i/>
          <w:lang w:eastAsia="et-EE"/>
        </w:rPr>
        <w:t xml:space="preserve">VDSL </w:t>
      </w:r>
      <w:proofErr w:type="spellStart"/>
      <w:r w:rsidR="007F73B7" w:rsidRPr="00C50854">
        <w:rPr>
          <w:i/>
          <w:lang w:eastAsia="et-EE"/>
        </w:rPr>
        <w:t>ve</w:t>
      </w:r>
      <w:r w:rsidR="00776652" w:rsidRPr="00C50854">
        <w:rPr>
          <w:i/>
          <w:lang w:eastAsia="et-EE"/>
        </w:rPr>
        <w:t>c</w:t>
      </w:r>
      <w:r w:rsidR="007F73B7" w:rsidRPr="00C50854">
        <w:rPr>
          <w:i/>
          <w:lang w:eastAsia="et-EE"/>
        </w:rPr>
        <w:t>toring</w:t>
      </w:r>
      <w:proofErr w:type="spellEnd"/>
      <w:r w:rsidR="007F73B7" w:rsidRPr="00C50854">
        <w:rPr>
          <w:lang w:eastAsia="et-EE"/>
        </w:rPr>
        <w:t xml:space="preserve"> tehnoloogia</w:t>
      </w:r>
      <w:r w:rsidR="007E573D" w:rsidRPr="00C50854">
        <w:rPr>
          <w:lang w:eastAsia="et-EE"/>
        </w:rPr>
        <w:t>ga</w:t>
      </w:r>
      <w:r w:rsidR="007F73B7" w:rsidRPr="00C50854">
        <w:rPr>
          <w:lang w:eastAsia="et-EE"/>
        </w:rPr>
        <w:t xml:space="preserve"> varem kui kolme aastaga, </w:t>
      </w:r>
      <w:r w:rsidR="00C51076" w:rsidRPr="00C50854">
        <w:rPr>
          <w:lang w:eastAsia="et-EE"/>
        </w:rPr>
        <w:t>võib</w:t>
      </w:r>
      <w:r w:rsidR="007F73B7" w:rsidRPr="00C50854">
        <w:rPr>
          <w:lang w:eastAsia="et-EE"/>
        </w:rPr>
        <w:t xml:space="preserve"> TTJA </w:t>
      </w:r>
      <w:r w:rsidR="00C51076" w:rsidRPr="00C50854">
        <w:rPr>
          <w:lang w:eastAsia="et-EE"/>
        </w:rPr>
        <w:t xml:space="preserve">vajadusel läbi </w:t>
      </w:r>
      <w:r w:rsidR="007F73B7" w:rsidRPr="00C50854">
        <w:rPr>
          <w:lang w:eastAsia="et-EE"/>
        </w:rPr>
        <w:t>viia uue turuanalüüsi</w:t>
      </w:r>
      <w:r w:rsidR="00005855" w:rsidRPr="00C50854">
        <w:rPr>
          <w:lang w:eastAsia="et-EE"/>
        </w:rPr>
        <w:t>.</w:t>
      </w:r>
    </w:p>
    <w:p w14:paraId="53CE9D4E" w14:textId="77777777" w:rsidR="00C90110" w:rsidRPr="00C50854" w:rsidRDefault="00C90110" w:rsidP="00C90110">
      <w:pPr>
        <w:pStyle w:val="Pealkiri3"/>
        <w:rPr>
          <w:i/>
        </w:rPr>
      </w:pPr>
      <w:bookmarkStart w:id="245" w:name="_Toc464639347"/>
      <w:bookmarkStart w:id="246" w:name="_Ref465256007"/>
      <w:bookmarkStart w:id="247" w:name="_Ref465256014"/>
      <w:bookmarkStart w:id="248" w:name="_Toc42072448"/>
      <w:r w:rsidRPr="00C50854">
        <w:rPr>
          <w:i/>
        </w:rPr>
        <w:t>4.3.3. Sisenemistõkked</w:t>
      </w:r>
      <w:bookmarkEnd w:id="245"/>
      <w:bookmarkEnd w:id="246"/>
      <w:bookmarkEnd w:id="247"/>
      <w:bookmarkEnd w:id="248"/>
    </w:p>
    <w:p w14:paraId="3875926D" w14:textId="77777777" w:rsidR="00C90110" w:rsidRPr="00C50854" w:rsidRDefault="00C901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Vastavalt turuanalüüsi ja märkimisväärse turujõu hindamise suuniste punktile 80 on turul domineerimise tuvastamiseks oluline hinnata turule sisenemise lihtsust. Ettevõtja võime turul domineerida sõltub muu hulgas uute turuosaliste turule sisenemise võimalusest. Kui turul puuduvad sisenemistõkked, on ettevõtja võimalused turul konkurente eirates tegutseda piiratud isegi juhul, kui ta omab kõnealusel turul märkimisväärset turuosa.</w:t>
      </w:r>
    </w:p>
    <w:p w14:paraId="117F3851" w14:textId="180A84C4" w:rsidR="00C90110" w:rsidRPr="00C50854" w:rsidRDefault="00C901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Sisenemistõkked võivad esineda mitmes eri vormis ning ilmneda erinevatel põhjustel. Olemuselt võivad turule sisenemise piirangud olla </w:t>
      </w:r>
      <w:r w:rsidR="00480E19" w:rsidRPr="00C50854">
        <w:rPr>
          <w:lang w:eastAsia="et-EE"/>
        </w:rPr>
        <w:t xml:space="preserve">regulatiivsed </w:t>
      </w:r>
      <w:r w:rsidRPr="00C50854">
        <w:rPr>
          <w:lang w:eastAsia="et-EE"/>
        </w:rPr>
        <w:t>või</w:t>
      </w:r>
      <w:r w:rsidR="00480E19" w:rsidRPr="00C50854">
        <w:rPr>
          <w:lang w:eastAsia="et-EE"/>
        </w:rPr>
        <w:t xml:space="preserve"> struktuursed</w:t>
      </w:r>
      <w:r w:rsidRPr="00C50854">
        <w:rPr>
          <w:lang w:eastAsia="et-EE"/>
        </w:rPr>
        <w:t>.</w:t>
      </w:r>
    </w:p>
    <w:p w14:paraId="58A0314C" w14:textId="77777777" w:rsidR="00C90110" w:rsidRPr="00C50854" w:rsidRDefault="00C90110" w:rsidP="004D4AF8">
      <w:pPr>
        <w:pStyle w:val="Pealkiri4"/>
      </w:pPr>
      <w:bookmarkStart w:id="249" w:name="_Toc464639348"/>
      <w:r w:rsidRPr="00C50854">
        <w:t>4.3.3.1. Regulatiivsed tõkked</w:t>
      </w:r>
      <w:bookmarkEnd w:id="249"/>
    </w:p>
    <w:p w14:paraId="14902174" w14:textId="77777777" w:rsidR="00C90110" w:rsidRPr="00C50854" w:rsidRDefault="00C901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Regulatiivsed tõkked tähendavad, et teatud territooriumil kehtivad regulatiivsed meetmed piiravad teenuseosutajate tegutsemisvabadust või takistavad üldse võimalust tegutseda (turuanalüüsi ja märkimisväärse turujõu hindamise suuniste punkt 80). Näiteks võib potentsiaalsete turuosaliste arv olla piiratud seeläbi, et väljastatakse vaid teatud hulk teatud teenuse osutamist võimaldavaid litsentse.</w:t>
      </w:r>
    </w:p>
    <w:p w14:paraId="786027BE" w14:textId="32D293E9" w:rsidR="00C90110" w:rsidRPr="00C50854" w:rsidRDefault="006A0058"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Kohaliku </w:t>
      </w:r>
      <w:r w:rsidR="00C90110" w:rsidRPr="00C50854">
        <w:rPr>
          <w:lang w:eastAsia="et-EE"/>
        </w:rPr>
        <w:t>juurdepääsu hulgiturule sisenemisel võivad teatud juhtudel olla regulatiivseteks tõketeks infrastruktuuri ehitust reguleerivad õigusaktid, mis piiravad infrastruktuuri rajamist. Näiteks tiheasustusalal võib kohalik omavalitsus keelata või piirata dubleerivate kaablikanalisatsioonide rajamise kui kohaliku omavalitsuse arengukavad ei ühti ettevõtja arengukavadega.</w:t>
      </w:r>
    </w:p>
    <w:p w14:paraId="1BE1A49A" w14:textId="548E6ADF" w:rsidR="00C90110" w:rsidRPr="00C50854" w:rsidRDefault="00C901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Samas ei kuulu </w:t>
      </w:r>
      <w:r w:rsidR="009E59AF" w:rsidRPr="00C50854">
        <w:rPr>
          <w:lang w:eastAsia="et-EE"/>
        </w:rPr>
        <w:t>T</w:t>
      </w:r>
      <w:r w:rsidR="00AE5646" w:rsidRPr="00C50854">
        <w:rPr>
          <w:lang w:eastAsia="et-EE"/>
        </w:rPr>
        <w:t>TJA-</w:t>
      </w:r>
      <w:proofErr w:type="spellStart"/>
      <w:r w:rsidRPr="00C50854">
        <w:rPr>
          <w:lang w:eastAsia="et-EE"/>
        </w:rPr>
        <w:t>le</w:t>
      </w:r>
      <w:proofErr w:type="spellEnd"/>
      <w:r w:rsidRPr="00C50854">
        <w:rPr>
          <w:lang w:eastAsia="et-EE"/>
        </w:rPr>
        <w:t xml:space="preserve"> teadaolevalt piiritletud turu koosseisu teenuseid, mille osutamist piiraks näiteks teenuste osutamise vajalike litsentside arv. Võttes arvesse eeltoodut, leiab </w:t>
      </w:r>
      <w:r w:rsidR="009E59AF" w:rsidRPr="00C50854">
        <w:rPr>
          <w:lang w:eastAsia="et-EE"/>
        </w:rPr>
        <w:t>T</w:t>
      </w:r>
      <w:r w:rsidR="006A0058" w:rsidRPr="00C50854">
        <w:rPr>
          <w:lang w:eastAsia="et-EE"/>
        </w:rPr>
        <w:t>TJA</w:t>
      </w:r>
      <w:r w:rsidRPr="00C50854">
        <w:rPr>
          <w:lang w:eastAsia="et-EE"/>
        </w:rPr>
        <w:t>, et piiritletud turul ei esine sedavõrd kõrgeid regulatiivsed sisenemistõkkeid, et need arvestataval määral takistaksid turule sisenemist tervikuna.</w:t>
      </w:r>
    </w:p>
    <w:p w14:paraId="3A747619" w14:textId="77777777" w:rsidR="00C90110" w:rsidRPr="00C50854" w:rsidRDefault="00C90110" w:rsidP="004D4AF8">
      <w:pPr>
        <w:pStyle w:val="Pealkiri4"/>
      </w:pPr>
      <w:bookmarkStart w:id="250" w:name="_Toc464639349"/>
      <w:r w:rsidRPr="00C50854">
        <w:t>4.3.3.2. Struktuursed tõkked</w:t>
      </w:r>
      <w:bookmarkEnd w:id="250"/>
    </w:p>
    <w:p w14:paraId="20E361DE" w14:textId="77777777" w:rsidR="003F3E40" w:rsidRPr="00C50854" w:rsidRDefault="003F3E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Struktuursed tõkked tähendavad tehnoloogiast ja sellega seotud kulude struktuurist tingitud erinevaid võimalusi turul juba tegutsevatele ja sinna siseneda soovivatele ettevõtjatele.</w:t>
      </w:r>
    </w:p>
    <w:p w14:paraId="4E2E51BF" w14:textId="54D4C032" w:rsidR="003F3E40" w:rsidRPr="00C50854" w:rsidRDefault="006A0058"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Kohaliku </w:t>
      </w:r>
      <w:r w:rsidR="003F3E40" w:rsidRPr="00C50854">
        <w:rPr>
          <w:lang w:eastAsia="et-EE"/>
        </w:rPr>
        <w:t xml:space="preserve">juurdepääsu hulgiturul on struktuurseteks tõketeks kõrged kliendiliinide väljaehitamise kulud. </w:t>
      </w:r>
      <w:r w:rsidRPr="00C50854">
        <w:rPr>
          <w:lang w:eastAsia="et-EE"/>
        </w:rPr>
        <w:t xml:space="preserve">Kohaliku </w:t>
      </w:r>
      <w:r w:rsidR="003F3E40" w:rsidRPr="00C50854">
        <w:rPr>
          <w:lang w:eastAsia="et-EE"/>
        </w:rPr>
        <w:t>juurdepääsu hulgiturule siseneda sooviv ettevõtja peab rajama arvestatava hulga kliendiliine, mis nõuab märkimisväärseid investeeringuid ning ajalist ressurssi.</w:t>
      </w:r>
    </w:p>
    <w:p w14:paraId="6202ECE5" w14:textId="77777777" w:rsidR="003F3E40" w:rsidRPr="00C50854" w:rsidRDefault="003F3E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Turuanalüüsis käsitletakse struktuurseid sisenemistõkkeid, mis uue teenusepakkuja (turulesiseneja) jaoks võivad asjakohasele turule sisenemisel olla olulise tähtsusega:</w:t>
      </w:r>
    </w:p>
    <w:p w14:paraId="2546E53C" w14:textId="77777777" w:rsidR="003F3E40" w:rsidRPr="00C50854" w:rsidRDefault="003F3E40" w:rsidP="00BE48A9">
      <w:pPr>
        <w:numPr>
          <w:ilvl w:val="0"/>
          <w:numId w:val="7"/>
        </w:numPr>
        <w:suppressAutoHyphens w:val="0"/>
        <w:spacing w:before="120" w:after="120" w:line="276" w:lineRule="auto"/>
        <w:rPr>
          <w:lang w:eastAsia="et-EE"/>
        </w:rPr>
      </w:pPr>
      <w:r w:rsidRPr="00C50854">
        <w:rPr>
          <w:lang w:eastAsia="et-EE"/>
        </w:rPr>
        <w:t>suured pöördumatud kulud;</w:t>
      </w:r>
    </w:p>
    <w:p w14:paraId="236EECC8" w14:textId="77777777" w:rsidR="003F3E40" w:rsidRPr="00C50854" w:rsidRDefault="003F3E40" w:rsidP="00BE48A9">
      <w:pPr>
        <w:numPr>
          <w:ilvl w:val="0"/>
          <w:numId w:val="7"/>
        </w:numPr>
        <w:suppressAutoHyphens w:val="0"/>
        <w:spacing w:before="120" w:after="120" w:line="276" w:lineRule="auto"/>
        <w:rPr>
          <w:lang w:eastAsia="et-EE"/>
        </w:rPr>
      </w:pPr>
      <w:r w:rsidRPr="00C50854">
        <w:rPr>
          <w:lang w:eastAsia="et-EE"/>
        </w:rPr>
        <w:t>mastaabisääst;</w:t>
      </w:r>
    </w:p>
    <w:p w14:paraId="717E79E3" w14:textId="2E59A5C7" w:rsidR="003F3E40" w:rsidRPr="00C50854" w:rsidRDefault="003F3E40" w:rsidP="00BE48A9">
      <w:pPr>
        <w:numPr>
          <w:ilvl w:val="0"/>
          <w:numId w:val="7"/>
        </w:numPr>
        <w:suppressAutoHyphens w:val="0"/>
        <w:spacing w:before="120" w:after="120" w:line="276" w:lineRule="auto"/>
        <w:rPr>
          <w:lang w:eastAsia="et-EE"/>
        </w:rPr>
      </w:pPr>
      <w:r w:rsidRPr="00C50854">
        <w:rPr>
          <w:lang w:eastAsia="et-EE"/>
        </w:rPr>
        <w:t>vertikaalne integratsioon.</w:t>
      </w:r>
    </w:p>
    <w:p w14:paraId="40399E68" w14:textId="77777777" w:rsidR="00976AEB" w:rsidRPr="00C50854" w:rsidRDefault="00976AEB" w:rsidP="00976AEB">
      <w:pPr>
        <w:suppressAutoHyphens w:val="0"/>
        <w:spacing w:before="120" w:after="120" w:line="276" w:lineRule="auto"/>
        <w:ind w:left="720"/>
        <w:rPr>
          <w:lang w:eastAsia="et-EE"/>
        </w:rPr>
      </w:pPr>
    </w:p>
    <w:p w14:paraId="1C16F360" w14:textId="16B6ED08" w:rsidR="00CC6E9A" w:rsidRPr="00C50854" w:rsidRDefault="003F3E40" w:rsidP="00FF7853">
      <w:pPr>
        <w:pStyle w:val="Pealkiri5"/>
        <w:rPr>
          <w:b w:val="0"/>
          <w:sz w:val="24"/>
          <w:szCs w:val="24"/>
        </w:rPr>
      </w:pPr>
      <w:bookmarkStart w:id="251" w:name="_Toc464639350"/>
      <w:bookmarkStart w:id="252" w:name="_Toc464639504"/>
      <w:r w:rsidRPr="00C50854">
        <w:rPr>
          <w:b w:val="0"/>
          <w:sz w:val="24"/>
          <w:szCs w:val="24"/>
        </w:rPr>
        <w:lastRenderedPageBreak/>
        <w:t>4.3.3.2.1. Pöördumatud kulud</w:t>
      </w:r>
      <w:bookmarkEnd w:id="251"/>
      <w:bookmarkEnd w:id="252"/>
    </w:p>
    <w:p w14:paraId="689ECF52" w14:textId="24A58299" w:rsidR="006A0058" w:rsidRPr="00C50854" w:rsidRDefault="003F3E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Üheks võimalikuks turule sisenemise tõkkeks on, </w:t>
      </w:r>
      <w:r w:rsidR="00060C84" w:rsidRPr="00C50854">
        <w:rPr>
          <w:lang w:eastAsia="et-EE"/>
        </w:rPr>
        <w:t>et</w:t>
      </w:r>
      <w:r w:rsidRPr="00C50854">
        <w:rPr>
          <w:lang w:eastAsia="et-EE"/>
        </w:rPr>
        <w:t xml:space="preserve"> turule sisenemine nõuab ettevõtjalt suuri ja pikaajalisi investeeringuid </w:t>
      </w:r>
      <w:r w:rsidR="00060C84" w:rsidRPr="00C50854">
        <w:rPr>
          <w:lang w:eastAsia="et-EE"/>
        </w:rPr>
        <w:t>sidevõrgu infrastruktuuri arendamiseks</w:t>
      </w:r>
      <w:r w:rsidRPr="00C50854">
        <w:rPr>
          <w:lang w:eastAsia="et-EE"/>
        </w:rPr>
        <w:t xml:space="preserve">. Piiritletud turul saab teenuseid osutada vaid sidevõrgu infrastruktuuri omav ettevõtja. Seega on </w:t>
      </w:r>
      <w:r w:rsidR="006A0058" w:rsidRPr="00C50854">
        <w:rPr>
          <w:lang w:eastAsia="et-EE"/>
        </w:rPr>
        <w:t xml:space="preserve">kohaliku </w:t>
      </w:r>
      <w:r w:rsidRPr="00C50854">
        <w:rPr>
          <w:lang w:eastAsia="et-EE"/>
        </w:rPr>
        <w:t>juurdepääsu hulgituru koosseisu kuuluvate hulgiteenuste pakkumise eelduseks oma elektroonilise sidevõrgu olemasolu ja tehniline valmisolek teenuste osutamiseks.</w:t>
      </w:r>
    </w:p>
    <w:p w14:paraId="7ADACCCC" w14:textId="5C322072" w:rsidR="003F3E40" w:rsidRPr="00C50854" w:rsidRDefault="003F3E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Kuna oma sidevõrgu rajamine nõuab ettevõtjalt suuri ja pikaajalisi investeeringuid, eksisteerivad asjakohasele turule sisenemisel kõrged sisenemistõkked, mis on seotud fikseeritud </w:t>
      </w:r>
      <w:r w:rsidR="00480E19" w:rsidRPr="00C50854">
        <w:rPr>
          <w:lang w:eastAsia="et-EE"/>
        </w:rPr>
        <w:t xml:space="preserve">sidevõrgus kohaliku </w:t>
      </w:r>
      <w:r w:rsidRPr="00C50854">
        <w:rPr>
          <w:lang w:eastAsia="et-EE"/>
        </w:rPr>
        <w:t xml:space="preserve">juurdepääsu hulgituru teenuste osutamiseks vajaliku infrastruktuuri rajamiseks vajalike investeeringutega. Selliseid kulusid võib lugeda pöördumatuteks kuludeks, kuna teatud juhtudel kaotatakse kuni 100% sellistest investeeringutest juhul, kui tekib olukord, kus teenuse pakkuja on sunnitud turult lahkuma. Eelkõige on raskused seotud juurdepääsuga finantsvahenditele, kuna suuremahuliste investeeringu katmiseks vajalikku </w:t>
      </w:r>
      <w:r w:rsidR="00060C84" w:rsidRPr="00C50854">
        <w:rPr>
          <w:lang w:eastAsia="et-EE"/>
        </w:rPr>
        <w:t xml:space="preserve">kapitali </w:t>
      </w:r>
      <w:r w:rsidRPr="00C50854">
        <w:rPr>
          <w:lang w:eastAsia="et-EE"/>
        </w:rPr>
        <w:t xml:space="preserve">saab </w:t>
      </w:r>
      <w:r w:rsidR="00060C84" w:rsidRPr="00C50854">
        <w:rPr>
          <w:lang w:eastAsia="et-EE"/>
        </w:rPr>
        <w:t>hankida</w:t>
      </w:r>
      <w:r w:rsidRPr="00C50854">
        <w:rPr>
          <w:lang w:eastAsia="et-EE"/>
        </w:rPr>
        <w:t xml:space="preserve"> vaid väga suur ja/või piisavat tagatist omav ettevõtja. Teiselt poolt on tehtud investeeringute tagasiteenimine riskantne eelkõige põhjusel</w:t>
      </w:r>
      <w:r w:rsidR="00593C00" w:rsidRPr="00C50854">
        <w:rPr>
          <w:lang w:eastAsia="et-EE"/>
        </w:rPr>
        <w:t>, et</w:t>
      </w:r>
      <w:r w:rsidR="006A0058" w:rsidRPr="00C50854">
        <w:rPr>
          <w:lang w:eastAsia="et-EE"/>
        </w:rPr>
        <w:t xml:space="preserve"> </w:t>
      </w:r>
      <w:r w:rsidRPr="00C50854">
        <w:rPr>
          <w:lang w:eastAsia="et-EE"/>
        </w:rPr>
        <w:t>Eesti elanikkonna vähesus ja madal asustustihedus maapiirkondades, mis muudab mitme paralleelse üleriigilise sidevõrgu infrastruktuuri väljaehitamise maapiirkondades majanduslikult ebaotstarbekaks, kuna investeeringute tagasiteenimise aeg läheks väga pikaks</w:t>
      </w:r>
      <w:r w:rsidR="006A0058" w:rsidRPr="00C50854">
        <w:rPr>
          <w:lang w:eastAsia="et-EE"/>
        </w:rPr>
        <w:t>.</w:t>
      </w:r>
    </w:p>
    <w:p w14:paraId="20478F8B" w14:textId="4C0674E1" w:rsidR="003F3E40" w:rsidRPr="00C50854" w:rsidRDefault="00593C00" w:rsidP="00311E1F">
      <w:pPr>
        <w:numPr>
          <w:ilvl w:val="0"/>
          <w:numId w:val="13"/>
        </w:numPr>
        <w:suppressAutoHyphens w:val="0"/>
        <w:autoSpaceDE w:val="0"/>
        <w:autoSpaceDN w:val="0"/>
        <w:adjustRightInd w:val="0"/>
        <w:spacing w:before="120" w:after="120"/>
        <w:jc w:val="both"/>
        <w:rPr>
          <w:lang w:eastAsia="et-EE"/>
        </w:rPr>
      </w:pPr>
      <w:r w:rsidRPr="00C50854">
        <w:rPr>
          <w:lang w:eastAsia="et-EE"/>
        </w:rPr>
        <w:t>Pöördumatud kulud</w:t>
      </w:r>
      <w:r w:rsidR="003F3E40" w:rsidRPr="00C50854">
        <w:rPr>
          <w:lang w:eastAsia="et-EE"/>
        </w:rPr>
        <w:t xml:space="preserve"> on seotud ka </w:t>
      </w:r>
      <w:r w:rsidRPr="00C50854">
        <w:rPr>
          <w:lang w:eastAsia="et-EE"/>
        </w:rPr>
        <w:t xml:space="preserve">sidevõrgu </w:t>
      </w:r>
      <w:r w:rsidR="003F3E40" w:rsidRPr="00C50854">
        <w:rPr>
          <w:lang w:eastAsia="et-EE"/>
        </w:rPr>
        <w:t>laien</w:t>
      </w:r>
      <w:r w:rsidR="00A93170" w:rsidRPr="00C50854">
        <w:rPr>
          <w:lang w:eastAsia="et-EE"/>
        </w:rPr>
        <w:t>da</w:t>
      </w:r>
      <w:r w:rsidR="003F3E40" w:rsidRPr="00C50854">
        <w:rPr>
          <w:lang w:eastAsia="et-EE"/>
        </w:rPr>
        <w:t>mise võimaluste</w:t>
      </w:r>
      <w:r w:rsidRPr="00C50854">
        <w:rPr>
          <w:lang w:eastAsia="et-EE"/>
        </w:rPr>
        <w:t>ga</w:t>
      </w:r>
      <w:r w:rsidR="003F3E40" w:rsidRPr="00C50854">
        <w:rPr>
          <w:lang w:eastAsia="et-EE"/>
        </w:rPr>
        <w:t>. Vt ka investeeringud sidevõrgu infrastruktuuri otsuse punktis 4.3.2.2.</w:t>
      </w:r>
    </w:p>
    <w:p w14:paraId="745A8FE0" w14:textId="1C724C9E" w:rsidR="003F3E40" w:rsidRPr="00C50854" w:rsidRDefault="003F3E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Samas vähendab </w:t>
      </w:r>
      <w:r w:rsidR="00A93170" w:rsidRPr="00C50854">
        <w:rPr>
          <w:lang w:eastAsia="et-EE"/>
        </w:rPr>
        <w:t>pöördumatute kulude</w:t>
      </w:r>
      <w:r w:rsidRPr="00C50854">
        <w:rPr>
          <w:lang w:eastAsia="et-EE"/>
        </w:rPr>
        <w:t xml:space="preserve"> osatähtsust</w:t>
      </w:r>
      <w:r w:rsidR="00A93170" w:rsidRPr="00C50854">
        <w:rPr>
          <w:lang w:eastAsia="et-EE"/>
        </w:rPr>
        <w:t xml:space="preserve"> struktuursete tõkete osas</w:t>
      </w:r>
      <w:r w:rsidRPr="00C50854">
        <w:rPr>
          <w:lang w:eastAsia="et-EE"/>
        </w:rPr>
        <w:t xml:space="preserve"> tehnoloogiline areng. Tehnoloogili</w:t>
      </w:r>
      <w:r w:rsidR="00A93170" w:rsidRPr="00C50854">
        <w:rPr>
          <w:lang w:eastAsia="et-EE"/>
        </w:rPr>
        <w:t>s</w:t>
      </w:r>
      <w:r w:rsidRPr="00C50854">
        <w:rPr>
          <w:lang w:eastAsia="et-EE"/>
        </w:rPr>
        <w:t>e</w:t>
      </w:r>
      <w:r w:rsidR="00A93170" w:rsidRPr="00C50854">
        <w:rPr>
          <w:lang w:eastAsia="et-EE"/>
        </w:rPr>
        <w:t xml:space="preserve"> arengu tulemus</w:t>
      </w:r>
      <w:r w:rsidR="00A21E71" w:rsidRPr="00C50854">
        <w:rPr>
          <w:lang w:eastAsia="et-EE"/>
        </w:rPr>
        <w:t>el</w:t>
      </w:r>
      <w:r w:rsidR="00A93170" w:rsidRPr="00C50854">
        <w:rPr>
          <w:lang w:eastAsia="et-EE"/>
        </w:rPr>
        <w:t xml:space="preserve"> võidakse</w:t>
      </w:r>
      <w:r w:rsidRPr="00C50854">
        <w:rPr>
          <w:lang w:eastAsia="et-EE"/>
        </w:rPr>
        <w:t xml:space="preserve"> turul kasutusel</w:t>
      </w:r>
      <w:r w:rsidR="00A93170" w:rsidRPr="00C50854">
        <w:rPr>
          <w:lang w:eastAsia="et-EE"/>
        </w:rPr>
        <w:t>e võtta</w:t>
      </w:r>
      <w:r w:rsidRPr="00C50854">
        <w:rPr>
          <w:lang w:eastAsia="et-EE"/>
        </w:rPr>
        <w:t xml:space="preserve"> uu</w:t>
      </w:r>
      <w:r w:rsidR="00A93170" w:rsidRPr="00C50854">
        <w:rPr>
          <w:lang w:eastAsia="et-EE"/>
        </w:rPr>
        <w:t>ed</w:t>
      </w:r>
      <w:r w:rsidRPr="00C50854">
        <w:rPr>
          <w:lang w:eastAsia="et-EE"/>
        </w:rPr>
        <w:t xml:space="preserve"> tehnoloogia</w:t>
      </w:r>
      <w:r w:rsidR="00A93170" w:rsidRPr="00C50854">
        <w:rPr>
          <w:lang w:eastAsia="et-EE"/>
        </w:rPr>
        <w:t>d</w:t>
      </w:r>
      <w:r w:rsidRPr="00C50854">
        <w:rPr>
          <w:lang w:eastAsia="et-EE"/>
        </w:rPr>
        <w:t>, mis võimalda</w:t>
      </w:r>
      <w:r w:rsidR="00A93170" w:rsidRPr="00C50854">
        <w:rPr>
          <w:lang w:eastAsia="et-EE"/>
        </w:rPr>
        <w:t>vad</w:t>
      </w:r>
      <w:r w:rsidRPr="00C50854">
        <w:rPr>
          <w:lang w:eastAsia="et-EE"/>
        </w:rPr>
        <w:t xml:space="preserve"> teenus</w:t>
      </w:r>
      <w:r w:rsidR="00A93170" w:rsidRPr="00C50854">
        <w:rPr>
          <w:lang w:eastAsia="et-EE"/>
        </w:rPr>
        <w:t>eid</w:t>
      </w:r>
      <w:r w:rsidRPr="00C50854">
        <w:rPr>
          <w:lang w:eastAsia="et-EE"/>
        </w:rPr>
        <w:t xml:space="preserve"> pakkuda odavamalt ja efektiivsemalt ning lõppkasutaja saab kasutada kaasaegsemat rohkemate võimalustega teenus</w:t>
      </w:r>
      <w:r w:rsidR="00501033" w:rsidRPr="00C50854">
        <w:rPr>
          <w:lang w:eastAsia="et-EE"/>
        </w:rPr>
        <w:t>eid</w:t>
      </w:r>
      <w:r w:rsidRPr="00C50854">
        <w:rPr>
          <w:lang w:eastAsia="et-EE"/>
        </w:rPr>
        <w:t xml:space="preserve">. Samas ei lange </w:t>
      </w:r>
      <w:r w:rsidR="00494B40" w:rsidRPr="00C50854">
        <w:rPr>
          <w:lang w:eastAsia="et-EE"/>
        </w:rPr>
        <w:t xml:space="preserve">kohaliku juurdepääsu hulgituru </w:t>
      </w:r>
      <w:r w:rsidRPr="00C50854">
        <w:rPr>
          <w:lang w:eastAsia="et-EE"/>
        </w:rPr>
        <w:t xml:space="preserve">teenuste osutamiseks vajaliku oma sidevõrgu väljaehitamise kulud </w:t>
      </w:r>
      <w:r w:rsidR="00A21E71" w:rsidRPr="00C50854">
        <w:rPr>
          <w:lang w:eastAsia="et-EE"/>
        </w:rPr>
        <w:t xml:space="preserve">tehnoloogilise arengu tõttu </w:t>
      </w:r>
      <w:r w:rsidRPr="00C50854">
        <w:rPr>
          <w:lang w:eastAsia="et-EE"/>
        </w:rPr>
        <w:t xml:space="preserve">kunagi tasemele, kus nende tegemine oleks ettevõtjale </w:t>
      </w:r>
      <w:r w:rsidR="00501033" w:rsidRPr="00C50854">
        <w:rPr>
          <w:lang w:eastAsia="et-EE"/>
        </w:rPr>
        <w:t>finantsiliselt vähe koormav</w:t>
      </w:r>
      <w:r w:rsidRPr="00C50854">
        <w:rPr>
          <w:lang w:eastAsia="et-EE"/>
        </w:rPr>
        <w:t>.</w:t>
      </w:r>
    </w:p>
    <w:p w14:paraId="514E700C" w14:textId="3E246602" w:rsidR="003F3E40" w:rsidRPr="00C50854" w:rsidRDefault="003F3E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Seega eksisteerivad uutele </w:t>
      </w:r>
      <w:r w:rsidR="006A0058" w:rsidRPr="00C50854">
        <w:rPr>
          <w:lang w:eastAsia="et-EE"/>
        </w:rPr>
        <w:t xml:space="preserve">kohaliku </w:t>
      </w:r>
      <w:r w:rsidRPr="00C50854">
        <w:rPr>
          <w:lang w:eastAsia="et-EE"/>
        </w:rPr>
        <w:t xml:space="preserve">juurdepääsu hulgiturule sisenejatele </w:t>
      </w:r>
      <w:r w:rsidR="001E225B" w:rsidRPr="00C50854">
        <w:rPr>
          <w:lang w:eastAsia="et-EE"/>
        </w:rPr>
        <w:t>pöördumatud kulud</w:t>
      </w:r>
      <w:r w:rsidRPr="00C50854">
        <w:rPr>
          <w:lang w:eastAsia="et-EE"/>
        </w:rPr>
        <w:t xml:space="preserve">, kuna nimetatud turu koosseisu kuuluvate hulgiteenuste osutamiseks on vajalikud </w:t>
      </w:r>
      <w:r w:rsidR="001E225B" w:rsidRPr="00C50854">
        <w:rPr>
          <w:lang w:eastAsia="et-EE"/>
        </w:rPr>
        <w:t xml:space="preserve">eelnevalt </w:t>
      </w:r>
      <w:r w:rsidRPr="00C50854">
        <w:rPr>
          <w:lang w:eastAsia="et-EE"/>
        </w:rPr>
        <w:t>suured investeeringud</w:t>
      </w:r>
      <w:r w:rsidR="001E225B" w:rsidRPr="00C50854">
        <w:rPr>
          <w:lang w:eastAsia="et-EE"/>
        </w:rPr>
        <w:t xml:space="preserve"> sidevõrgu infrastruktuuri arendamiseks</w:t>
      </w:r>
      <w:r w:rsidRPr="00C50854">
        <w:rPr>
          <w:lang w:eastAsia="et-EE"/>
        </w:rPr>
        <w:t>.</w:t>
      </w:r>
    </w:p>
    <w:p w14:paraId="06317CE6" w14:textId="77777777" w:rsidR="003F3E40" w:rsidRPr="00C50854" w:rsidRDefault="003F3E40" w:rsidP="00FF7853">
      <w:pPr>
        <w:pStyle w:val="Pealkiri5"/>
        <w:rPr>
          <w:b w:val="0"/>
          <w:sz w:val="24"/>
          <w:szCs w:val="24"/>
        </w:rPr>
      </w:pPr>
      <w:bookmarkStart w:id="253" w:name="_Toc464639351"/>
      <w:bookmarkStart w:id="254" w:name="_Toc464639505"/>
      <w:r w:rsidRPr="00C50854">
        <w:rPr>
          <w:b w:val="0"/>
          <w:sz w:val="24"/>
          <w:szCs w:val="24"/>
        </w:rPr>
        <w:t>4.3.3.2.3. Mastaabisääst</w:t>
      </w:r>
      <w:bookmarkEnd w:id="253"/>
      <w:bookmarkEnd w:id="254"/>
    </w:p>
    <w:p w14:paraId="33913D2D" w14:textId="02D99CF8" w:rsidR="003F3E40" w:rsidRPr="00C50854" w:rsidRDefault="003F3E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Kõrgeid struktuurseid tõkkeid võib vähendada mastaabisääst. Mastaabisääst on keskmise tootmiskulu alanemine toodangumahtude suurenemise tagajärjel. Tooteühiku kulud võivad alaneda tänu suurte sisendikoguste ostmisega kaasnevatele mahuallahindlustele, mis tõhustab tootmist.</w:t>
      </w:r>
    </w:p>
    <w:p w14:paraId="65E4B4F9" w14:textId="77777777" w:rsidR="003F3E40" w:rsidRPr="00C50854" w:rsidRDefault="003F3E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Majandusteooria kohaselt on mastaabisäästuga tegu juhul, kui väljundi kahekordistamisel kasvab väljundi mahu suurendamiseks tehtud kulu kahekordsest väiksemas määras. Arvesse tuleb võtta majanduses toimivat skeemi, mille juures toote/teenuse keskmised kulud vähenevad toodangu/teenuse mahu kasvades.</w:t>
      </w:r>
    </w:p>
    <w:p w14:paraId="11FF9531" w14:textId="04639FFC" w:rsidR="003F3E40" w:rsidRPr="00C50854" w:rsidRDefault="006313EB" w:rsidP="00311E1F">
      <w:pPr>
        <w:numPr>
          <w:ilvl w:val="0"/>
          <w:numId w:val="13"/>
        </w:numPr>
        <w:suppressAutoHyphens w:val="0"/>
        <w:autoSpaceDE w:val="0"/>
        <w:autoSpaceDN w:val="0"/>
        <w:adjustRightInd w:val="0"/>
        <w:spacing w:before="120" w:after="120"/>
        <w:jc w:val="both"/>
        <w:rPr>
          <w:lang w:eastAsia="et-EE"/>
        </w:rPr>
      </w:pPr>
      <w:r w:rsidRPr="00C50854">
        <w:rPr>
          <w:lang w:eastAsia="et-EE"/>
        </w:rPr>
        <w:t>Mastaabisäästu tõttu muutub</w:t>
      </w:r>
      <w:r w:rsidR="003F3E40" w:rsidRPr="00C50854">
        <w:rPr>
          <w:lang w:eastAsia="et-EE"/>
        </w:rPr>
        <w:t xml:space="preserve"> uue turule siseneva teenusepakkuja jaoks turu</w:t>
      </w:r>
      <w:r w:rsidRPr="00C50854">
        <w:rPr>
          <w:lang w:eastAsia="et-EE"/>
        </w:rPr>
        <w:t xml:space="preserve"> hõivamine</w:t>
      </w:r>
      <w:r w:rsidR="003F3E40" w:rsidRPr="00C50854">
        <w:rPr>
          <w:lang w:eastAsia="et-EE"/>
        </w:rPr>
        <w:t xml:space="preserve"> raskemaks, kuna turule sisenedes on ettevõtja teenuse osutamise mahud väikesed, kuid madalamad teenuse ühikukulud on seotud suurema teenuste osutamise mahuga. Seega eeldab turule edukas sisenemine </w:t>
      </w:r>
      <w:r w:rsidR="00CF7C76" w:rsidRPr="00C50854">
        <w:rPr>
          <w:lang w:eastAsia="et-EE"/>
        </w:rPr>
        <w:t xml:space="preserve">läbi mastaabisäästu saavutamise </w:t>
      </w:r>
      <w:r w:rsidR="003F3E40" w:rsidRPr="00C50854">
        <w:rPr>
          <w:lang w:eastAsia="et-EE"/>
        </w:rPr>
        <w:t>uutelt turule tulijatelt lõppkasutajate</w:t>
      </w:r>
      <w:r w:rsidRPr="00C50854">
        <w:rPr>
          <w:lang w:eastAsia="et-EE"/>
        </w:rPr>
        <w:t xml:space="preserve"> arvu kiiret kasvu</w:t>
      </w:r>
      <w:r w:rsidR="003F3E40" w:rsidRPr="00C50854">
        <w:rPr>
          <w:lang w:eastAsia="et-EE"/>
        </w:rPr>
        <w:t>. Samuti ei oma mastaabisäästu ettevõtjad, kes on küll turul juba pikemat aega olnud, kuid kelle turuosa ei ole arvestatava mastaabisäästu saavutamiseks piisavalt suur.</w:t>
      </w:r>
    </w:p>
    <w:p w14:paraId="150B3F63" w14:textId="09DEE329" w:rsidR="003F3E40" w:rsidRPr="00C50854" w:rsidRDefault="003F3E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Kuna väljaehitatud juurdepääsuvõrgu kasutuselevõtmine alandab kulusid ühe vaskpaari või </w:t>
      </w:r>
      <w:r w:rsidR="007738BC" w:rsidRPr="00C50854">
        <w:rPr>
          <w:lang w:eastAsia="et-EE"/>
        </w:rPr>
        <w:t>valgus</w:t>
      </w:r>
      <w:r w:rsidRPr="00C50854">
        <w:rPr>
          <w:lang w:eastAsia="et-EE"/>
        </w:rPr>
        <w:t xml:space="preserve">kaabli kohta, siis laiale hulgale lõppkasutajatele pakkuv ettevõte omab suurimat mastaabisäästu. Kuna teised turuanalüüsi kaasatud ettevõtjad ei oma laiaulatuslikku juurdepääsuvõrku, vaid nende juurdepääsuvõrgud on välja ehitatud piiratud hulgale </w:t>
      </w:r>
      <w:r w:rsidRPr="00C50854">
        <w:rPr>
          <w:lang w:eastAsia="et-EE"/>
        </w:rPr>
        <w:lastRenderedPageBreak/>
        <w:t xml:space="preserve">lõppkasutajatele, samuti on nad oma kogumahult väiksemad, ei ole neil </w:t>
      </w:r>
      <w:r w:rsidR="00F96A88" w:rsidRPr="00C50854">
        <w:rPr>
          <w:lang w:eastAsia="et-EE"/>
        </w:rPr>
        <w:t xml:space="preserve">Teliaga </w:t>
      </w:r>
      <w:r w:rsidRPr="00C50854">
        <w:rPr>
          <w:lang w:eastAsia="et-EE"/>
        </w:rPr>
        <w:t>sarnases ulatuses mastaabisäästu saavutamine piiritletud turul võimalik.</w:t>
      </w:r>
    </w:p>
    <w:p w14:paraId="6B8B707C" w14:textId="4B2BB5C7" w:rsidR="003F3E40" w:rsidRPr="00C50854" w:rsidRDefault="003F3E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Eeltoodu põhjal saab järeldada, et mastaabisäästu puudumine või väiksus on oluline sisenemistõke </w:t>
      </w:r>
      <w:r w:rsidR="006A0058" w:rsidRPr="00C50854">
        <w:rPr>
          <w:lang w:eastAsia="et-EE"/>
        </w:rPr>
        <w:t xml:space="preserve">kohaliku </w:t>
      </w:r>
      <w:r w:rsidRPr="00C50854">
        <w:rPr>
          <w:lang w:eastAsia="et-EE"/>
        </w:rPr>
        <w:t xml:space="preserve">juurdepääsu hulgiturul, kuna suuremahulisest teenuse osutamisest saadav kulude kokkuhoid annab tugeva konkurentsieelise turul tegutsevale suure turuosaga </w:t>
      </w:r>
      <w:r w:rsidR="00F96A88" w:rsidRPr="00C50854">
        <w:rPr>
          <w:lang w:eastAsia="et-EE"/>
        </w:rPr>
        <w:t xml:space="preserve">Teliale </w:t>
      </w:r>
      <w:r w:rsidRPr="00C50854">
        <w:rPr>
          <w:lang w:eastAsia="et-EE"/>
        </w:rPr>
        <w:t>turule sisenejate ja teiste turuanalüüsi kaasatud ettevõtjate ees.</w:t>
      </w:r>
    </w:p>
    <w:p w14:paraId="5F6735BD" w14:textId="77777777" w:rsidR="003F3E40" w:rsidRPr="00C50854" w:rsidRDefault="003F3E40" w:rsidP="00FF7853">
      <w:pPr>
        <w:pStyle w:val="Pealkiri5"/>
        <w:rPr>
          <w:b w:val="0"/>
          <w:sz w:val="24"/>
          <w:szCs w:val="24"/>
        </w:rPr>
      </w:pPr>
      <w:bookmarkStart w:id="255" w:name="_Toc464639352"/>
      <w:bookmarkStart w:id="256" w:name="_Toc464639506"/>
      <w:r w:rsidRPr="00C50854">
        <w:rPr>
          <w:b w:val="0"/>
          <w:sz w:val="24"/>
          <w:szCs w:val="24"/>
        </w:rPr>
        <w:t>4.3.3.2.4. Vertikaalne integratsioon</w:t>
      </w:r>
      <w:bookmarkEnd w:id="255"/>
      <w:bookmarkEnd w:id="256"/>
    </w:p>
    <w:p w14:paraId="158574B2" w14:textId="6AE2C22D" w:rsidR="003F3E40" w:rsidRPr="00C50854" w:rsidRDefault="003F3E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Ettevõtjat, kes omab üheaegselt teenuse osutamiseks vajalikku infrastruktuuri ja tegeleb nii toote/teenuse tootmise, turustamise kui ka müügiga nii hulgi kui jaeturul, saab lugeda vertikaalselt integreeritud ettevõtjaks. Eestis osutavad piiritletud turu koosseisu kuuluvaid hulgiteenuseid selleks vajalikku infrastruktuuri omavad ettevõtjad peamiselt enda tarbeks ning ei müü seda teenust edasi teistele teenuseosutajatele. Kuna jaeteenuseid osutatakse põhiliselt ettevõtjale kuuluva sidevõrgu infrastruktuuri vahendusel, (st ettevõttesiseselt osutatakse juurdepääsu hulgiteenust ettevõtja jaemüügiüksusele, eesmärgiga osutada jaeteenust lõppkasutajatele), on selliselt teenuseid osutavad ettevõtjad vertikaalselt integreeritud. Seega võib kõiki analüüsi kaasatud ettevõtja</w:t>
      </w:r>
      <w:r w:rsidR="007401FD" w:rsidRPr="00C50854">
        <w:rPr>
          <w:lang w:eastAsia="et-EE"/>
        </w:rPr>
        <w:t>i</w:t>
      </w:r>
      <w:r w:rsidRPr="00C50854">
        <w:rPr>
          <w:lang w:eastAsia="et-EE"/>
        </w:rPr>
        <w:t>d lugeda vertikaalselt integreeritud ettevõtjateks.</w:t>
      </w:r>
    </w:p>
    <w:p w14:paraId="3BDA8CC2" w14:textId="4C19B758" w:rsidR="003F3E40" w:rsidRPr="00C50854" w:rsidRDefault="003F3E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Turuanalüüsis käsitletavate ettevõtjate hulgast on </w:t>
      </w:r>
      <w:r w:rsidR="00F96A88" w:rsidRPr="00C50854">
        <w:rPr>
          <w:lang w:eastAsia="et-EE"/>
        </w:rPr>
        <w:t xml:space="preserve">Telia </w:t>
      </w:r>
      <w:r w:rsidRPr="00C50854">
        <w:rPr>
          <w:lang w:eastAsia="et-EE"/>
        </w:rPr>
        <w:t xml:space="preserve">vertikaalselt integreeritud elektroonilise side ettevõtja, kellel on kõige arenenum sidevõrk, mis katab kõiki võrgutasemeid, ning kellel on sellest tulenevalt võime iseendale kõige mitmekesisemalt vajalikke sisendteenuseid toota. On ilmne, et </w:t>
      </w:r>
      <w:r w:rsidR="00F96A88" w:rsidRPr="00C50854">
        <w:rPr>
          <w:lang w:eastAsia="et-EE"/>
        </w:rPr>
        <w:t xml:space="preserve">Telia </w:t>
      </w:r>
      <w:r w:rsidRPr="00C50854">
        <w:rPr>
          <w:lang w:eastAsia="et-EE"/>
        </w:rPr>
        <w:t>osutab laias valikus teenuseid nii jae- kui ka hulgitasemel</w:t>
      </w:r>
      <w:r w:rsidR="00E06B13" w:rsidRPr="00C50854">
        <w:rPr>
          <w:lang w:eastAsia="et-EE"/>
        </w:rPr>
        <w:t>,</w:t>
      </w:r>
      <w:r w:rsidRPr="00C50854">
        <w:rPr>
          <w:lang w:eastAsia="et-EE"/>
        </w:rPr>
        <w:t xml:space="preserve"> ükski tema konkurentidest ei suuda pakkuda sarnast laiaulatuslikku kombinatsiooni sideteenustest.</w:t>
      </w:r>
    </w:p>
    <w:p w14:paraId="4A56BBE1" w14:textId="46BD49D3" w:rsidR="003F3E40" w:rsidRPr="00C50854" w:rsidRDefault="003F3E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Vertikaalselt integreeritud ettevõtja puhul on võimalik, et teenusepakkuja turujõud hulgiturul kantakse üle jaeturule või vastupidi ning tekib nn hindade </w:t>
      </w:r>
      <w:proofErr w:type="spellStart"/>
      <w:r w:rsidRPr="00C50854">
        <w:rPr>
          <w:lang w:eastAsia="et-EE"/>
        </w:rPr>
        <w:t>kokkusurumine</w:t>
      </w:r>
      <w:proofErr w:type="spellEnd"/>
      <w:r w:rsidRPr="00C50854">
        <w:rPr>
          <w:lang w:eastAsia="et-EE"/>
        </w:rPr>
        <w:t xml:space="preserve"> kahe lähedalt seotud turu vahel. See aga takistab uute turule tulijate turule sisenemist. Juhul, kui teenuste pakkuja, kes on vertikaalselt integreeritud ettevõtja, on monopoolses seisundis ühel turul, saab ta mõjutada konkurentsiolukorda ka selle turuga lähedalt seotud turul, kus ta ei ole monopoolses seisundis. Selline tegevus on võimalik seeläbi, et piiratakse juurdepääsu monopoolselt osutatavatele teenustele või toimub teenuste subsideerimine monopoolse turu ja sellega lähedalt seotud turu vahel, kus toimib konkurents.</w:t>
      </w:r>
    </w:p>
    <w:p w14:paraId="7C727290" w14:textId="28AF3349" w:rsidR="003F3E40" w:rsidRPr="00C50854" w:rsidRDefault="003F3E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Vertikaalselt integreeritud ettevõtja võib oma turujõudu laiendada lähedalt seotud turgudele ka seeläbi, et säilitab ainu- või eelisjuurdepääsu oma müügi- ja hanketurgudele, kuhu ta oma konkurentidele juurdepääsu ei võimalda. See kehtib ka </w:t>
      </w:r>
      <w:r w:rsidR="00F96A88" w:rsidRPr="00C50854">
        <w:rPr>
          <w:lang w:eastAsia="et-EE"/>
        </w:rPr>
        <w:t xml:space="preserve">Telia </w:t>
      </w:r>
      <w:r w:rsidRPr="00C50854">
        <w:rPr>
          <w:lang w:eastAsia="et-EE"/>
        </w:rPr>
        <w:t xml:space="preserve">fikseeritud </w:t>
      </w:r>
      <w:r w:rsidR="0060472E" w:rsidRPr="00C50854">
        <w:rPr>
          <w:lang w:eastAsia="et-EE"/>
        </w:rPr>
        <w:t xml:space="preserve">sidevõrgus </w:t>
      </w:r>
      <w:r w:rsidR="00F96A88" w:rsidRPr="00C50854">
        <w:rPr>
          <w:lang w:eastAsia="et-EE"/>
        </w:rPr>
        <w:t>kohaliku</w:t>
      </w:r>
      <w:r w:rsidRPr="00C50854">
        <w:rPr>
          <w:lang w:eastAsia="et-EE"/>
        </w:rPr>
        <w:t xml:space="preserve"> juurdepääsu </w:t>
      </w:r>
      <w:r w:rsidR="0060472E" w:rsidRPr="00C50854">
        <w:rPr>
          <w:lang w:eastAsia="et-EE"/>
        </w:rPr>
        <w:t>hulgi</w:t>
      </w:r>
      <w:r w:rsidRPr="00C50854">
        <w:rPr>
          <w:lang w:eastAsia="et-EE"/>
        </w:rPr>
        <w:t xml:space="preserve">teenuse osutamise puhul. Nii </w:t>
      </w:r>
      <w:r w:rsidR="00F96A88" w:rsidRPr="00C50854">
        <w:rPr>
          <w:lang w:eastAsia="et-EE"/>
        </w:rPr>
        <w:t xml:space="preserve">kohaliku </w:t>
      </w:r>
      <w:r w:rsidRPr="00C50854">
        <w:rPr>
          <w:lang w:eastAsia="et-EE"/>
        </w:rPr>
        <w:t xml:space="preserve">juurdepääsu hulgituru kui ka sellega lähedalt seotud jaeturgude puhul on </w:t>
      </w:r>
      <w:r w:rsidR="00F96A88" w:rsidRPr="00C50854">
        <w:rPr>
          <w:lang w:eastAsia="et-EE"/>
        </w:rPr>
        <w:t xml:space="preserve">Telial </w:t>
      </w:r>
      <w:r w:rsidRPr="00C50854">
        <w:rPr>
          <w:lang w:eastAsia="et-EE"/>
        </w:rPr>
        <w:t xml:space="preserve">võrreldes konkurentidega ülimuslik turupositsioon. Seega väljendab </w:t>
      </w:r>
      <w:r w:rsidR="006A0058" w:rsidRPr="00C50854">
        <w:rPr>
          <w:lang w:eastAsia="et-EE"/>
        </w:rPr>
        <w:t xml:space="preserve">Telia </w:t>
      </w:r>
      <w:r w:rsidRPr="00C50854">
        <w:rPr>
          <w:lang w:eastAsia="et-EE"/>
        </w:rPr>
        <w:t>vertikaalne integratsioon koosmõjus tema omandis oleva sidevõrgu infrastruktuuri ulatuslikkusega tema suurt turujõudu.</w:t>
      </w:r>
    </w:p>
    <w:p w14:paraId="4DA1F79F" w14:textId="4BC3ABFF" w:rsidR="003F3E40" w:rsidRPr="00C50854" w:rsidRDefault="003F3E40" w:rsidP="00742F7D">
      <w:pPr>
        <w:rPr>
          <w:b/>
          <w:i/>
        </w:rPr>
      </w:pPr>
      <w:r w:rsidRPr="00C50854">
        <w:t xml:space="preserve"> </w:t>
      </w:r>
      <w:r w:rsidRPr="00C50854">
        <w:rPr>
          <w:b/>
        </w:rPr>
        <w:t>Kokkuvõte</w:t>
      </w:r>
    </w:p>
    <w:p w14:paraId="59A56B99" w14:textId="76A6DC21" w:rsidR="003F3E40" w:rsidRPr="00C50854" w:rsidRDefault="009E59AF" w:rsidP="00311E1F">
      <w:pPr>
        <w:numPr>
          <w:ilvl w:val="0"/>
          <w:numId w:val="13"/>
        </w:numPr>
        <w:suppressAutoHyphens w:val="0"/>
        <w:autoSpaceDE w:val="0"/>
        <w:autoSpaceDN w:val="0"/>
        <w:adjustRightInd w:val="0"/>
        <w:spacing w:before="120" w:after="120"/>
        <w:jc w:val="both"/>
        <w:rPr>
          <w:lang w:eastAsia="et-EE"/>
        </w:rPr>
      </w:pPr>
      <w:r w:rsidRPr="00C50854">
        <w:rPr>
          <w:lang w:eastAsia="et-EE"/>
        </w:rPr>
        <w:t>T</w:t>
      </w:r>
      <w:r w:rsidR="00F96A88" w:rsidRPr="00C50854">
        <w:rPr>
          <w:lang w:eastAsia="et-EE"/>
        </w:rPr>
        <w:t xml:space="preserve">TJA </w:t>
      </w:r>
      <w:r w:rsidR="003F3E40" w:rsidRPr="00C50854">
        <w:rPr>
          <w:lang w:eastAsia="et-EE"/>
        </w:rPr>
        <w:t>leiab, et piiritletud turul ei kujuta regulatiivsed tõkked endast sedavõrd kõrgeid sisenemistõkkeid, et need arvestataval määral takistaksid piiritletud turule sisenemist tervikuna. Samas peavad aga turule sisenejad arvestama kõrgete struktuursete sisenemistõketega pöördumatute kulude osas, mis on seotud turu koosseisu kuuluvate hulgiteenuste osutamiseks vajalike investeeringutega.</w:t>
      </w:r>
    </w:p>
    <w:p w14:paraId="1ED3EB6B" w14:textId="510B1270" w:rsidR="003F3E40" w:rsidRPr="00C50854" w:rsidRDefault="003F3E4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Samuti on </w:t>
      </w:r>
      <w:r w:rsidR="006B3819" w:rsidRPr="00C50854">
        <w:rPr>
          <w:lang w:eastAsia="et-EE"/>
        </w:rPr>
        <w:t xml:space="preserve">Telial </w:t>
      </w:r>
      <w:r w:rsidRPr="00C50854">
        <w:rPr>
          <w:lang w:eastAsia="et-EE"/>
        </w:rPr>
        <w:t>võimalik</w:t>
      </w:r>
      <w:r w:rsidR="006B3819" w:rsidRPr="00C50854">
        <w:rPr>
          <w:lang w:eastAsia="et-EE"/>
        </w:rPr>
        <w:t xml:space="preserve"> </w:t>
      </w:r>
      <w:r w:rsidR="00A21E71" w:rsidRPr="00C50854">
        <w:rPr>
          <w:lang w:eastAsia="et-EE"/>
        </w:rPr>
        <w:t>ulatuslikul</w:t>
      </w:r>
      <w:r w:rsidR="006B3819" w:rsidRPr="00C50854">
        <w:rPr>
          <w:lang w:eastAsia="et-EE"/>
        </w:rPr>
        <w:t xml:space="preserve"> infrastruktuuri </w:t>
      </w:r>
      <w:r w:rsidR="00EB2614" w:rsidRPr="00C50854">
        <w:rPr>
          <w:lang w:eastAsia="et-EE"/>
        </w:rPr>
        <w:t>ja</w:t>
      </w:r>
      <w:r w:rsidRPr="00C50854">
        <w:rPr>
          <w:lang w:eastAsia="et-EE"/>
        </w:rPr>
        <w:t xml:space="preserve"> </w:t>
      </w:r>
      <w:r w:rsidR="006B3819" w:rsidRPr="00C50854">
        <w:rPr>
          <w:lang w:eastAsia="et-EE"/>
        </w:rPr>
        <w:t xml:space="preserve">vertikaalse </w:t>
      </w:r>
      <w:r w:rsidRPr="00C50854">
        <w:rPr>
          <w:lang w:eastAsia="et-EE"/>
        </w:rPr>
        <w:t>integreeritu</w:t>
      </w:r>
      <w:r w:rsidR="00EB2614" w:rsidRPr="00C50854">
        <w:rPr>
          <w:lang w:eastAsia="et-EE"/>
        </w:rPr>
        <w:t>se tõttu</w:t>
      </w:r>
      <w:r w:rsidR="0060472E" w:rsidRPr="00C50854">
        <w:rPr>
          <w:lang w:eastAsia="et-EE"/>
        </w:rPr>
        <w:t xml:space="preserve"> </w:t>
      </w:r>
      <w:r w:rsidRPr="00C50854">
        <w:rPr>
          <w:lang w:eastAsia="et-EE"/>
        </w:rPr>
        <w:t>kan</w:t>
      </w:r>
      <w:r w:rsidR="00EB2614" w:rsidRPr="00C50854">
        <w:rPr>
          <w:lang w:eastAsia="et-EE"/>
        </w:rPr>
        <w:t>d</w:t>
      </w:r>
      <w:r w:rsidRPr="00C50854">
        <w:rPr>
          <w:lang w:eastAsia="et-EE"/>
        </w:rPr>
        <w:t>a</w:t>
      </w:r>
      <w:r w:rsidR="00EB2614" w:rsidRPr="00C50854">
        <w:rPr>
          <w:lang w:eastAsia="et-EE"/>
        </w:rPr>
        <w:t xml:space="preserve"> oma turujõud</w:t>
      </w:r>
      <w:r w:rsidRPr="00C50854">
        <w:rPr>
          <w:lang w:eastAsia="et-EE"/>
        </w:rPr>
        <w:t xml:space="preserve"> üle </w:t>
      </w:r>
      <w:proofErr w:type="spellStart"/>
      <w:r w:rsidR="00EB2614" w:rsidRPr="00C50854">
        <w:rPr>
          <w:lang w:eastAsia="et-EE"/>
        </w:rPr>
        <w:t>hulgiturult</w:t>
      </w:r>
      <w:proofErr w:type="spellEnd"/>
      <w:r w:rsidR="00EB2614" w:rsidRPr="00C50854">
        <w:rPr>
          <w:lang w:eastAsia="et-EE"/>
        </w:rPr>
        <w:t xml:space="preserve"> </w:t>
      </w:r>
      <w:r w:rsidRPr="00C50854">
        <w:rPr>
          <w:lang w:eastAsia="et-EE"/>
        </w:rPr>
        <w:t>jaeturule või vastupidi</w:t>
      </w:r>
      <w:r w:rsidR="00EB2614" w:rsidRPr="00C50854">
        <w:rPr>
          <w:lang w:eastAsia="et-EE"/>
        </w:rPr>
        <w:t>.</w:t>
      </w:r>
      <w:r w:rsidRPr="00C50854">
        <w:rPr>
          <w:lang w:eastAsia="et-EE"/>
        </w:rPr>
        <w:t xml:space="preserve"> </w:t>
      </w:r>
      <w:r w:rsidR="00EB2614" w:rsidRPr="00C50854">
        <w:rPr>
          <w:lang w:eastAsia="et-EE"/>
        </w:rPr>
        <w:t xml:space="preserve">Seega omab Telia </w:t>
      </w:r>
      <w:r w:rsidR="00A21E71" w:rsidRPr="00C50854">
        <w:rPr>
          <w:lang w:eastAsia="et-EE"/>
        </w:rPr>
        <w:t xml:space="preserve">ulatuslikust infrastruktuurist ja vertikaalsest integreeritusest tulenevalt </w:t>
      </w:r>
      <w:r w:rsidR="00EB2614" w:rsidRPr="00C50854">
        <w:rPr>
          <w:lang w:eastAsia="et-EE"/>
        </w:rPr>
        <w:t xml:space="preserve">võimet läbi juurdepääsust keeldumise ja/või </w:t>
      </w:r>
      <w:r w:rsidRPr="00C50854">
        <w:rPr>
          <w:lang w:eastAsia="et-EE"/>
        </w:rPr>
        <w:t>hindade kokku</w:t>
      </w:r>
      <w:r w:rsidR="0060472E" w:rsidRPr="00C50854">
        <w:rPr>
          <w:lang w:eastAsia="et-EE"/>
        </w:rPr>
        <w:t xml:space="preserve"> </w:t>
      </w:r>
      <w:r w:rsidRPr="00C50854">
        <w:rPr>
          <w:lang w:eastAsia="et-EE"/>
        </w:rPr>
        <w:t>surumise takistad</w:t>
      </w:r>
      <w:r w:rsidR="00EB2614" w:rsidRPr="00C50854">
        <w:rPr>
          <w:lang w:eastAsia="et-EE"/>
        </w:rPr>
        <w:t>a</w:t>
      </w:r>
      <w:r w:rsidRPr="00C50854">
        <w:rPr>
          <w:lang w:eastAsia="et-EE"/>
        </w:rPr>
        <w:t xml:space="preserve"> uute ettevõtjate turule sisenemine.</w:t>
      </w:r>
    </w:p>
    <w:p w14:paraId="42FB1EB8" w14:textId="58656209" w:rsidR="00067FAD" w:rsidRPr="00C50854" w:rsidRDefault="00067FAD" w:rsidP="00A32D26">
      <w:pPr>
        <w:pStyle w:val="Pealkiri2"/>
      </w:pPr>
      <w:bookmarkStart w:id="257" w:name="_Toc464639353"/>
      <w:bookmarkStart w:id="258" w:name="_Toc42072449"/>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C50854">
        <w:lastRenderedPageBreak/>
        <w:t>4.4. Tasakaalustav ost</w:t>
      </w:r>
      <w:r w:rsidR="002C14CD" w:rsidRPr="00C50854">
        <w:t>u</w:t>
      </w:r>
      <w:r w:rsidRPr="00C50854">
        <w:t xml:space="preserve">jõud </w:t>
      </w:r>
      <w:r w:rsidR="000F63F5" w:rsidRPr="00C50854">
        <w:t>kohaliku</w:t>
      </w:r>
      <w:r w:rsidRPr="00C50854">
        <w:t xml:space="preserve"> juurdepääsu hulgiturul</w:t>
      </w:r>
      <w:bookmarkEnd w:id="257"/>
      <w:bookmarkEnd w:id="258"/>
    </w:p>
    <w:p w14:paraId="36D6512F" w14:textId="77777777" w:rsidR="00067FAD" w:rsidRPr="00C50854" w:rsidRDefault="000A779B" w:rsidP="00311E1F">
      <w:pPr>
        <w:numPr>
          <w:ilvl w:val="0"/>
          <w:numId w:val="13"/>
        </w:numPr>
        <w:suppressAutoHyphens w:val="0"/>
        <w:autoSpaceDE w:val="0"/>
        <w:autoSpaceDN w:val="0"/>
        <w:adjustRightInd w:val="0"/>
        <w:spacing w:before="120" w:after="120"/>
        <w:jc w:val="both"/>
        <w:rPr>
          <w:lang w:eastAsia="et-EE"/>
        </w:rPr>
      </w:pPr>
      <w:r w:rsidRPr="00C50854">
        <w:rPr>
          <w:lang w:eastAsia="et-EE"/>
        </w:rPr>
        <w:t>Euroopa Kohtu konkurentsialase kohtupraktika</w:t>
      </w:r>
      <w:r w:rsidRPr="00C50854">
        <w:rPr>
          <w:vertAlign w:val="superscript"/>
          <w:lang w:eastAsia="et-EE"/>
        </w:rPr>
        <w:footnoteReference w:id="35"/>
      </w:r>
      <w:r w:rsidRPr="00C50854">
        <w:rPr>
          <w:lang w:eastAsia="et-EE"/>
        </w:rPr>
        <w:t xml:space="preserve"> kohaselt väljendab märkimisväärset </w:t>
      </w:r>
      <w:r w:rsidR="00067FAD" w:rsidRPr="00C50854">
        <w:rPr>
          <w:lang w:eastAsia="et-EE"/>
        </w:rPr>
        <w:t>turujõudu ettevõtja suutlikkus tegutseda turul märkimisväärsel määral sõltumatult konkurentidest, lepingupartneritest ja lõppkasutajatest. Ettevõtja suutlikkust turuosalistest sõltumatult käituda võib vähendada tasakaalustav ostja jõud (</w:t>
      </w:r>
      <w:proofErr w:type="spellStart"/>
      <w:r w:rsidR="00067FAD" w:rsidRPr="00C50854">
        <w:rPr>
          <w:i/>
          <w:lang w:eastAsia="et-EE"/>
        </w:rPr>
        <w:t>countervailing</w:t>
      </w:r>
      <w:proofErr w:type="spellEnd"/>
      <w:r w:rsidR="00067FAD" w:rsidRPr="00C50854">
        <w:rPr>
          <w:i/>
          <w:lang w:eastAsia="et-EE"/>
        </w:rPr>
        <w:t xml:space="preserve"> </w:t>
      </w:r>
      <w:proofErr w:type="spellStart"/>
      <w:r w:rsidR="00067FAD" w:rsidRPr="00C50854">
        <w:rPr>
          <w:i/>
          <w:lang w:eastAsia="et-EE"/>
        </w:rPr>
        <w:t>buyer</w:t>
      </w:r>
      <w:proofErr w:type="spellEnd"/>
      <w:r w:rsidR="00067FAD" w:rsidRPr="00C50854">
        <w:rPr>
          <w:i/>
          <w:lang w:eastAsia="et-EE"/>
        </w:rPr>
        <w:t xml:space="preserve"> </w:t>
      </w:r>
      <w:proofErr w:type="spellStart"/>
      <w:r w:rsidR="00067FAD" w:rsidRPr="00C50854">
        <w:rPr>
          <w:i/>
          <w:lang w:eastAsia="et-EE"/>
        </w:rPr>
        <w:t>power</w:t>
      </w:r>
      <w:proofErr w:type="spellEnd"/>
      <w:r w:rsidR="00067FAD" w:rsidRPr="00C50854">
        <w:rPr>
          <w:lang w:eastAsia="et-EE"/>
        </w:rPr>
        <w:t>), mis põhimõtteliselt kujutab endast kliendi läbirääkimise jõudu vahetult teenuse või toote pakkujaga. Selline jõud ilmneb siis, kui kliendil on märkimisväärne mõju teenuseosutaja hinnakujunduslikule käitumisele või kui klient takistab teenuseosutajat tegutsemast temast märkimisväärses ulatuses sõltumatult.</w:t>
      </w:r>
    </w:p>
    <w:p w14:paraId="56F557D5" w14:textId="77777777" w:rsidR="00067FAD" w:rsidRPr="00C50854" w:rsidRDefault="00067FAD" w:rsidP="00311E1F">
      <w:pPr>
        <w:numPr>
          <w:ilvl w:val="0"/>
          <w:numId w:val="13"/>
        </w:numPr>
        <w:suppressAutoHyphens w:val="0"/>
        <w:autoSpaceDE w:val="0"/>
        <w:autoSpaceDN w:val="0"/>
        <w:adjustRightInd w:val="0"/>
        <w:spacing w:before="120" w:after="120"/>
        <w:jc w:val="both"/>
        <w:rPr>
          <w:lang w:eastAsia="et-EE"/>
        </w:rPr>
      </w:pPr>
      <w:r w:rsidRPr="00C50854">
        <w:rPr>
          <w:lang w:eastAsia="et-EE"/>
        </w:rPr>
        <w:t>Tasakaalustava ostja jõu olemasolu ja ulatust on asjakohane ja oluline käsitleda juhtudel, kui on tegemist kõrge kontsentratsiooniga turgudega, ja eriti juhtudel, kui teenuseosutaja on monopoolses seisus.</w:t>
      </w:r>
    </w:p>
    <w:p w14:paraId="1D376577" w14:textId="77777777" w:rsidR="00067FAD" w:rsidRPr="00C50854" w:rsidRDefault="00067FAD" w:rsidP="00311E1F">
      <w:pPr>
        <w:numPr>
          <w:ilvl w:val="0"/>
          <w:numId w:val="13"/>
        </w:numPr>
        <w:suppressAutoHyphens w:val="0"/>
        <w:autoSpaceDE w:val="0"/>
        <w:autoSpaceDN w:val="0"/>
        <w:adjustRightInd w:val="0"/>
        <w:spacing w:before="120" w:after="120"/>
        <w:jc w:val="both"/>
        <w:rPr>
          <w:lang w:eastAsia="et-EE"/>
        </w:rPr>
      </w:pPr>
      <w:r w:rsidRPr="00C50854">
        <w:rPr>
          <w:lang w:eastAsia="et-EE"/>
        </w:rPr>
        <w:t>Üldtunnustatud majandusteooria kohaselt on ratsionaalselt tegutseva monopolisti eesmärk maksimeerida oma kasumit, määrates teenustele ja toodetele monopoolsed hinnad. Tavaliselt järgneb sellisele käitumisele ebapiisav tootlikkus, ülemäärased hinnad ja seega ka heaolu langus.</w:t>
      </w:r>
    </w:p>
    <w:p w14:paraId="713C4CF6" w14:textId="07BCFD20" w:rsidR="00067FAD" w:rsidRPr="00C50854" w:rsidRDefault="00067FAD"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Juurdepääsu sidevõrgu osas omab </w:t>
      </w:r>
      <w:r w:rsidR="00F96A88" w:rsidRPr="00C50854">
        <w:rPr>
          <w:lang w:eastAsia="et-EE"/>
        </w:rPr>
        <w:t xml:space="preserve">Telia </w:t>
      </w:r>
      <w:r w:rsidRPr="00C50854">
        <w:rPr>
          <w:lang w:eastAsia="et-EE"/>
        </w:rPr>
        <w:t xml:space="preserve">ligikaudu </w:t>
      </w:r>
      <w:r w:rsidR="009E59AF" w:rsidRPr="00C50854">
        <w:rPr>
          <w:lang w:eastAsia="et-EE"/>
        </w:rPr>
        <w:t>81</w:t>
      </w:r>
      <w:r w:rsidRPr="00C50854">
        <w:rPr>
          <w:lang w:eastAsia="et-EE"/>
        </w:rPr>
        <w:t xml:space="preserve">% väljaehitatud kliendiliinidest, mille kaudu on võimalik </w:t>
      </w:r>
      <w:r w:rsidR="006A0058" w:rsidRPr="00C50854">
        <w:rPr>
          <w:lang w:eastAsia="et-EE"/>
        </w:rPr>
        <w:t xml:space="preserve">kohaliku </w:t>
      </w:r>
      <w:r w:rsidRPr="00C50854">
        <w:rPr>
          <w:lang w:eastAsia="et-EE"/>
        </w:rPr>
        <w:t xml:space="preserve">juurdepääsu hulgiturul teenuseid osutada. </w:t>
      </w:r>
      <w:r w:rsidR="009E59AF" w:rsidRPr="00C50854">
        <w:rPr>
          <w:lang w:eastAsia="et-EE"/>
        </w:rPr>
        <w:t>T</w:t>
      </w:r>
      <w:r w:rsidR="00F96A88" w:rsidRPr="00C50854">
        <w:rPr>
          <w:lang w:eastAsia="et-EE"/>
        </w:rPr>
        <w:t xml:space="preserve">TJA </w:t>
      </w:r>
      <w:r w:rsidRPr="00C50854">
        <w:rPr>
          <w:lang w:eastAsia="et-EE"/>
        </w:rPr>
        <w:t xml:space="preserve">hinnangul ei oma ükski </w:t>
      </w:r>
      <w:r w:rsidR="00F96A88" w:rsidRPr="00C50854">
        <w:rPr>
          <w:lang w:eastAsia="et-EE"/>
        </w:rPr>
        <w:t xml:space="preserve">kohaliku </w:t>
      </w:r>
      <w:r w:rsidRPr="00C50854">
        <w:rPr>
          <w:lang w:eastAsia="et-EE"/>
        </w:rPr>
        <w:t xml:space="preserve">juurdepääsu hulgiturul pakutavaid teenuseid tarbiv ettevõtja märkimisväärset mõju </w:t>
      </w:r>
      <w:r w:rsidR="00F96A88" w:rsidRPr="00C50854">
        <w:rPr>
          <w:lang w:eastAsia="et-EE"/>
        </w:rPr>
        <w:t xml:space="preserve">Telia kohaliku </w:t>
      </w:r>
      <w:r w:rsidRPr="00C50854">
        <w:rPr>
          <w:lang w:eastAsia="et-EE"/>
        </w:rPr>
        <w:t>juurdepääsu hulgituru koosseisu kuuluvate hulgiteenuste hinnakujunduslikule käitumisele, kuna puuduvad võimalused samaväärsete alternatiivsete juurdepääsu hulgiteenuste tarbimiseks.</w:t>
      </w:r>
    </w:p>
    <w:p w14:paraId="31616531" w14:textId="66C60AC0" w:rsidR="00067FAD" w:rsidRPr="00C50854" w:rsidRDefault="00067FAD"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Klientide poolse mõju puudumine </w:t>
      </w:r>
      <w:r w:rsidR="00F96A88" w:rsidRPr="00C50854">
        <w:rPr>
          <w:lang w:eastAsia="et-EE"/>
        </w:rPr>
        <w:t xml:space="preserve">Telia </w:t>
      </w:r>
      <w:r w:rsidRPr="00C50854">
        <w:rPr>
          <w:lang w:eastAsia="et-EE"/>
        </w:rPr>
        <w:t xml:space="preserve">hinnakujunduslikule käitumisele </w:t>
      </w:r>
      <w:r w:rsidR="00F96A88" w:rsidRPr="00C50854">
        <w:rPr>
          <w:lang w:eastAsia="et-EE"/>
        </w:rPr>
        <w:t xml:space="preserve">kohaliku </w:t>
      </w:r>
      <w:r w:rsidRPr="00C50854">
        <w:rPr>
          <w:lang w:eastAsia="et-EE"/>
        </w:rPr>
        <w:t xml:space="preserve">juurdepääsu hulgiturul tuleneb sellest, et kliendid ei oma ülevaadet selle kohta, kas temale osutatavaid jaeteenuseid osutav teenuseosutaja kasutab jaeteenuste osutamiseks oma sidevõrku või osutab teenust teiselt sideettevõtjalt renditud sidevõrgu vahendusel. Lisaks eelnevale ei pruugi sidevõrgule </w:t>
      </w:r>
      <w:proofErr w:type="spellStart"/>
      <w:r w:rsidRPr="00C50854">
        <w:rPr>
          <w:lang w:eastAsia="et-EE"/>
        </w:rPr>
        <w:t>jaeteenusena</w:t>
      </w:r>
      <w:proofErr w:type="spellEnd"/>
      <w:r w:rsidRPr="00C50854">
        <w:rPr>
          <w:lang w:eastAsia="et-EE"/>
        </w:rPr>
        <w:t xml:space="preserve"> osutatava juurdepääsuteenuse hinnad olla jäigalt sõltuvuses juurdepääsuteenuse hulgihindadest kuna jaeteenuse turgu ei reguleerita ja sellel turul ei rakendata hinnaregulatsiooni. Seega võivad ettevõtjad lähtuvalt oma jaeteenuste osutamise poliitikast jaehinda</w:t>
      </w:r>
      <w:r w:rsidR="009E52F2" w:rsidRPr="00C50854">
        <w:rPr>
          <w:lang w:eastAsia="et-EE"/>
        </w:rPr>
        <w:t>si</w:t>
      </w:r>
      <w:r w:rsidRPr="00C50854">
        <w:rPr>
          <w:lang w:eastAsia="et-EE"/>
        </w:rPr>
        <w:t>d varieerida. Seetõttu ei saa ka jaeteenuseid tarbivad kliendid oma käitumisega mõjutada hulgiteenuse hindasid.</w:t>
      </w:r>
    </w:p>
    <w:p w14:paraId="0073CAF7" w14:textId="14F3C9A6" w:rsidR="00067FAD" w:rsidRPr="00C50854" w:rsidRDefault="00067FAD"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Teised käesolevas turuanalüüsis käsitletavad sideettevõtjad omavad võrreldes </w:t>
      </w:r>
      <w:r w:rsidR="00F96A88" w:rsidRPr="00C50854">
        <w:rPr>
          <w:lang w:eastAsia="et-EE"/>
        </w:rPr>
        <w:t xml:space="preserve">Teliaga </w:t>
      </w:r>
      <w:r w:rsidRPr="00C50854">
        <w:rPr>
          <w:lang w:eastAsia="et-EE"/>
        </w:rPr>
        <w:t xml:space="preserve">tunduvalt väiksemat arvu juurdepääsuvõrgu kliendiliine (vt punkti 4.3.2.1.) ja nende juurdepääsuvõrkude leviala on suhteliselt piiratud (linnad ja teised suuremad asulad). Sellest tulenevalt ei saa nad tegutseda konkurentidest ja klientidest märkimisväärses ulatuses sõltumatult, kuna klientidel on võimalus kasutada </w:t>
      </w:r>
      <w:r w:rsidR="00F96A88" w:rsidRPr="00C50854">
        <w:rPr>
          <w:lang w:eastAsia="et-EE"/>
        </w:rPr>
        <w:t xml:space="preserve">Telia </w:t>
      </w:r>
      <w:r w:rsidRPr="00C50854">
        <w:rPr>
          <w:lang w:eastAsia="et-EE"/>
        </w:rPr>
        <w:t>(kes omab kõige laiaulatuslikumat vaskpaaridel ja valguskaablitel põhinevat juurdepääsuvõrku) poolt pakutavat samaväärset hulgiteenust.</w:t>
      </w:r>
    </w:p>
    <w:p w14:paraId="753E281D" w14:textId="618EDA5B" w:rsidR="00067FAD" w:rsidRPr="00C50854" w:rsidRDefault="00067FAD"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Eeltoodust tulenevalt puudub </w:t>
      </w:r>
      <w:r w:rsidR="00F96A88" w:rsidRPr="00C50854">
        <w:rPr>
          <w:lang w:eastAsia="et-EE"/>
        </w:rPr>
        <w:t xml:space="preserve">Telia </w:t>
      </w:r>
      <w:r w:rsidRPr="00C50854">
        <w:rPr>
          <w:lang w:eastAsia="et-EE"/>
        </w:rPr>
        <w:t xml:space="preserve">poolt pakutavaid </w:t>
      </w:r>
      <w:r w:rsidR="006A0058" w:rsidRPr="00C50854">
        <w:rPr>
          <w:lang w:eastAsia="et-EE"/>
        </w:rPr>
        <w:t xml:space="preserve">kohaliku </w:t>
      </w:r>
      <w:r w:rsidRPr="00C50854">
        <w:rPr>
          <w:lang w:eastAsia="et-EE"/>
        </w:rPr>
        <w:t xml:space="preserve">juurdepääsu hulgituru teenuseid kasutavatel ettevõtjatel tasakaalustav ostja jõud </w:t>
      </w:r>
      <w:r w:rsidR="00F96A88" w:rsidRPr="00C50854">
        <w:rPr>
          <w:lang w:eastAsia="et-EE"/>
        </w:rPr>
        <w:t xml:space="preserve">Telia </w:t>
      </w:r>
      <w:r w:rsidRPr="00C50854">
        <w:rPr>
          <w:lang w:eastAsia="et-EE"/>
        </w:rPr>
        <w:t xml:space="preserve">hinnakujunduslikule käitumisele. Teised </w:t>
      </w:r>
      <w:r w:rsidR="00F96A88" w:rsidRPr="00C50854">
        <w:rPr>
          <w:lang w:eastAsia="et-EE"/>
        </w:rPr>
        <w:t xml:space="preserve">kohaliku </w:t>
      </w:r>
      <w:r w:rsidRPr="00C50854">
        <w:rPr>
          <w:lang w:eastAsia="et-EE"/>
        </w:rPr>
        <w:t>juurdepääsu hulgiturul konkureerivad ettevõtjad on ostjate käitumisest sõltuvad ja nende kliendid omavad teatavat mõju hinnakujunduslikule käitumisele.</w:t>
      </w:r>
    </w:p>
    <w:p w14:paraId="1517B554" w14:textId="77777777" w:rsidR="003B540B" w:rsidRPr="00C50854" w:rsidRDefault="003B540B" w:rsidP="00311E1F">
      <w:pPr>
        <w:pStyle w:val="Pealkiri1"/>
      </w:pPr>
      <w:bookmarkStart w:id="259" w:name="_Toc464639354"/>
      <w:bookmarkStart w:id="260" w:name="_Toc42072450"/>
      <w:bookmarkStart w:id="261" w:name="_Toc212974426"/>
      <w:bookmarkStart w:id="262" w:name="_Toc213122154"/>
      <w:bookmarkStart w:id="263" w:name="_Toc213140775"/>
      <w:bookmarkStart w:id="264" w:name="_Toc215466500"/>
      <w:bookmarkStart w:id="265" w:name="_Toc216228053"/>
      <w:r w:rsidRPr="00C50854">
        <w:lastRenderedPageBreak/>
        <w:t xml:space="preserve">5. MÄRKIMISVÄÄRSE TURUJÕUGA </w:t>
      </w:r>
      <w:r w:rsidR="000A5E7A" w:rsidRPr="00C50854">
        <w:t xml:space="preserve"> </w:t>
      </w:r>
      <w:r w:rsidR="001D5DE9" w:rsidRPr="00C50854">
        <w:t>ETTEVÕTJAKS TUNNISTAMINE</w:t>
      </w:r>
      <w:bookmarkEnd w:id="259"/>
      <w:bookmarkEnd w:id="260"/>
      <w:r w:rsidR="001D5DE9" w:rsidRPr="00C50854">
        <w:t xml:space="preserve"> </w:t>
      </w:r>
      <w:bookmarkEnd w:id="261"/>
      <w:bookmarkEnd w:id="262"/>
      <w:bookmarkEnd w:id="263"/>
      <w:bookmarkEnd w:id="264"/>
      <w:bookmarkEnd w:id="265"/>
    </w:p>
    <w:p w14:paraId="49941A47" w14:textId="568FA717" w:rsidR="005B5369" w:rsidRPr="00C50854" w:rsidRDefault="005B5369" w:rsidP="00311E1F">
      <w:pPr>
        <w:numPr>
          <w:ilvl w:val="0"/>
          <w:numId w:val="13"/>
        </w:numPr>
        <w:suppressAutoHyphens w:val="0"/>
        <w:autoSpaceDE w:val="0"/>
        <w:autoSpaceDN w:val="0"/>
        <w:adjustRightInd w:val="0"/>
        <w:spacing w:before="120" w:after="120"/>
        <w:jc w:val="both"/>
        <w:rPr>
          <w:lang w:eastAsia="et-EE"/>
        </w:rPr>
      </w:pPr>
      <w:bookmarkStart w:id="266" w:name="_Toc212974427"/>
      <w:bookmarkStart w:id="267" w:name="_Toc213122155"/>
      <w:bookmarkStart w:id="268" w:name="_Toc213140776"/>
      <w:bookmarkStart w:id="269" w:name="_Toc215466501"/>
      <w:bookmarkStart w:id="270" w:name="_Toc216228054"/>
      <w:r w:rsidRPr="00C50854">
        <w:rPr>
          <w:lang w:eastAsia="et-EE"/>
        </w:rPr>
        <w:t xml:space="preserve">Eelmises peatükis välja toodud asjaolud väljendavad selgelt, et piiritletud sideturul konkurents ei toimi ning turuanalüüsi kaasatud sideettevõtja </w:t>
      </w:r>
      <w:r w:rsidR="006A0058" w:rsidRPr="00C50854">
        <w:rPr>
          <w:lang w:eastAsia="et-EE"/>
        </w:rPr>
        <w:t xml:space="preserve">Telia </w:t>
      </w:r>
      <w:r w:rsidRPr="00C50854">
        <w:rPr>
          <w:lang w:eastAsia="et-EE"/>
        </w:rPr>
        <w:t xml:space="preserve">omab märkimisväärset turujõudu </w:t>
      </w:r>
      <w:r w:rsidR="00E66931" w:rsidRPr="00C50854">
        <w:rPr>
          <w:lang w:eastAsia="et-EE"/>
        </w:rPr>
        <w:t>kindlaksmääratud asukohas kohaliku juurdepääsu hulgiturul</w:t>
      </w:r>
      <w:r w:rsidRPr="00C50854">
        <w:rPr>
          <w:lang w:eastAsia="et-EE"/>
        </w:rPr>
        <w:t>.</w:t>
      </w:r>
    </w:p>
    <w:p w14:paraId="70CD15FF" w14:textId="77777777" w:rsidR="005B5369" w:rsidRPr="00C50854" w:rsidRDefault="005B5369" w:rsidP="00311E1F">
      <w:pPr>
        <w:numPr>
          <w:ilvl w:val="0"/>
          <w:numId w:val="13"/>
        </w:numPr>
        <w:suppressAutoHyphens w:val="0"/>
        <w:autoSpaceDE w:val="0"/>
        <w:autoSpaceDN w:val="0"/>
        <w:adjustRightInd w:val="0"/>
        <w:spacing w:before="120" w:after="120"/>
        <w:jc w:val="both"/>
        <w:rPr>
          <w:lang w:eastAsia="et-EE"/>
        </w:rPr>
      </w:pPr>
      <w:r w:rsidRPr="00C50854">
        <w:rPr>
          <w:lang w:eastAsia="et-EE"/>
        </w:rPr>
        <w:t>Piiritletud turul turuanalüüsi käigus tuvastatud asjaolud, millest selgub, et nimetatud ettevõtja omab märkimisväärset turujõudu asjakohasel turul, on järgmised:</w:t>
      </w:r>
    </w:p>
    <w:p w14:paraId="06D1CBEE" w14:textId="15D69252" w:rsidR="005B5369" w:rsidRPr="00C50854" w:rsidRDefault="00A75A38" w:rsidP="00BE48A9">
      <w:pPr>
        <w:numPr>
          <w:ilvl w:val="0"/>
          <w:numId w:val="8"/>
        </w:numPr>
        <w:suppressAutoHyphens w:val="0"/>
        <w:spacing w:before="120" w:after="120"/>
        <w:ind w:left="1191" w:hanging="567"/>
        <w:jc w:val="both"/>
        <w:rPr>
          <w:lang w:eastAsia="et-EE"/>
        </w:rPr>
      </w:pPr>
      <w:r w:rsidRPr="00C50854">
        <w:rPr>
          <w:lang w:eastAsia="et-EE"/>
        </w:rPr>
        <w:t xml:space="preserve">Telia </w:t>
      </w:r>
      <w:r w:rsidR="005B5369" w:rsidRPr="00C50854">
        <w:rPr>
          <w:lang w:eastAsia="et-EE"/>
        </w:rPr>
        <w:t xml:space="preserve">domineeriv turuosa fikseeritud </w:t>
      </w:r>
      <w:r w:rsidR="0087626E" w:rsidRPr="00C50854">
        <w:rPr>
          <w:lang w:eastAsia="et-EE"/>
        </w:rPr>
        <w:t xml:space="preserve">sidevõrgus kohaliku </w:t>
      </w:r>
      <w:r w:rsidR="005B5369" w:rsidRPr="00C50854">
        <w:rPr>
          <w:lang w:eastAsia="et-EE"/>
        </w:rPr>
        <w:t>juurdepääsu hulgiturul;</w:t>
      </w:r>
    </w:p>
    <w:p w14:paraId="39891957" w14:textId="27B35997" w:rsidR="005B5369" w:rsidRPr="00C50854" w:rsidRDefault="00A75A38" w:rsidP="00BE48A9">
      <w:pPr>
        <w:numPr>
          <w:ilvl w:val="0"/>
          <w:numId w:val="8"/>
        </w:numPr>
        <w:suppressAutoHyphens w:val="0"/>
        <w:spacing w:before="120" w:after="120"/>
        <w:ind w:left="1191" w:hanging="567"/>
        <w:jc w:val="both"/>
        <w:rPr>
          <w:lang w:eastAsia="et-EE"/>
        </w:rPr>
      </w:pPr>
      <w:r w:rsidRPr="00C50854">
        <w:rPr>
          <w:lang w:eastAsia="et-EE"/>
        </w:rPr>
        <w:t>Telia</w:t>
      </w:r>
      <w:r w:rsidR="005B5369" w:rsidRPr="00C50854">
        <w:rPr>
          <w:lang w:eastAsia="et-EE"/>
        </w:rPr>
        <w:t xml:space="preserve"> suur turuosa fikseeritud </w:t>
      </w:r>
      <w:r w:rsidR="0087626E" w:rsidRPr="00C50854">
        <w:rPr>
          <w:lang w:eastAsia="et-EE"/>
        </w:rPr>
        <w:t xml:space="preserve">sidevõrgus kohaliku </w:t>
      </w:r>
      <w:r w:rsidR="005B5369" w:rsidRPr="00C50854">
        <w:rPr>
          <w:lang w:eastAsia="et-EE"/>
        </w:rPr>
        <w:t>juurdepääsu hulgituruga vertikaalselt allapoole seotud jaeturul;</w:t>
      </w:r>
    </w:p>
    <w:p w14:paraId="5B9DFB11" w14:textId="341A6EF4" w:rsidR="005B5369" w:rsidRPr="00C50854" w:rsidRDefault="00A75A38" w:rsidP="00BE48A9">
      <w:pPr>
        <w:numPr>
          <w:ilvl w:val="0"/>
          <w:numId w:val="8"/>
        </w:numPr>
        <w:suppressAutoHyphens w:val="0"/>
        <w:spacing w:before="120" w:after="120"/>
        <w:ind w:left="1191" w:hanging="567"/>
        <w:jc w:val="both"/>
        <w:rPr>
          <w:lang w:eastAsia="et-EE"/>
        </w:rPr>
      </w:pPr>
      <w:r w:rsidRPr="00C50854">
        <w:rPr>
          <w:lang w:eastAsia="et-EE"/>
        </w:rPr>
        <w:t>Telia</w:t>
      </w:r>
      <w:r w:rsidR="005B5369" w:rsidRPr="00C50854">
        <w:rPr>
          <w:lang w:eastAsia="et-EE"/>
        </w:rPr>
        <w:t xml:space="preserve"> laialdane infrastruktuur, mida on raske dubleerida;</w:t>
      </w:r>
    </w:p>
    <w:p w14:paraId="56B59A8F" w14:textId="4D669BA5" w:rsidR="005B5369" w:rsidRPr="00C50854" w:rsidRDefault="00A75A38" w:rsidP="00BE48A9">
      <w:pPr>
        <w:numPr>
          <w:ilvl w:val="0"/>
          <w:numId w:val="8"/>
        </w:numPr>
        <w:suppressAutoHyphens w:val="0"/>
        <w:spacing w:before="120" w:after="120"/>
        <w:ind w:left="1191" w:hanging="567"/>
        <w:jc w:val="both"/>
        <w:rPr>
          <w:lang w:eastAsia="et-EE"/>
        </w:rPr>
      </w:pPr>
      <w:r w:rsidRPr="00C50854">
        <w:rPr>
          <w:lang w:eastAsia="et-EE"/>
        </w:rPr>
        <w:t>Telia</w:t>
      </w:r>
      <w:r w:rsidR="005B5369" w:rsidRPr="00C50854">
        <w:rPr>
          <w:lang w:eastAsia="et-EE"/>
        </w:rPr>
        <w:t xml:space="preserve"> tugev vertikaalne integratsioon;</w:t>
      </w:r>
    </w:p>
    <w:p w14:paraId="0FF7428F" w14:textId="77777777" w:rsidR="005B5369" w:rsidRPr="00C50854" w:rsidRDefault="005B5369" w:rsidP="00BE48A9">
      <w:pPr>
        <w:numPr>
          <w:ilvl w:val="0"/>
          <w:numId w:val="8"/>
        </w:numPr>
        <w:suppressAutoHyphens w:val="0"/>
        <w:spacing w:before="120" w:after="120"/>
        <w:ind w:left="1191" w:hanging="567"/>
        <w:jc w:val="both"/>
        <w:rPr>
          <w:lang w:eastAsia="et-EE"/>
        </w:rPr>
      </w:pPr>
      <w:r w:rsidRPr="00C50854">
        <w:rPr>
          <w:lang w:eastAsia="et-EE"/>
        </w:rPr>
        <w:t>piiritletud turul eksisteerivad kõrged sisenemistõkked;</w:t>
      </w:r>
    </w:p>
    <w:p w14:paraId="1BC11CED" w14:textId="1F5FD3B7" w:rsidR="005B5369" w:rsidRPr="00C50854" w:rsidRDefault="00A75A38" w:rsidP="00BE48A9">
      <w:pPr>
        <w:numPr>
          <w:ilvl w:val="0"/>
          <w:numId w:val="8"/>
        </w:numPr>
        <w:suppressAutoHyphens w:val="0"/>
        <w:spacing w:before="120" w:after="120"/>
        <w:ind w:left="1191" w:hanging="567"/>
        <w:jc w:val="both"/>
        <w:rPr>
          <w:lang w:eastAsia="et-EE"/>
        </w:rPr>
      </w:pPr>
      <w:r w:rsidRPr="00C50854">
        <w:rPr>
          <w:lang w:eastAsia="et-EE"/>
        </w:rPr>
        <w:t>Telia</w:t>
      </w:r>
      <w:r w:rsidR="005B5369" w:rsidRPr="00C50854">
        <w:rPr>
          <w:lang w:eastAsia="et-EE"/>
        </w:rPr>
        <w:t xml:space="preserve"> poolt pakutavaid </w:t>
      </w:r>
      <w:r w:rsidR="006A0058" w:rsidRPr="00C50854">
        <w:rPr>
          <w:lang w:eastAsia="et-EE"/>
        </w:rPr>
        <w:t xml:space="preserve">kohaliku </w:t>
      </w:r>
      <w:r w:rsidR="005B5369" w:rsidRPr="00C50854">
        <w:rPr>
          <w:lang w:eastAsia="et-EE"/>
        </w:rPr>
        <w:t xml:space="preserve">juurdepääsu hulgituru teenuseid kasutavatel ettevõtjatel puudub tasakaalustav ostja jõud </w:t>
      </w:r>
      <w:r w:rsidR="009E59AF" w:rsidRPr="00C50854">
        <w:rPr>
          <w:lang w:eastAsia="et-EE"/>
        </w:rPr>
        <w:t>Telia</w:t>
      </w:r>
      <w:r w:rsidR="005B5369" w:rsidRPr="00C50854">
        <w:rPr>
          <w:lang w:eastAsia="et-EE"/>
        </w:rPr>
        <w:t xml:space="preserve"> hinnakujunduslikule käitumisele.</w:t>
      </w:r>
    </w:p>
    <w:p w14:paraId="5A7F73AF" w14:textId="77777777" w:rsidR="005B5369" w:rsidRPr="00C50854" w:rsidRDefault="005B5369" w:rsidP="00311E1F">
      <w:pPr>
        <w:numPr>
          <w:ilvl w:val="0"/>
          <w:numId w:val="13"/>
        </w:numPr>
        <w:suppressAutoHyphens w:val="0"/>
        <w:autoSpaceDE w:val="0"/>
        <w:autoSpaceDN w:val="0"/>
        <w:adjustRightInd w:val="0"/>
        <w:spacing w:before="120" w:after="120"/>
        <w:jc w:val="both"/>
        <w:rPr>
          <w:lang w:eastAsia="et-EE"/>
        </w:rPr>
      </w:pPr>
      <w:r w:rsidRPr="00C50854">
        <w:rPr>
          <w:lang w:eastAsia="et-EE"/>
        </w:rPr>
        <w:t>Nimetatud ettevõtja märkimisväärne turujõud võimaldab tal käituda märkimisväärsel määral sõltumatult konkurentidest, lepingupartneritest ja lõppkasutajatest ning on sellega loonud eeldused piiritletud sideteenuse turul järgmiste konkurentsiprobleemide tekkimiseks:</w:t>
      </w:r>
    </w:p>
    <w:p w14:paraId="6685D444" w14:textId="77777777" w:rsidR="005B5369" w:rsidRPr="00C50854" w:rsidRDefault="005B5369" w:rsidP="00BE48A9">
      <w:pPr>
        <w:numPr>
          <w:ilvl w:val="0"/>
          <w:numId w:val="8"/>
        </w:numPr>
        <w:suppressAutoHyphens w:val="0"/>
        <w:spacing w:before="120" w:after="120"/>
        <w:ind w:left="1191" w:hanging="567"/>
        <w:jc w:val="both"/>
        <w:rPr>
          <w:lang w:eastAsia="et-EE"/>
        </w:rPr>
      </w:pPr>
      <w:r w:rsidRPr="00C50854">
        <w:rPr>
          <w:lang w:eastAsia="et-EE"/>
        </w:rPr>
        <w:t>juurdepääsuga seotud konkurentsiprobleemid: juurdepääsust keeldumine;</w:t>
      </w:r>
    </w:p>
    <w:p w14:paraId="372D30C9" w14:textId="77777777" w:rsidR="005B5369" w:rsidRPr="00C50854" w:rsidRDefault="005B5369" w:rsidP="00BE48A9">
      <w:pPr>
        <w:numPr>
          <w:ilvl w:val="0"/>
          <w:numId w:val="8"/>
        </w:numPr>
        <w:suppressAutoHyphens w:val="0"/>
        <w:spacing w:before="120" w:after="120"/>
        <w:ind w:left="1191" w:hanging="567"/>
        <w:jc w:val="both"/>
        <w:rPr>
          <w:lang w:eastAsia="et-EE"/>
        </w:rPr>
      </w:pPr>
      <w:r w:rsidRPr="00C50854">
        <w:rPr>
          <w:lang w:eastAsia="et-EE"/>
        </w:rPr>
        <w:t>hinnaga seotud konkurentsiprobleemid: hinnadiskrimineerimine;</w:t>
      </w:r>
    </w:p>
    <w:p w14:paraId="5BB56111" w14:textId="77777777" w:rsidR="005B5369" w:rsidRPr="00C50854" w:rsidRDefault="005B5369" w:rsidP="00BE48A9">
      <w:pPr>
        <w:numPr>
          <w:ilvl w:val="0"/>
          <w:numId w:val="8"/>
        </w:numPr>
        <w:suppressAutoHyphens w:val="0"/>
        <w:spacing w:before="120" w:after="120"/>
        <w:ind w:left="1191" w:hanging="567"/>
        <w:jc w:val="both"/>
        <w:rPr>
          <w:lang w:eastAsia="et-EE"/>
        </w:rPr>
      </w:pPr>
      <w:r w:rsidRPr="00C50854">
        <w:rPr>
          <w:lang w:eastAsia="et-EE"/>
        </w:rPr>
        <w:t>muud diskrimineerimisega seotud konkurentsiprobleemid (nt viivitamistaktika, mittekohased nõuded, kvaliteedi diskrimineerimine, toote omaduste strateegiline kujundamine).</w:t>
      </w:r>
    </w:p>
    <w:p w14:paraId="58599F0B" w14:textId="791BA453" w:rsidR="005B5369" w:rsidRPr="00C50854" w:rsidRDefault="005B5369" w:rsidP="00311E1F">
      <w:pPr>
        <w:numPr>
          <w:ilvl w:val="0"/>
          <w:numId w:val="13"/>
        </w:numPr>
        <w:suppressAutoHyphens w:val="0"/>
        <w:autoSpaceDE w:val="0"/>
        <w:autoSpaceDN w:val="0"/>
        <w:adjustRightInd w:val="0"/>
        <w:spacing w:before="120" w:after="120"/>
        <w:jc w:val="both"/>
        <w:rPr>
          <w:lang w:eastAsia="et-EE"/>
        </w:rPr>
      </w:pPr>
      <w:r w:rsidRPr="00C50854">
        <w:rPr>
          <w:lang w:eastAsia="et-EE"/>
        </w:rPr>
        <w:t>Tulenevalt ülaltoodust</w:t>
      </w:r>
      <w:r w:rsidR="005125D6" w:rsidRPr="00C50854">
        <w:rPr>
          <w:lang w:eastAsia="et-EE"/>
        </w:rPr>
        <w:t xml:space="preserve"> </w:t>
      </w:r>
      <w:r w:rsidR="00C35187">
        <w:rPr>
          <w:lang w:eastAsia="et-EE"/>
        </w:rPr>
        <w:t xml:space="preserve">kavandab </w:t>
      </w:r>
      <w:r w:rsidR="00C35187" w:rsidRPr="00C50854">
        <w:rPr>
          <w:lang w:eastAsia="et-EE"/>
        </w:rPr>
        <w:t xml:space="preserve">TTJA </w:t>
      </w:r>
      <w:r w:rsidR="008A62A4" w:rsidRPr="00C50854">
        <w:rPr>
          <w:lang w:eastAsia="et-EE"/>
        </w:rPr>
        <w:t>tunnista</w:t>
      </w:r>
      <w:r w:rsidR="00C35187">
        <w:rPr>
          <w:lang w:eastAsia="et-EE"/>
        </w:rPr>
        <w:t>da</w:t>
      </w:r>
      <w:r w:rsidR="008A62A4" w:rsidRPr="00C50854">
        <w:rPr>
          <w:lang w:eastAsia="et-EE"/>
        </w:rPr>
        <w:t xml:space="preserve"> </w:t>
      </w:r>
      <w:r w:rsidR="006B3E70" w:rsidRPr="00C50854">
        <w:rPr>
          <w:lang w:eastAsia="et-EE"/>
        </w:rPr>
        <w:t xml:space="preserve">kindlaksmääratud asukohas kohaliku juurdepääsu hulgiturul </w:t>
      </w:r>
      <w:r w:rsidR="00A75A38" w:rsidRPr="00C50854">
        <w:rPr>
          <w:lang w:eastAsia="et-EE"/>
        </w:rPr>
        <w:t>Telia</w:t>
      </w:r>
      <w:r w:rsidR="008A62A4" w:rsidRPr="00C50854">
        <w:rPr>
          <w:lang w:eastAsia="et-EE"/>
        </w:rPr>
        <w:t xml:space="preserve"> </w:t>
      </w:r>
      <w:r w:rsidRPr="00C50854">
        <w:rPr>
          <w:lang w:eastAsia="et-EE"/>
        </w:rPr>
        <w:t>märkimisväärse turujõuga ettevõtjaks</w:t>
      </w:r>
      <w:r w:rsidR="00BB0C80" w:rsidRPr="00C50854">
        <w:rPr>
          <w:lang w:eastAsia="et-EE"/>
        </w:rPr>
        <w:t>.</w:t>
      </w:r>
    </w:p>
    <w:p w14:paraId="190A2198" w14:textId="77777777" w:rsidR="00BE48A9" w:rsidRPr="00C50854" w:rsidRDefault="00BE48A9" w:rsidP="00BE48A9">
      <w:pPr>
        <w:suppressAutoHyphens w:val="0"/>
        <w:autoSpaceDE w:val="0"/>
        <w:autoSpaceDN w:val="0"/>
        <w:adjustRightInd w:val="0"/>
        <w:spacing w:before="120" w:after="120"/>
        <w:jc w:val="both"/>
        <w:rPr>
          <w:lang w:eastAsia="et-EE"/>
        </w:rPr>
      </w:pPr>
    </w:p>
    <w:p w14:paraId="773580B4" w14:textId="77777777" w:rsidR="00D67E10" w:rsidRPr="00C50854" w:rsidRDefault="00D67E10" w:rsidP="00311E1F">
      <w:pPr>
        <w:pStyle w:val="Pealkiri1"/>
      </w:pPr>
      <w:bookmarkStart w:id="271" w:name="_Toc457983649"/>
      <w:bookmarkStart w:id="272" w:name="_Toc464639355"/>
      <w:bookmarkStart w:id="273" w:name="_Toc39125664"/>
      <w:bookmarkStart w:id="274" w:name="_Toc42072451"/>
      <w:bookmarkEnd w:id="266"/>
      <w:bookmarkEnd w:id="267"/>
      <w:bookmarkEnd w:id="268"/>
      <w:bookmarkEnd w:id="269"/>
      <w:bookmarkEnd w:id="270"/>
      <w:r w:rsidRPr="00C50854">
        <w:t>6. KEHTESTATAVAD KOHUSTUSED</w:t>
      </w:r>
      <w:bookmarkEnd w:id="271"/>
      <w:bookmarkEnd w:id="272"/>
      <w:bookmarkEnd w:id="273"/>
      <w:bookmarkEnd w:id="274"/>
    </w:p>
    <w:p w14:paraId="5A977073" w14:textId="77777777" w:rsidR="00D67E10" w:rsidRPr="00C50854" w:rsidRDefault="00D67E10" w:rsidP="00D67E10">
      <w:pPr>
        <w:pStyle w:val="Pealkiri2"/>
        <w:spacing w:before="360" w:after="180"/>
        <w:rPr>
          <w:rFonts w:cs="Times New Roman"/>
          <w:sz w:val="26"/>
          <w:szCs w:val="26"/>
        </w:rPr>
      </w:pPr>
      <w:bookmarkStart w:id="275" w:name="_Toc215466502"/>
      <w:bookmarkStart w:id="276" w:name="_Toc216228055"/>
      <w:bookmarkStart w:id="277" w:name="_Toc457983650"/>
      <w:bookmarkStart w:id="278" w:name="_Toc464639356"/>
      <w:bookmarkStart w:id="279" w:name="_Toc39125665"/>
      <w:bookmarkStart w:id="280" w:name="_Toc42072452"/>
      <w:r w:rsidRPr="00C50854">
        <w:rPr>
          <w:rFonts w:cs="Times New Roman"/>
          <w:sz w:val="26"/>
          <w:szCs w:val="26"/>
        </w:rPr>
        <w:t>6.1. Kohustuste kehtestamise eesmärk</w:t>
      </w:r>
      <w:bookmarkEnd w:id="275"/>
      <w:bookmarkEnd w:id="276"/>
      <w:bookmarkEnd w:id="277"/>
      <w:r w:rsidRPr="00C50854">
        <w:rPr>
          <w:rFonts w:cs="Times New Roman"/>
          <w:sz w:val="26"/>
          <w:szCs w:val="26"/>
        </w:rPr>
        <w:t>, alused</w:t>
      </w:r>
      <w:bookmarkEnd w:id="278"/>
      <w:r w:rsidRPr="00C50854">
        <w:rPr>
          <w:rFonts w:cs="Times New Roman"/>
          <w:sz w:val="26"/>
          <w:szCs w:val="26"/>
        </w:rPr>
        <w:t xml:space="preserve"> ja mõisted</w:t>
      </w:r>
      <w:bookmarkEnd w:id="279"/>
      <w:bookmarkEnd w:id="280"/>
    </w:p>
    <w:p w14:paraId="7EC1DDBD"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Sideteenuse turgude valdkonnaspetsiifilise reguleerimise, sealhulgas märkimisväärse turujõuga ettevõtjale kohustuste kehtestamise eesmärk on tagada konkurentsi soodustamisega sideteenuse osutajate paljusus, nende võrdne ja mittediskrimineeriv kohtlemine ning osutatavate teenuste kvaliteet ja kättesaadavus lõppkasutajatele</w:t>
      </w:r>
      <w:r w:rsidRPr="00C50854">
        <w:rPr>
          <w:vertAlign w:val="superscript"/>
          <w:lang w:eastAsia="et-EE"/>
        </w:rPr>
        <w:footnoteReference w:id="36"/>
      </w:r>
      <w:r w:rsidRPr="00C50854">
        <w:rPr>
          <w:lang w:eastAsia="et-EE"/>
        </w:rPr>
        <w:t>. Märkimisväärse turujõuga ettevõtjale kohustuste kehtestamine on suunatud konkurentsiprobleemide vältimisele.</w:t>
      </w:r>
    </w:p>
    <w:p w14:paraId="6E64A66D"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Märkimisväärse turujõuga ettevõtjale kohustuse kehtestamisel lähtub TTJA ettevõtja suhtes ESS §-des 48</w:t>
      </w:r>
      <w:r w:rsidRPr="00C50854">
        <w:rPr>
          <w:vertAlign w:val="superscript"/>
          <w:lang w:eastAsia="et-EE"/>
        </w:rPr>
        <w:t xml:space="preserve">1 </w:t>
      </w:r>
      <w:r w:rsidRPr="00C50854">
        <w:rPr>
          <w:lang w:eastAsia="et-EE"/>
        </w:rPr>
        <w:t>– 66 sätestatust, kehtestades ettevõtjale ühe või mitu asjakohast kohustust sellel sideteenuse turul, millel sideettevõtja kohta on tehtud ettepanek tunnistada ta märkimisväärse turujõuga ettevõtjaks. Kohustuse valikul arvestab TTJA muuhulgas Euroopa Komisjoni elektroonilise side turgu puudutavate soovituste ja seisukohtadega ning Euroopa Liidu sideturu regulaatorite koostöös kujundatud vastava praktikaga</w:t>
      </w:r>
      <w:r w:rsidRPr="00C50854">
        <w:rPr>
          <w:vertAlign w:val="superscript"/>
          <w:lang w:eastAsia="et-EE"/>
        </w:rPr>
        <w:footnoteReference w:id="37"/>
      </w:r>
      <w:r w:rsidRPr="00C50854">
        <w:rPr>
          <w:lang w:eastAsia="et-EE"/>
        </w:rPr>
        <w:t>.</w:t>
      </w:r>
    </w:p>
    <w:p w14:paraId="26518CB9"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281" w:name="_Hlk25150957"/>
      <w:r w:rsidRPr="00C50854">
        <w:rPr>
          <w:lang w:eastAsia="et-EE"/>
        </w:rPr>
        <w:lastRenderedPageBreak/>
        <w:t xml:space="preserve">Kohaliku juurdepääsu hulgiturul </w:t>
      </w:r>
      <w:bookmarkEnd w:id="281"/>
      <w:r w:rsidRPr="00C50854">
        <w:rPr>
          <w:lang w:eastAsia="et-EE"/>
        </w:rPr>
        <w:t>teenuste osutamisele rakendatavad võimalikud kohustused saab jaotada järgmiselt: teenustele juurdepääsukohustused</w:t>
      </w:r>
      <w:r w:rsidRPr="00C50854">
        <w:rPr>
          <w:vertAlign w:val="superscript"/>
          <w:lang w:eastAsia="et-EE"/>
        </w:rPr>
        <w:footnoteReference w:id="38"/>
      </w:r>
      <w:r w:rsidRPr="00C50854">
        <w:rPr>
          <w:lang w:eastAsia="et-EE"/>
        </w:rPr>
        <w:t>, teenuste osutamisega seotud mittediskrimineerimise kohustused</w:t>
      </w:r>
      <w:r w:rsidRPr="00C50854">
        <w:rPr>
          <w:vertAlign w:val="superscript"/>
          <w:lang w:eastAsia="et-EE"/>
        </w:rPr>
        <w:footnoteReference w:id="39"/>
      </w:r>
      <w:r w:rsidRPr="00C50854">
        <w:rPr>
          <w:lang w:eastAsia="et-EE"/>
        </w:rPr>
        <w:t>, teenuste läbipaistvuse kohustused</w:t>
      </w:r>
      <w:r w:rsidRPr="00C50854">
        <w:rPr>
          <w:vertAlign w:val="superscript"/>
          <w:lang w:eastAsia="et-EE"/>
        </w:rPr>
        <w:footnoteReference w:id="40"/>
      </w:r>
      <w:r w:rsidRPr="00C50854">
        <w:rPr>
          <w:lang w:eastAsia="et-EE"/>
        </w:rPr>
        <w:t xml:space="preserve"> ning teenuste hinnaga seotud kohustused</w:t>
      </w:r>
      <w:r w:rsidRPr="00C50854">
        <w:rPr>
          <w:vertAlign w:val="superscript"/>
          <w:lang w:eastAsia="et-EE"/>
        </w:rPr>
        <w:footnoteReference w:id="41"/>
      </w:r>
      <w:r w:rsidRPr="00C50854">
        <w:rPr>
          <w:lang w:eastAsia="et-EE"/>
        </w:rPr>
        <w:t>.</w:t>
      </w:r>
    </w:p>
    <w:p w14:paraId="2190690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Kohaliku juurdepääsu hulgiturul kohustused on suunatud Telia kliendiliinidele ja kaablikanalisatsioonile juurdepääsule hulgitasandil. </w:t>
      </w:r>
    </w:p>
    <w:p w14:paraId="3C1AFB61" w14:textId="45F9AC80"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Kliendiliin</w:t>
      </w:r>
      <w:r w:rsidRPr="00C50854">
        <w:rPr>
          <w:vertAlign w:val="superscript"/>
          <w:lang w:eastAsia="et-EE"/>
        </w:rPr>
        <w:footnoteReference w:id="42"/>
      </w:r>
      <w:r w:rsidRPr="00C50854">
        <w:rPr>
          <w:lang w:eastAsia="et-EE"/>
        </w:rPr>
        <w:t xml:space="preserve"> (joonisel </w:t>
      </w:r>
      <w:r w:rsidR="002A07B5" w:rsidRPr="00C50854">
        <w:rPr>
          <w:lang w:eastAsia="et-EE"/>
        </w:rPr>
        <w:t>6</w:t>
      </w:r>
      <w:r w:rsidR="00881655" w:rsidRPr="00C50854">
        <w:rPr>
          <w:lang w:eastAsia="et-EE"/>
        </w:rPr>
        <w:t xml:space="preserve">. </w:t>
      </w:r>
      <w:r w:rsidRPr="00C50854">
        <w:rPr>
          <w:b/>
          <w:lang w:eastAsia="et-EE"/>
        </w:rPr>
        <w:t>KL</w:t>
      </w:r>
      <w:r w:rsidRPr="00C50854">
        <w:rPr>
          <w:lang w:eastAsia="et-EE"/>
        </w:rPr>
        <w:t xml:space="preserve">) on fikseeritud elektroonilise side võrgu lõpp-punkti (joonisel </w:t>
      </w:r>
      <w:r w:rsidR="002A07B5" w:rsidRPr="00C50854">
        <w:rPr>
          <w:lang w:eastAsia="et-EE"/>
        </w:rPr>
        <w:t xml:space="preserve">6 </w:t>
      </w:r>
      <w:r w:rsidRPr="00C50854">
        <w:rPr>
          <w:b/>
          <w:lang w:eastAsia="et-EE"/>
        </w:rPr>
        <w:t>LP</w:t>
      </w:r>
      <w:r w:rsidRPr="00C50854">
        <w:rPr>
          <w:lang w:eastAsia="et-EE"/>
        </w:rPr>
        <w:t xml:space="preserve">) ja peajaotaja (joonisel </w:t>
      </w:r>
      <w:r w:rsidR="002A07B5" w:rsidRPr="00C50854">
        <w:rPr>
          <w:lang w:eastAsia="et-EE"/>
        </w:rPr>
        <w:t>6</w:t>
      </w:r>
      <w:r w:rsidR="00881655" w:rsidRPr="00C50854">
        <w:rPr>
          <w:lang w:eastAsia="et-EE"/>
        </w:rPr>
        <w:t xml:space="preserve"> </w:t>
      </w:r>
      <w:r w:rsidRPr="00C50854">
        <w:rPr>
          <w:b/>
          <w:lang w:eastAsia="et-EE"/>
        </w:rPr>
        <w:t>PJ</w:t>
      </w:r>
      <w:r w:rsidRPr="00C50854">
        <w:rPr>
          <w:lang w:eastAsia="et-EE"/>
        </w:rPr>
        <w:t xml:space="preserve">) või muu vastava seadme vaheline füüsiline ühendus. Telia kliendiliinid jagunevad vaskpaar kliendiliinideks (joonisel </w:t>
      </w:r>
      <w:r w:rsidR="002A07B5" w:rsidRPr="00C50854">
        <w:rPr>
          <w:lang w:eastAsia="et-EE"/>
        </w:rPr>
        <w:t>6</w:t>
      </w:r>
      <w:r w:rsidR="00881655" w:rsidRPr="00C50854">
        <w:rPr>
          <w:lang w:eastAsia="et-EE"/>
        </w:rPr>
        <w:t xml:space="preserve"> </w:t>
      </w:r>
      <w:r w:rsidRPr="00C50854">
        <w:rPr>
          <w:b/>
          <w:lang w:eastAsia="et-EE"/>
        </w:rPr>
        <w:t>Vask KL</w:t>
      </w:r>
      <w:r w:rsidRPr="00C50854">
        <w:rPr>
          <w:lang w:eastAsia="et-EE"/>
        </w:rPr>
        <w:t>) ja valguskaabel kliendiliinideks (joonisel</w:t>
      </w:r>
      <w:r w:rsidR="00881655" w:rsidRPr="00C50854">
        <w:rPr>
          <w:lang w:eastAsia="et-EE"/>
        </w:rPr>
        <w:t xml:space="preserve"> </w:t>
      </w:r>
      <w:r w:rsidR="002A07B5" w:rsidRPr="00C50854">
        <w:rPr>
          <w:lang w:eastAsia="et-EE"/>
        </w:rPr>
        <w:t>6</w:t>
      </w:r>
      <w:r w:rsidR="00881655" w:rsidRPr="00C50854">
        <w:rPr>
          <w:lang w:eastAsia="et-EE"/>
        </w:rPr>
        <w:t xml:space="preserve"> </w:t>
      </w:r>
      <w:r w:rsidRPr="00C50854">
        <w:rPr>
          <w:lang w:eastAsia="et-EE"/>
        </w:rPr>
        <w:t xml:space="preserve"> </w:t>
      </w:r>
      <w:r w:rsidRPr="00C50854">
        <w:rPr>
          <w:b/>
          <w:lang w:eastAsia="et-EE"/>
        </w:rPr>
        <w:t>Valgus KL</w:t>
      </w:r>
      <w:r w:rsidRPr="00C50854">
        <w:rPr>
          <w:lang w:eastAsia="et-EE"/>
        </w:rPr>
        <w:t xml:space="preserve">). </w:t>
      </w:r>
    </w:p>
    <w:p w14:paraId="722A820A"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63CBB69D" w14:textId="77777777" w:rsidR="00D67E10" w:rsidRPr="00C50854" w:rsidRDefault="00D67E10" w:rsidP="00D67E10">
      <w:pPr>
        <w:suppressAutoHyphens w:val="0"/>
        <w:autoSpaceDE w:val="0"/>
        <w:autoSpaceDN w:val="0"/>
        <w:adjustRightInd w:val="0"/>
        <w:spacing w:before="120" w:after="120"/>
        <w:ind w:left="360"/>
        <w:jc w:val="both"/>
        <w:rPr>
          <w:lang w:eastAsia="et-EE"/>
        </w:rPr>
      </w:pPr>
      <w:r w:rsidRPr="00C50854">
        <w:rPr>
          <w:noProof/>
        </w:rPr>
        <w:lastRenderedPageBreak/>
        <w:drawing>
          <wp:inline distT="0" distB="0" distL="0" distR="0" wp14:anchorId="67DF34E6" wp14:editId="52C01BE0">
            <wp:extent cx="5724525" cy="6951996"/>
            <wp:effectExtent l="0" t="0" r="0" b="0"/>
            <wp:docPr id="41" name="Pil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6014" cy="6953804"/>
                    </a:xfrm>
                    <a:prstGeom prst="rect">
                      <a:avLst/>
                    </a:prstGeom>
                    <a:noFill/>
                    <a:ln>
                      <a:noFill/>
                    </a:ln>
                  </pic:spPr>
                </pic:pic>
              </a:graphicData>
            </a:graphic>
          </wp:inline>
        </w:drawing>
      </w:r>
    </w:p>
    <w:p w14:paraId="19297DFA" w14:textId="5798EEA2" w:rsidR="00D67E10" w:rsidRPr="00C50854" w:rsidRDefault="00881655" w:rsidP="00881655">
      <w:pPr>
        <w:pStyle w:val="Pealdis"/>
        <w:rPr>
          <w:lang w:eastAsia="et-EE"/>
        </w:rPr>
      </w:pPr>
      <w:bookmarkStart w:id="282" w:name="_Ref40785246"/>
      <w:bookmarkStart w:id="283" w:name="_Hlk23765813"/>
      <w:r w:rsidRPr="00C50854">
        <w:t xml:space="preserve">Joonis </w:t>
      </w:r>
      <w:fldSimple w:instr=" SEQ Joonis \* ARABIC ">
        <w:r w:rsidR="00697B2B" w:rsidRPr="00C50854">
          <w:rPr>
            <w:noProof/>
          </w:rPr>
          <w:t>6</w:t>
        </w:r>
      </w:fldSimple>
      <w:bookmarkEnd w:id="282"/>
      <w:r w:rsidRPr="00C50854">
        <w:t xml:space="preserve">. </w:t>
      </w:r>
      <w:r w:rsidR="00D67E10" w:rsidRPr="00C50854">
        <w:rPr>
          <w:b w:val="0"/>
          <w:lang w:eastAsia="et-EE"/>
        </w:rPr>
        <w:t>Kliendiliinid</w:t>
      </w:r>
      <w:r w:rsidR="00495C78" w:rsidRPr="00C50854">
        <w:rPr>
          <w:b w:val="0"/>
          <w:lang w:eastAsia="et-EE"/>
        </w:rPr>
        <w:t>e struktuur</w:t>
      </w:r>
    </w:p>
    <w:p w14:paraId="67D2AA99" w14:textId="052259BD"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Peajaotaja (joonisel</w:t>
      </w:r>
      <w:r w:rsidR="00881655" w:rsidRPr="00C50854">
        <w:rPr>
          <w:lang w:eastAsia="et-EE"/>
        </w:rPr>
        <w:t xml:space="preserve"> </w:t>
      </w:r>
      <w:r w:rsidR="00C9460F" w:rsidRPr="00C50854">
        <w:rPr>
          <w:lang w:eastAsia="et-EE"/>
        </w:rPr>
        <w:t>6</w:t>
      </w:r>
      <w:r w:rsidRPr="00C50854">
        <w:rPr>
          <w:lang w:eastAsia="et-EE"/>
        </w:rPr>
        <w:t xml:space="preserve"> </w:t>
      </w:r>
      <w:r w:rsidRPr="00C50854">
        <w:rPr>
          <w:b/>
          <w:lang w:eastAsia="et-EE"/>
        </w:rPr>
        <w:t>PJ</w:t>
      </w:r>
      <w:r w:rsidRPr="00C50854">
        <w:rPr>
          <w:lang w:eastAsia="et-EE"/>
        </w:rPr>
        <w:t xml:space="preserve">) ehk peajaotuspunkt on sidevõrgu füüsiliselt kindlaks määratud punkt, mis seostab kliendiliini Telia sidevõrguga ja mille kaudu on loodud või võimalik luua teistele sideettevõtjatele juurdepääs kliendiliinile. Seal võivad asuda peajaoturid ehk </w:t>
      </w:r>
      <w:r w:rsidRPr="00C50854">
        <w:rPr>
          <w:i/>
          <w:lang w:eastAsia="et-EE"/>
        </w:rPr>
        <w:lastRenderedPageBreak/>
        <w:t>MDF</w:t>
      </w:r>
      <w:r w:rsidRPr="00C50854">
        <w:rPr>
          <w:vertAlign w:val="superscript"/>
          <w:lang w:eastAsia="et-EE"/>
        </w:rPr>
        <w:footnoteReference w:id="43"/>
      </w:r>
      <w:r w:rsidRPr="00C50854">
        <w:rPr>
          <w:lang w:eastAsia="et-EE"/>
        </w:rPr>
        <w:t>(</w:t>
      </w:r>
      <w:r w:rsidRPr="00C50854">
        <w:rPr>
          <w:i/>
          <w:lang w:eastAsia="et-EE"/>
        </w:rPr>
        <w:t xml:space="preserve">Main Distribution </w:t>
      </w:r>
      <w:proofErr w:type="spellStart"/>
      <w:r w:rsidRPr="00C50854">
        <w:rPr>
          <w:i/>
          <w:lang w:eastAsia="et-EE"/>
        </w:rPr>
        <w:t>Frame</w:t>
      </w:r>
      <w:proofErr w:type="spellEnd"/>
      <w:r w:rsidRPr="00C50854">
        <w:rPr>
          <w:lang w:eastAsia="et-EE"/>
        </w:rPr>
        <w:t xml:space="preserve">), </w:t>
      </w:r>
      <w:r w:rsidRPr="00C50854">
        <w:rPr>
          <w:i/>
          <w:lang w:eastAsia="et-EE"/>
        </w:rPr>
        <w:t>ODF</w:t>
      </w:r>
      <w:r w:rsidRPr="00C50854">
        <w:rPr>
          <w:vertAlign w:val="superscript"/>
          <w:lang w:eastAsia="et-EE"/>
        </w:rPr>
        <w:footnoteReference w:id="44"/>
      </w:r>
      <w:r w:rsidRPr="00C50854">
        <w:rPr>
          <w:lang w:eastAsia="et-EE"/>
        </w:rPr>
        <w:t xml:space="preserve"> (</w:t>
      </w:r>
      <w:proofErr w:type="spellStart"/>
      <w:r w:rsidRPr="00C50854">
        <w:rPr>
          <w:i/>
          <w:lang w:eastAsia="et-EE"/>
        </w:rPr>
        <w:t>Optical</w:t>
      </w:r>
      <w:proofErr w:type="spellEnd"/>
      <w:r w:rsidRPr="00C50854">
        <w:rPr>
          <w:i/>
          <w:lang w:eastAsia="et-EE"/>
        </w:rPr>
        <w:t xml:space="preserve"> Distribution </w:t>
      </w:r>
      <w:proofErr w:type="spellStart"/>
      <w:r w:rsidRPr="00C50854">
        <w:rPr>
          <w:i/>
          <w:lang w:eastAsia="et-EE"/>
        </w:rPr>
        <w:t>Frame</w:t>
      </w:r>
      <w:proofErr w:type="spellEnd"/>
      <w:r w:rsidRPr="00C50854">
        <w:rPr>
          <w:lang w:eastAsia="et-EE"/>
        </w:rPr>
        <w:t xml:space="preserve">), </w:t>
      </w:r>
      <w:r w:rsidRPr="00C50854">
        <w:rPr>
          <w:i/>
          <w:lang w:eastAsia="et-EE"/>
        </w:rPr>
        <w:t>OLT</w:t>
      </w:r>
      <w:r w:rsidRPr="00C50854">
        <w:rPr>
          <w:vertAlign w:val="superscript"/>
          <w:lang w:eastAsia="et-EE"/>
        </w:rPr>
        <w:footnoteReference w:id="45"/>
      </w:r>
      <w:r w:rsidRPr="00C50854">
        <w:rPr>
          <w:lang w:eastAsia="et-EE"/>
        </w:rPr>
        <w:t xml:space="preserve"> (</w:t>
      </w:r>
      <w:proofErr w:type="spellStart"/>
      <w:r w:rsidRPr="00C50854">
        <w:rPr>
          <w:i/>
          <w:lang w:eastAsia="et-EE"/>
        </w:rPr>
        <w:t>Optical</w:t>
      </w:r>
      <w:proofErr w:type="spellEnd"/>
      <w:r w:rsidRPr="00C50854">
        <w:rPr>
          <w:i/>
          <w:lang w:eastAsia="et-EE"/>
        </w:rPr>
        <w:t xml:space="preserve"> Line </w:t>
      </w:r>
      <w:proofErr w:type="spellStart"/>
      <w:r w:rsidRPr="00C50854">
        <w:rPr>
          <w:i/>
          <w:lang w:eastAsia="et-EE"/>
        </w:rPr>
        <w:t>Termination</w:t>
      </w:r>
      <w:proofErr w:type="spellEnd"/>
      <w:r w:rsidRPr="00C50854">
        <w:rPr>
          <w:lang w:eastAsia="et-EE"/>
        </w:rPr>
        <w:t xml:space="preserve">), </w:t>
      </w:r>
      <w:proofErr w:type="spellStart"/>
      <w:r w:rsidRPr="00C50854">
        <w:rPr>
          <w:i/>
          <w:lang w:eastAsia="et-EE"/>
        </w:rPr>
        <w:t>splitter</w:t>
      </w:r>
      <w:proofErr w:type="spellEnd"/>
      <w:r w:rsidRPr="00C50854">
        <w:rPr>
          <w:i/>
          <w:vertAlign w:val="superscript"/>
          <w:lang w:eastAsia="et-EE"/>
        </w:rPr>
        <w:footnoteReference w:id="46"/>
      </w:r>
      <w:r w:rsidRPr="00C50854">
        <w:rPr>
          <w:lang w:eastAsia="et-EE"/>
        </w:rPr>
        <w:t xml:space="preserve"> ja </w:t>
      </w:r>
      <w:r w:rsidRPr="00C50854">
        <w:rPr>
          <w:i/>
          <w:lang w:eastAsia="et-EE"/>
        </w:rPr>
        <w:t>DSLAM</w:t>
      </w:r>
      <w:r w:rsidRPr="00C50854">
        <w:rPr>
          <w:vertAlign w:val="superscript"/>
          <w:lang w:eastAsia="et-EE"/>
        </w:rPr>
        <w:footnoteReference w:id="47"/>
      </w:r>
      <w:r w:rsidRPr="00C50854">
        <w:rPr>
          <w:lang w:eastAsia="et-EE"/>
        </w:rPr>
        <w:t xml:space="preserve"> (</w:t>
      </w:r>
      <w:r w:rsidRPr="00C50854">
        <w:rPr>
          <w:i/>
          <w:lang w:val="en-US" w:eastAsia="et-EE"/>
        </w:rPr>
        <w:t>Digital Subscriber Line Access Multiplexer</w:t>
      </w:r>
      <w:r w:rsidRPr="00C50854">
        <w:rPr>
          <w:lang w:eastAsia="et-EE"/>
        </w:rPr>
        <w:t>).</w:t>
      </w:r>
      <w:bookmarkEnd w:id="283"/>
    </w:p>
    <w:p w14:paraId="17E79410" w14:textId="19580A73"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Jaotuskapp (joonisel</w:t>
      </w:r>
      <w:r w:rsidR="00881655" w:rsidRPr="00C50854">
        <w:rPr>
          <w:lang w:eastAsia="et-EE"/>
        </w:rPr>
        <w:t xml:space="preserve"> </w:t>
      </w:r>
      <w:r w:rsidR="00C9460F" w:rsidRPr="00C50854">
        <w:rPr>
          <w:lang w:eastAsia="et-EE"/>
        </w:rPr>
        <w:t>6</w:t>
      </w:r>
      <w:r w:rsidR="00881655" w:rsidRPr="00C50854">
        <w:rPr>
          <w:lang w:eastAsia="et-EE"/>
        </w:rPr>
        <w:t xml:space="preserve"> </w:t>
      </w:r>
      <w:r w:rsidRPr="00C50854">
        <w:rPr>
          <w:b/>
          <w:lang w:eastAsia="et-EE"/>
        </w:rPr>
        <w:t>JK</w:t>
      </w:r>
      <w:r w:rsidRPr="00C50854">
        <w:rPr>
          <w:lang w:eastAsia="et-EE"/>
        </w:rPr>
        <w:t xml:space="preserve">) ehk vahejaotuspunkt on </w:t>
      </w:r>
      <w:bookmarkStart w:id="284" w:name="_Hlk38969486"/>
      <w:r w:rsidRPr="00C50854">
        <w:rPr>
          <w:lang w:eastAsia="et-EE"/>
        </w:rPr>
        <w:t xml:space="preserve">vaskpaar- ja valguskaabel kliendiliinide füüsiliselt kindlaks määratud kontsentratsiooni punkt, mis koondab erinevatelt kinnistutelt lähtuvad vakspaar- ja valguskaabel alamkliendiliinid ja suunab need edasi peajaama (joonisel </w:t>
      </w:r>
      <w:r w:rsidR="00C9460F" w:rsidRPr="00C50854">
        <w:rPr>
          <w:lang w:eastAsia="et-EE"/>
        </w:rPr>
        <w:t xml:space="preserve">6 </w:t>
      </w:r>
      <w:r w:rsidRPr="00C50854">
        <w:rPr>
          <w:b/>
          <w:lang w:eastAsia="et-EE"/>
        </w:rPr>
        <w:t>PJ</w:t>
      </w:r>
      <w:r w:rsidRPr="00C50854">
        <w:rPr>
          <w:lang w:eastAsia="et-EE"/>
        </w:rPr>
        <w:t xml:space="preserve">). Seal võivad asuda alamjaoturid ehk </w:t>
      </w:r>
      <w:r w:rsidRPr="00C50854">
        <w:rPr>
          <w:i/>
          <w:lang w:eastAsia="et-EE"/>
        </w:rPr>
        <w:t>SDF</w:t>
      </w:r>
      <w:r w:rsidRPr="00C50854">
        <w:rPr>
          <w:vertAlign w:val="superscript"/>
          <w:lang w:eastAsia="et-EE"/>
        </w:rPr>
        <w:footnoteReference w:id="48"/>
      </w:r>
      <w:r w:rsidRPr="00C50854">
        <w:rPr>
          <w:lang w:eastAsia="et-EE"/>
        </w:rPr>
        <w:t xml:space="preserve"> (</w:t>
      </w:r>
      <w:proofErr w:type="spellStart"/>
      <w:r w:rsidRPr="00C50854">
        <w:rPr>
          <w:i/>
          <w:lang w:eastAsia="et-EE"/>
        </w:rPr>
        <w:t>Sub</w:t>
      </w:r>
      <w:proofErr w:type="spellEnd"/>
      <w:r w:rsidRPr="00C50854">
        <w:rPr>
          <w:i/>
          <w:lang w:eastAsia="et-EE"/>
        </w:rPr>
        <w:t xml:space="preserve"> Distribution </w:t>
      </w:r>
      <w:proofErr w:type="spellStart"/>
      <w:r w:rsidRPr="00C50854">
        <w:rPr>
          <w:i/>
          <w:lang w:eastAsia="et-EE"/>
        </w:rPr>
        <w:t>Frame</w:t>
      </w:r>
      <w:proofErr w:type="spellEnd"/>
      <w:r w:rsidRPr="00C50854">
        <w:rPr>
          <w:lang w:eastAsia="et-EE"/>
        </w:rPr>
        <w:t xml:space="preserve">), </w:t>
      </w:r>
      <w:r w:rsidRPr="00C50854">
        <w:rPr>
          <w:i/>
          <w:lang w:eastAsia="et-EE"/>
        </w:rPr>
        <w:t>ONU</w:t>
      </w:r>
      <w:r w:rsidRPr="00C50854">
        <w:rPr>
          <w:vertAlign w:val="superscript"/>
          <w:lang w:eastAsia="et-EE"/>
        </w:rPr>
        <w:footnoteReference w:id="49"/>
      </w:r>
      <w:r w:rsidRPr="00C50854">
        <w:rPr>
          <w:lang w:eastAsia="et-EE"/>
        </w:rPr>
        <w:t xml:space="preserve"> (</w:t>
      </w:r>
      <w:r w:rsidRPr="00C50854">
        <w:rPr>
          <w:i/>
          <w:lang w:val="en-GB" w:eastAsia="et-EE"/>
        </w:rPr>
        <w:t>Optical Network Unit</w:t>
      </w:r>
      <w:r w:rsidRPr="00C50854">
        <w:rPr>
          <w:lang w:eastAsia="et-EE"/>
        </w:rPr>
        <w:t xml:space="preserve">) ja </w:t>
      </w:r>
      <w:r w:rsidRPr="00C50854">
        <w:rPr>
          <w:i/>
          <w:lang w:eastAsia="et-EE"/>
        </w:rPr>
        <w:t>DSLAM</w:t>
      </w:r>
      <w:r w:rsidRPr="00C50854">
        <w:rPr>
          <w:lang w:eastAsia="et-EE"/>
        </w:rPr>
        <w:t>.</w:t>
      </w:r>
    </w:p>
    <w:bookmarkEnd w:id="284"/>
    <w:p w14:paraId="2A27F38B" w14:textId="2AEBB08E"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Lõpp-punkt</w:t>
      </w:r>
      <w:r w:rsidRPr="00C50854">
        <w:rPr>
          <w:vertAlign w:val="superscript"/>
          <w:lang w:eastAsia="et-EE"/>
        </w:rPr>
        <w:footnoteReference w:id="50"/>
      </w:r>
      <w:r w:rsidRPr="00C50854">
        <w:rPr>
          <w:lang w:eastAsia="et-EE"/>
        </w:rPr>
        <w:t xml:space="preserve"> (joonisel</w:t>
      </w:r>
      <w:r w:rsidR="00881655" w:rsidRPr="00C50854">
        <w:rPr>
          <w:lang w:eastAsia="et-EE"/>
        </w:rPr>
        <w:t xml:space="preserve"> </w:t>
      </w:r>
      <w:r w:rsidR="00C9460F" w:rsidRPr="00C50854">
        <w:rPr>
          <w:lang w:eastAsia="et-EE"/>
        </w:rPr>
        <w:t>6</w:t>
      </w:r>
      <w:r w:rsidRPr="00C50854">
        <w:rPr>
          <w:lang w:eastAsia="et-EE"/>
        </w:rPr>
        <w:t xml:space="preserve"> </w:t>
      </w:r>
      <w:r w:rsidRPr="00C50854">
        <w:rPr>
          <w:b/>
          <w:lang w:eastAsia="et-EE"/>
        </w:rPr>
        <w:t>LP</w:t>
      </w:r>
      <w:r w:rsidRPr="00C50854">
        <w:rPr>
          <w:lang w:eastAsia="et-EE"/>
        </w:rPr>
        <w:t>) on sidevõrgu füüsiliselt kindlaks määratud punkt, kus kliendile on loodud juurdepääs või võimalus juurdepääsuks üldkasutatavale elektroonilise side võrgule. Lõpp-punkt asub era, paaris- ja ridamajade puhul üldjuhul kinnistupiiril, kortermajade puhul üldjuhul kortermaja üldkasutatavas ruumis. Sidevõrgu lõpp-punktis võivad asuda jaoturid, mis seostavad kliendiliinid ja kliendi ruumidest tulevad liinid</w:t>
      </w:r>
      <w:r w:rsidRPr="00C50854">
        <w:rPr>
          <w:vertAlign w:val="superscript"/>
          <w:lang w:eastAsia="et-EE"/>
        </w:rPr>
        <w:footnoteReference w:id="51"/>
      </w:r>
      <w:r w:rsidRPr="00C50854">
        <w:rPr>
          <w:lang w:eastAsia="et-EE"/>
        </w:rPr>
        <w:t xml:space="preserve">, näiteks valguskaabel kliendiliini korral </w:t>
      </w:r>
      <w:r w:rsidRPr="00C50854">
        <w:rPr>
          <w:i/>
          <w:lang w:eastAsia="et-EE"/>
        </w:rPr>
        <w:t>ONU</w:t>
      </w:r>
      <w:r w:rsidRPr="00C50854">
        <w:rPr>
          <w:lang w:eastAsia="et-EE"/>
        </w:rPr>
        <w:t xml:space="preserve"> (</w:t>
      </w:r>
      <w:proofErr w:type="spellStart"/>
      <w:r w:rsidRPr="00C50854">
        <w:rPr>
          <w:i/>
          <w:lang w:eastAsia="et-EE"/>
        </w:rPr>
        <w:t>Optical</w:t>
      </w:r>
      <w:proofErr w:type="spellEnd"/>
      <w:r w:rsidRPr="00C50854">
        <w:rPr>
          <w:i/>
          <w:lang w:eastAsia="et-EE"/>
        </w:rPr>
        <w:t xml:space="preserve"> Network </w:t>
      </w:r>
      <w:proofErr w:type="spellStart"/>
      <w:r w:rsidRPr="00C50854">
        <w:rPr>
          <w:i/>
          <w:lang w:eastAsia="et-EE"/>
        </w:rPr>
        <w:t>Unit</w:t>
      </w:r>
      <w:proofErr w:type="spellEnd"/>
      <w:r w:rsidRPr="00C50854">
        <w:rPr>
          <w:lang w:eastAsia="et-EE"/>
        </w:rPr>
        <w:t xml:space="preserve">) ja vaskpaar kliendiliini korral </w:t>
      </w:r>
      <w:r w:rsidRPr="00C50854">
        <w:rPr>
          <w:i/>
          <w:lang w:eastAsia="et-EE"/>
        </w:rPr>
        <w:t xml:space="preserve">DF (Distribution </w:t>
      </w:r>
      <w:proofErr w:type="spellStart"/>
      <w:r w:rsidRPr="00C50854">
        <w:rPr>
          <w:i/>
          <w:lang w:eastAsia="et-EE"/>
        </w:rPr>
        <w:t>Frame</w:t>
      </w:r>
      <w:proofErr w:type="spellEnd"/>
      <w:r w:rsidRPr="00C50854">
        <w:rPr>
          <w:i/>
          <w:lang w:eastAsia="et-EE"/>
        </w:rPr>
        <w:t>)</w:t>
      </w:r>
      <w:r w:rsidRPr="00C50854">
        <w:rPr>
          <w:lang w:eastAsia="et-EE"/>
        </w:rPr>
        <w:t>.</w:t>
      </w:r>
    </w:p>
    <w:p w14:paraId="59B6EB25"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5967C780"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7D5D6A43"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03C29AB5"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5BB5C9B9"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6808B258"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Kaablikanalisatsioon on maa või veekogu all paiknev sidevõrkude rajatis (üldjuhul toru), millesse saab paigutada kaableid. Telia kaablikanalisatsioon jaguneb kolmeks tsooniks</w:t>
      </w:r>
      <w:r w:rsidRPr="00C50854">
        <w:rPr>
          <w:vertAlign w:val="superscript"/>
          <w:lang w:eastAsia="et-EE"/>
        </w:rPr>
        <w:footnoteReference w:id="52"/>
      </w:r>
      <w:r w:rsidRPr="00C50854">
        <w:rPr>
          <w:lang w:eastAsia="et-EE"/>
        </w:rPr>
        <w:t xml:space="preserve">: </w:t>
      </w:r>
    </w:p>
    <w:p w14:paraId="30AEC8A4" w14:textId="77777777" w:rsidR="00D67E10" w:rsidRPr="00C50854" w:rsidRDefault="00D67E10" w:rsidP="00D67E10">
      <w:pPr>
        <w:suppressAutoHyphens w:val="0"/>
        <w:autoSpaceDE w:val="0"/>
        <w:autoSpaceDN w:val="0"/>
        <w:adjustRightInd w:val="0"/>
        <w:spacing w:before="120" w:after="120"/>
        <w:ind w:left="708"/>
        <w:jc w:val="both"/>
        <w:rPr>
          <w:lang w:eastAsia="et-EE"/>
        </w:rPr>
      </w:pPr>
      <w:r w:rsidRPr="00C50854">
        <w:rPr>
          <w:lang w:eastAsia="et-EE"/>
        </w:rPr>
        <w:t>magistraaltrass - võrgusõlmi ja/või jaotuspiirkondi (kapipiirkond) ühendav kaablikanalisatsioon, milles paikneb neli või enam paralleelset toru;</w:t>
      </w:r>
    </w:p>
    <w:p w14:paraId="3C53F9EB" w14:textId="77777777" w:rsidR="00D67E10" w:rsidRPr="00C50854" w:rsidRDefault="00D67E10" w:rsidP="00D67E10">
      <w:pPr>
        <w:suppressAutoHyphens w:val="0"/>
        <w:autoSpaceDE w:val="0"/>
        <w:autoSpaceDN w:val="0"/>
        <w:adjustRightInd w:val="0"/>
        <w:spacing w:before="120" w:after="120"/>
        <w:ind w:left="708"/>
        <w:jc w:val="both"/>
        <w:rPr>
          <w:lang w:eastAsia="et-EE"/>
        </w:rPr>
      </w:pPr>
      <w:r w:rsidRPr="00C50854">
        <w:rPr>
          <w:lang w:eastAsia="et-EE"/>
        </w:rPr>
        <w:t>jaotuspiirkond - geograafiliselt piiritletud alal paiknev kaablikanalisatsioon, milles paikneb vähem kui neli paralleelset toru;</w:t>
      </w:r>
    </w:p>
    <w:p w14:paraId="7CA78B01" w14:textId="77777777" w:rsidR="00D67E10" w:rsidRPr="00C50854" w:rsidRDefault="00D67E10" w:rsidP="00D67E10">
      <w:pPr>
        <w:suppressAutoHyphens w:val="0"/>
        <w:autoSpaceDE w:val="0"/>
        <w:autoSpaceDN w:val="0"/>
        <w:adjustRightInd w:val="0"/>
        <w:spacing w:before="120" w:after="120"/>
        <w:ind w:firstLine="708"/>
        <w:jc w:val="both"/>
        <w:rPr>
          <w:lang w:eastAsia="et-EE"/>
        </w:rPr>
      </w:pPr>
      <w:r w:rsidRPr="00C50854">
        <w:rPr>
          <w:lang w:eastAsia="et-EE"/>
        </w:rPr>
        <w:t>sisestus hoonesse - kaablikanalisatsiooni lõik, mis ühendab hoonet või kinnistu</w:t>
      </w:r>
    </w:p>
    <w:p w14:paraId="428C8F03" w14:textId="77777777" w:rsidR="00D67E10" w:rsidRPr="00C50854" w:rsidRDefault="00D67E10" w:rsidP="00D67E10">
      <w:pPr>
        <w:suppressAutoHyphens w:val="0"/>
        <w:autoSpaceDE w:val="0"/>
        <w:autoSpaceDN w:val="0"/>
        <w:adjustRightInd w:val="0"/>
        <w:spacing w:before="120" w:after="120"/>
        <w:ind w:left="708"/>
        <w:jc w:val="both"/>
        <w:rPr>
          <w:lang w:eastAsia="et-EE"/>
        </w:rPr>
      </w:pPr>
      <w:r w:rsidRPr="00C50854">
        <w:rPr>
          <w:lang w:eastAsia="et-EE"/>
        </w:rPr>
        <w:t>piiri lähima kaablikaevu või kaablikanalisatsiooni hargnemiskohaga või kahte hoonet</w:t>
      </w:r>
    </w:p>
    <w:p w14:paraId="2557446D" w14:textId="77777777" w:rsidR="00D67E10" w:rsidRPr="00C50854" w:rsidRDefault="00D67E10" w:rsidP="00D67E10">
      <w:pPr>
        <w:suppressAutoHyphens w:val="0"/>
        <w:autoSpaceDE w:val="0"/>
        <w:autoSpaceDN w:val="0"/>
        <w:adjustRightInd w:val="0"/>
        <w:spacing w:before="120" w:after="120"/>
        <w:ind w:firstLine="360"/>
        <w:jc w:val="both"/>
        <w:rPr>
          <w:lang w:eastAsia="et-EE"/>
        </w:rPr>
      </w:pPr>
      <w:r w:rsidRPr="00C50854">
        <w:rPr>
          <w:lang w:eastAsia="et-EE"/>
        </w:rPr>
        <w:t>omavahel.</w:t>
      </w:r>
    </w:p>
    <w:p w14:paraId="1FE8D760" w14:textId="1B84D17F" w:rsidR="00D67E10" w:rsidRPr="00C50854" w:rsidRDefault="00D67E10" w:rsidP="00D67E10">
      <w:pPr>
        <w:suppressAutoHyphens w:val="0"/>
        <w:autoSpaceDE w:val="0"/>
        <w:autoSpaceDN w:val="0"/>
        <w:adjustRightInd w:val="0"/>
        <w:spacing w:before="120" w:after="120"/>
        <w:ind w:left="360"/>
        <w:jc w:val="both"/>
        <w:rPr>
          <w:lang w:eastAsia="et-EE"/>
        </w:rPr>
      </w:pPr>
      <w:r w:rsidRPr="00C50854">
        <w:rPr>
          <w:noProof/>
          <w:lang w:eastAsia="et-EE"/>
        </w:rPr>
        <w:drawing>
          <wp:inline distT="0" distB="0" distL="0" distR="0" wp14:anchorId="263826E1" wp14:editId="782AC2EC">
            <wp:extent cx="5486400" cy="4922849"/>
            <wp:effectExtent l="0" t="0" r="0" b="0"/>
            <wp:docPr id="105" name="Pil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9910" cy="4925998"/>
                    </a:xfrm>
                    <a:prstGeom prst="rect">
                      <a:avLst/>
                    </a:prstGeom>
                    <a:noFill/>
                    <a:ln>
                      <a:noFill/>
                    </a:ln>
                  </pic:spPr>
                </pic:pic>
              </a:graphicData>
            </a:graphic>
          </wp:inline>
        </w:drawing>
      </w:r>
    </w:p>
    <w:p w14:paraId="5165AF0E" w14:textId="365E83AA" w:rsidR="00881655" w:rsidRPr="00C50854" w:rsidRDefault="00881655" w:rsidP="00881655">
      <w:pPr>
        <w:pStyle w:val="Pealdis"/>
        <w:rPr>
          <w:b w:val="0"/>
          <w:lang w:eastAsia="et-EE"/>
        </w:rPr>
      </w:pPr>
      <w:r w:rsidRPr="00C50854">
        <w:t xml:space="preserve">Joonis </w:t>
      </w:r>
      <w:fldSimple w:instr=" SEQ Joonis \* ARABIC ">
        <w:r w:rsidR="00C9460F" w:rsidRPr="00C50854">
          <w:rPr>
            <w:noProof/>
          </w:rPr>
          <w:t>7</w:t>
        </w:r>
      </w:fldSimple>
      <w:r w:rsidRPr="00C50854">
        <w:t xml:space="preserve">. </w:t>
      </w:r>
      <w:r w:rsidR="00495C78" w:rsidRPr="00C50854">
        <w:rPr>
          <w:b w:val="0"/>
        </w:rPr>
        <w:t>Kaablikanalisatsiooni struktuur</w:t>
      </w:r>
      <w:r w:rsidR="00826D22" w:rsidRPr="00C50854">
        <w:t xml:space="preserve"> </w:t>
      </w:r>
    </w:p>
    <w:p w14:paraId="429B462E" w14:textId="14C0231F"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Telia kaablikanalisatsiooni enam levinud läbimõõdud on 100</w:t>
      </w:r>
      <w:r w:rsidR="005620AA" w:rsidRPr="00C50854">
        <w:rPr>
          <w:lang w:eastAsia="et-EE"/>
        </w:rPr>
        <w:t xml:space="preserve"> </w:t>
      </w:r>
      <w:r w:rsidRPr="00C50854">
        <w:rPr>
          <w:lang w:eastAsia="et-EE"/>
        </w:rPr>
        <w:t>mm (üldjuhul jaotuspiirkonnas ja magistraaltrassis) ja 50 mm (üldjuhul sisestus hoonesse). Telia nimetab</w:t>
      </w:r>
      <w:r w:rsidRPr="00C50854">
        <w:rPr>
          <w:vertAlign w:val="superscript"/>
          <w:lang w:eastAsia="et-EE"/>
        </w:rPr>
        <w:footnoteReference w:id="53"/>
      </w:r>
      <w:r w:rsidRPr="00C50854">
        <w:rPr>
          <w:lang w:eastAsia="et-EE"/>
        </w:rPr>
        <w:t xml:space="preserve"> 50</w:t>
      </w:r>
      <w:r w:rsidR="005620AA" w:rsidRPr="00C50854">
        <w:rPr>
          <w:lang w:eastAsia="et-EE"/>
        </w:rPr>
        <w:t xml:space="preserve"> </w:t>
      </w:r>
      <w:r w:rsidRPr="00C50854">
        <w:rPr>
          <w:lang w:eastAsia="et-EE"/>
        </w:rPr>
        <w:t>mm läbimõõduga kaablikanalisatsiooni ka kaitsetoruks ehk kiikriks.</w:t>
      </w:r>
    </w:p>
    <w:p w14:paraId="59E0376A"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Järgnevalt analüüsitakse kohaliku juurdepääsu hulgiturul kliendiliinile ja kaablikanalisatsioonile juurdepääsuga seotud konkurentsiprobleeme ning nende vältimiseks sobivat ennetavat (</w:t>
      </w:r>
      <w:proofErr w:type="spellStart"/>
      <w:r w:rsidRPr="00C50854">
        <w:rPr>
          <w:i/>
          <w:lang w:eastAsia="et-EE"/>
        </w:rPr>
        <w:t>ex</w:t>
      </w:r>
      <w:proofErr w:type="spellEnd"/>
      <w:r w:rsidRPr="00C50854">
        <w:rPr>
          <w:i/>
          <w:lang w:eastAsia="et-EE"/>
        </w:rPr>
        <w:t xml:space="preserve"> </w:t>
      </w:r>
      <w:proofErr w:type="spellStart"/>
      <w:r w:rsidRPr="00C50854">
        <w:rPr>
          <w:i/>
          <w:lang w:eastAsia="et-EE"/>
        </w:rPr>
        <w:t>ante</w:t>
      </w:r>
      <w:proofErr w:type="spellEnd"/>
      <w:r w:rsidRPr="00C50854">
        <w:rPr>
          <w:lang w:eastAsia="et-EE"/>
        </w:rPr>
        <w:t>) regulatsiooni.</w:t>
      </w:r>
    </w:p>
    <w:p w14:paraId="09BABC25"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Kuivõrd </w:t>
      </w:r>
      <w:proofErr w:type="spellStart"/>
      <w:r w:rsidRPr="00C50854">
        <w:rPr>
          <w:i/>
          <w:lang w:eastAsia="et-EE"/>
        </w:rPr>
        <w:t>ex</w:t>
      </w:r>
      <w:proofErr w:type="spellEnd"/>
      <w:r w:rsidRPr="00C50854">
        <w:rPr>
          <w:i/>
          <w:lang w:eastAsia="et-EE"/>
        </w:rPr>
        <w:t xml:space="preserve"> </w:t>
      </w:r>
      <w:proofErr w:type="spellStart"/>
      <w:r w:rsidRPr="00C50854">
        <w:rPr>
          <w:i/>
          <w:lang w:eastAsia="et-EE"/>
        </w:rPr>
        <w:t>ante</w:t>
      </w:r>
      <w:proofErr w:type="spellEnd"/>
      <w:r w:rsidRPr="00C50854">
        <w:rPr>
          <w:lang w:eastAsia="et-EE"/>
        </w:rPr>
        <w:t xml:space="preserve"> regulatsiooni kehtestamine ei sisalda endas hinnangut sellele, kas ettevõtja on pannud toime õiguserikkumise ning oluline on üksnes kindlaks teha, kas tema turujõud annab talle võime käituda märgatavas ulatuses sõltumatuna konkurentidest, lepingupartneritest ja lõppkasutajatest</w:t>
      </w:r>
      <w:r w:rsidRPr="00C50854">
        <w:rPr>
          <w:rStyle w:val="Allmrkuseviide"/>
          <w:lang w:eastAsia="et-EE"/>
        </w:rPr>
        <w:footnoteReference w:id="54"/>
      </w:r>
      <w:r w:rsidRPr="00C50854">
        <w:rPr>
          <w:lang w:eastAsia="et-EE"/>
        </w:rPr>
        <w:t xml:space="preserve">, siis tuleb ka piiritletud sideturul esineda võivaid konkurentsiprobleeme hinnata ennekõike kui potentsiaalseid konkurentsiprobleeme ning selgitada välja, kas niisugused konkurentsiprobleemid võivad turu konkurentsiolukorrast tingituna praktikas realiseeruda. </w:t>
      </w:r>
    </w:p>
    <w:p w14:paraId="5BD09ABA" w14:textId="77777777" w:rsidR="00D67E10" w:rsidRPr="00C50854" w:rsidRDefault="00D67E10" w:rsidP="00D67E10">
      <w:pPr>
        <w:pStyle w:val="2Pealkiri"/>
      </w:pPr>
      <w:bookmarkStart w:id="286" w:name="_Toc470614559"/>
      <w:bookmarkStart w:id="287" w:name="_Toc472597882"/>
      <w:bookmarkStart w:id="288" w:name="_Toc35339842"/>
      <w:bookmarkStart w:id="289" w:name="_Toc35505096"/>
      <w:bookmarkStart w:id="290" w:name="_Toc39125666"/>
      <w:bookmarkStart w:id="291" w:name="_Toc42072453"/>
      <w:r w:rsidRPr="00C50854">
        <w:t>6.2. Juurdepääsu kohustused</w:t>
      </w:r>
      <w:bookmarkEnd w:id="286"/>
      <w:bookmarkEnd w:id="287"/>
      <w:bookmarkEnd w:id="288"/>
      <w:bookmarkEnd w:id="289"/>
      <w:bookmarkEnd w:id="290"/>
      <w:bookmarkEnd w:id="291"/>
    </w:p>
    <w:p w14:paraId="6CCCAFC1" w14:textId="77777777" w:rsidR="00D67E10" w:rsidRPr="00C50854" w:rsidRDefault="00D67E10" w:rsidP="00D67E10">
      <w:pPr>
        <w:pStyle w:val="Pealkiri3"/>
        <w:rPr>
          <w:i/>
        </w:rPr>
      </w:pPr>
      <w:bookmarkStart w:id="292" w:name="_Toc470614560"/>
      <w:bookmarkStart w:id="293" w:name="_Toc472597883"/>
      <w:bookmarkStart w:id="294" w:name="_Toc35339843"/>
      <w:bookmarkStart w:id="295" w:name="_Toc35505097"/>
      <w:bookmarkStart w:id="296" w:name="_Toc39125667"/>
      <w:bookmarkStart w:id="297" w:name="_Toc42072454"/>
      <w:r w:rsidRPr="00C50854">
        <w:rPr>
          <w:i/>
        </w:rPr>
        <w:t>6.2.1. Juurdepääsu kohustuste eesmärk ja alused</w:t>
      </w:r>
      <w:bookmarkEnd w:id="292"/>
      <w:bookmarkEnd w:id="293"/>
      <w:bookmarkEnd w:id="294"/>
      <w:bookmarkEnd w:id="295"/>
      <w:bookmarkEnd w:id="296"/>
      <w:bookmarkEnd w:id="297"/>
    </w:p>
    <w:p w14:paraId="037F6552"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Juurdepääsu kohustus on suunatud peatükis </w:t>
      </w:r>
      <w:r w:rsidRPr="00C50854">
        <w:rPr>
          <w:lang w:eastAsia="et-EE"/>
        </w:rPr>
        <w:fldChar w:fldCharType="begin"/>
      </w:r>
      <w:r w:rsidRPr="00C50854">
        <w:rPr>
          <w:lang w:eastAsia="et-EE"/>
        </w:rPr>
        <w:instrText xml:space="preserve"> REF _Ref465420934 \h  \* MERGEFORMAT </w:instrText>
      </w:r>
      <w:r w:rsidRPr="00C50854">
        <w:rPr>
          <w:lang w:eastAsia="et-EE"/>
        </w:rPr>
      </w:r>
      <w:r w:rsidRPr="00C50854">
        <w:rPr>
          <w:lang w:eastAsia="et-EE"/>
        </w:rPr>
        <w:fldChar w:fldCharType="separate"/>
      </w:r>
      <w:r w:rsidRPr="00C50854">
        <w:rPr>
          <w:lang w:eastAsia="et-EE"/>
        </w:rPr>
        <w:t>6.2.2. "Juurdepääsuga seotud konkurentsiprobleemid</w:t>
      </w:r>
      <w:r w:rsidRPr="00C50854">
        <w:rPr>
          <w:lang w:eastAsia="et-EE"/>
        </w:rPr>
        <w:fldChar w:fldCharType="end"/>
      </w:r>
      <w:r w:rsidRPr="00C50854">
        <w:rPr>
          <w:lang w:eastAsia="et-EE"/>
        </w:rPr>
        <w:t>" kirjeldatud juurdepääsust keeldumise ja viivitamisega seotud konkurentsiprobleemide vältimisele. Juurdepääsu kohustuste eesmärk on edendada konkurentsi elektroonilise side ja sellega seotud teenuste osutamisel, tõkestades sideteenuste turgudel konkurentsi moonutamine või takistamine ning kaitstes kliente eelkõige teenuste valiku osas</w:t>
      </w:r>
      <w:r w:rsidRPr="00C50854">
        <w:rPr>
          <w:vertAlign w:val="superscript"/>
          <w:lang w:eastAsia="et-EE"/>
        </w:rPr>
        <w:footnoteReference w:id="55"/>
      </w:r>
      <w:r w:rsidRPr="00C50854">
        <w:rPr>
          <w:lang w:eastAsia="et-EE"/>
        </w:rPr>
        <w:t xml:space="preserve">. Juurdepääsu kohustused tagavad alternatiivsetele sideettevõtjatele juurdepääsu märkimisväärse turujõuga ettevõtja sidevõrgu infrastruktuurile eesmärgiga pakkuda konkurentsi sideteenuste jaeturgudel. </w:t>
      </w:r>
    </w:p>
    <w:p w14:paraId="495EA4F9"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TTJA võib märkimisväärse turujõuga ettevõtjale kehtestada kohustuse rahuldada alternatiivse sideettevõtja mõistlik taotlus juurdepääsuks konkreetsetele võrguelementidele ja võrguga seotud vahenditele ja võimaldada nende kasutamine vastavalt ESS §-le 51, kui juurdepääsust keeldumine või juurdepääs ebamõistlikel tingimustel takistab konkurentsi arengut jaemüügi tasandil või on lõppkasutajate huve kahjustav</w:t>
      </w:r>
      <w:r w:rsidRPr="00C50854">
        <w:rPr>
          <w:vertAlign w:val="superscript"/>
          <w:lang w:eastAsia="et-EE"/>
        </w:rPr>
        <w:footnoteReference w:id="56"/>
      </w:r>
      <w:r w:rsidRPr="00C50854">
        <w:rPr>
          <w:lang w:eastAsia="et-EE"/>
        </w:rPr>
        <w:t>.</w:t>
      </w:r>
    </w:p>
    <w:p w14:paraId="4EEBC869" w14:textId="77777777" w:rsidR="00D67E10" w:rsidRPr="00C50854" w:rsidRDefault="00D67E10" w:rsidP="00311E1F">
      <w:pPr>
        <w:numPr>
          <w:ilvl w:val="0"/>
          <w:numId w:val="13"/>
        </w:numPr>
        <w:suppressAutoHyphens w:val="0"/>
        <w:autoSpaceDE w:val="0"/>
        <w:autoSpaceDN w:val="0"/>
        <w:adjustRightInd w:val="0"/>
        <w:spacing w:before="120" w:after="120"/>
        <w:rPr>
          <w:lang w:eastAsia="et-EE"/>
        </w:rPr>
      </w:pPr>
      <w:r w:rsidRPr="00C50854">
        <w:rPr>
          <w:lang w:eastAsia="et-EE"/>
        </w:rPr>
        <w:t>ESS § 51 kohustuse raames võib TTJA märkimisväärse turujõuga ettevõtjalt muu hulgas nõuda:</w:t>
      </w:r>
      <w:r w:rsidRPr="00C50854">
        <w:rPr>
          <w:lang w:eastAsia="et-EE"/>
        </w:rPr>
        <w:br/>
      </w:r>
      <w:r w:rsidRPr="00C50854">
        <w:rPr>
          <w:lang w:eastAsia="et-EE"/>
        </w:rPr>
        <w:br/>
        <w:t>1) sideettevõtjatele juurdepääsu võimaldamist konkreetsetele võrguelementidele või -vahenditele, sealhulgas täielikku või jagatud juurdepääsu kliendiliinile ja alamkliendiliinile;</w:t>
      </w:r>
      <w:r w:rsidRPr="00C50854">
        <w:rPr>
          <w:lang w:eastAsia="et-EE"/>
        </w:rPr>
        <w:br/>
        <w:t>2) heas usus läbirääkimist sideettevõtjatega, kes nõuavad juurdepääsu;</w:t>
      </w:r>
      <w:r w:rsidRPr="00C50854">
        <w:rPr>
          <w:lang w:eastAsia="et-EE"/>
        </w:rPr>
        <w:br/>
        <w:t>3) lubatud juurdepääsu jätkuvat võimaldamist;</w:t>
      </w:r>
      <w:r w:rsidRPr="00C50854">
        <w:rPr>
          <w:lang w:eastAsia="et-EE"/>
        </w:rPr>
        <w:br/>
        <w:t>4) teatud teenuste osutamist hulgimüügi korras sideettevõtjatele nende teenuste edasimüümise eesmärgil;</w:t>
      </w:r>
      <w:r w:rsidRPr="00C50854">
        <w:rPr>
          <w:lang w:eastAsia="et-EE"/>
        </w:rPr>
        <w:br/>
        <w:t>5) teenuste või virtuaalvõrguteenuste koostalitluseks hädavajalikele tehnilistele liidestele, protokollidele ja muudele võtmetehnoloogiatele avatud juurdepääsu võimaldamist;</w:t>
      </w:r>
      <w:r w:rsidRPr="00C50854">
        <w:rPr>
          <w:lang w:eastAsia="et-EE"/>
        </w:rPr>
        <w:br/>
        <w:t>6) ühispaiknemise või muude ühiskasutuse viiside pakkumist, sealhulgas kaablikanalisatsiooni, hoonete ja mastide ühiskasutuse võimaldamist;</w:t>
      </w:r>
      <w:r w:rsidRPr="00C50854">
        <w:rPr>
          <w:lang w:eastAsia="et-EE"/>
        </w:rPr>
        <w:br/>
      </w:r>
      <w:r w:rsidRPr="00C50854">
        <w:rPr>
          <w:lang w:eastAsia="et-EE"/>
        </w:rPr>
        <w:lastRenderedPageBreak/>
        <w:t>7) lõppkasutajatele läbivühendatavusel põhinevate teenuste koostalitlusvõime tagamiseks vajalike teenuste, sealhulgas taipvõrguteenuseks ja mobiiltelefonivõrkude rändlusteenuseks vajalike vahendite pakkumist;                                                                                         8) teenuste osutamisel õiglase konkurentsi tagamiseks vajalikele tugisüsteemidele või samalaadsetele tarkvarasüsteemidele juurdepääsu pakkumist;</w:t>
      </w:r>
      <w:r w:rsidRPr="00C50854">
        <w:rPr>
          <w:lang w:eastAsia="et-EE"/>
        </w:rPr>
        <w:br/>
        <w:t>9) võrkude või võrguvahendite sidumist;</w:t>
      </w:r>
      <w:r w:rsidRPr="00C50854">
        <w:rPr>
          <w:lang w:eastAsia="et-EE"/>
        </w:rPr>
        <w:br/>
        <w:t>10) lõppkasutajale juurdepääsu võimaldamist märkimisväärse turujõuga ettevõtja võrguga seotud telefoniteenuse osutaja teenustele operaatorkoodi valimise ja telefoniteenuse osutaja eelvaliku teel võimalusega tühistada eelnev valik iga kõne puhul eraldi, valides selleks operaatorkoodi;</w:t>
      </w:r>
      <w:r w:rsidRPr="00C50854">
        <w:rPr>
          <w:lang w:eastAsia="et-EE"/>
        </w:rPr>
        <w:br/>
        <w:t>11) võimaldada käesoleva lõike punktis 10 nimetatud teenuse kliendiliinide hulgimüüki teisele sideettevõtjale;</w:t>
      </w:r>
      <w:r w:rsidRPr="00C50854">
        <w:rPr>
          <w:lang w:eastAsia="et-EE"/>
        </w:rPr>
        <w:br/>
        <w:t>12) juurdepääsu seotud teenusele.</w:t>
      </w:r>
    </w:p>
    <w:p w14:paraId="467449D2"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TTJA võib eelnimetatud kohustuse kehtestamisel täpsustada kohustuse täitmise viisi</w:t>
      </w:r>
      <w:r w:rsidRPr="00C50854">
        <w:rPr>
          <w:vertAlign w:val="superscript"/>
        </w:rPr>
        <w:footnoteReference w:id="57"/>
      </w:r>
      <w:r w:rsidRPr="00C50854">
        <w:rPr>
          <w:lang w:eastAsia="et-EE"/>
        </w:rPr>
        <w:t>.</w:t>
      </w:r>
    </w:p>
    <w:p w14:paraId="7640E9C8"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Kui TTJA on kehtestanud sideettevõtjale juurdepääsu kohustuse on vastav sideettevõtja kohustatud sõlmima juurdepääsulepingu ja võimaldama juurdepääsu võrkudele, seadmetele või teenustele TTJA poolt antud mõistliku tähtaja jooksul, arvestades, et juurdepääsuks või sidumiseks kohustatud sideettevõtjal võib olla vaja luua juurdepääsuks tehnilised tingimused, sealhulgas paigaldada seadmed</w:t>
      </w:r>
      <w:r w:rsidRPr="00C50854">
        <w:rPr>
          <w:vertAlign w:val="superscript"/>
        </w:rPr>
        <w:footnoteReference w:id="58"/>
      </w:r>
      <w:r w:rsidRPr="00C50854">
        <w:rPr>
          <w:lang w:eastAsia="et-EE"/>
        </w:rPr>
        <w:t>.</w:t>
      </w:r>
    </w:p>
    <w:p w14:paraId="33559E76" w14:textId="77777777" w:rsidR="00D67E10" w:rsidRPr="00C50854" w:rsidRDefault="00D67E10" w:rsidP="00311E1F">
      <w:pPr>
        <w:numPr>
          <w:ilvl w:val="0"/>
          <w:numId w:val="13"/>
        </w:numPr>
        <w:suppressAutoHyphens w:val="0"/>
        <w:autoSpaceDE w:val="0"/>
        <w:autoSpaceDN w:val="0"/>
        <w:adjustRightInd w:val="0"/>
        <w:spacing w:before="120" w:after="120"/>
        <w:rPr>
          <w:lang w:eastAsia="et-EE"/>
        </w:rPr>
      </w:pPr>
      <w:bookmarkStart w:id="298" w:name="para64lg2"/>
      <w:r w:rsidRPr="00C50854">
        <w:rPr>
          <w:lang w:eastAsia="et-EE"/>
        </w:rPr>
        <w:t> </w:t>
      </w:r>
      <w:bookmarkEnd w:id="298"/>
      <w:r w:rsidRPr="00C50854">
        <w:rPr>
          <w:lang w:eastAsia="et-EE"/>
        </w:rPr>
        <w:t>Sideettevõtja, kelle suhtes on TTJA kehtestanud juurdepääsu kohustuse, on kohustatud juurdepääsu kohustuse täitmisel vastavalt kohustuse iseloomule täitma järgmisi nõudeid</w:t>
      </w:r>
      <w:r w:rsidRPr="00C50854">
        <w:rPr>
          <w:vertAlign w:val="superscript"/>
        </w:rPr>
        <w:footnoteReference w:id="59"/>
      </w:r>
      <w:r w:rsidRPr="00C50854">
        <w:rPr>
          <w:lang w:eastAsia="et-EE"/>
        </w:rPr>
        <w:t xml:space="preserve"> :</w:t>
      </w:r>
      <w:r w:rsidRPr="00C50854">
        <w:rPr>
          <w:lang w:eastAsia="et-EE"/>
        </w:rPr>
        <w:br/>
      </w:r>
      <w:r w:rsidRPr="00C50854">
        <w:rPr>
          <w:lang w:eastAsia="et-EE"/>
        </w:rPr>
        <w:br/>
      </w:r>
      <w:bookmarkStart w:id="299" w:name="para64lg2p1"/>
      <w:r w:rsidRPr="00C50854">
        <w:rPr>
          <w:lang w:eastAsia="et-EE"/>
        </w:rPr>
        <w:t>  </w:t>
      </w:r>
      <w:bookmarkEnd w:id="299"/>
      <w:r w:rsidRPr="00C50854">
        <w:rPr>
          <w:lang w:eastAsia="et-EE"/>
        </w:rPr>
        <w:t>1) võimaldama kasutada võrgu seadmeid, ehitisi ning liinirajatisi võrdsetel tingimustel ja kvaliteediga, millega ta seda ise osutab oma ema- ja tütarettevõtjale, klientidele või äripartneritele;</w:t>
      </w:r>
      <w:r w:rsidRPr="00C50854">
        <w:rPr>
          <w:lang w:eastAsia="et-EE"/>
        </w:rPr>
        <w:br/>
      </w:r>
      <w:bookmarkStart w:id="300" w:name="para64lg2p2"/>
      <w:r w:rsidRPr="00C50854">
        <w:rPr>
          <w:lang w:eastAsia="et-EE"/>
        </w:rPr>
        <w:t>  </w:t>
      </w:r>
      <w:bookmarkEnd w:id="300"/>
      <w:r w:rsidRPr="00C50854">
        <w:rPr>
          <w:lang w:eastAsia="et-EE"/>
        </w:rPr>
        <w:t>2) võimaldama juurdepääsuks või sidumiseks taotluse esitanud ettevõtjal saada juurdepääsuks ja sidumiseks vajalikku teavet;</w:t>
      </w:r>
      <w:r w:rsidRPr="00C50854">
        <w:rPr>
          <w:lang w:eastAsia="et-EE"/>
        </w:rPr>
        <w:br/>
      </w:r>
      <w:bookmarkStart w:id="301" w:name="para64lg2p3"/>
      <w:r w:rsidRPr="00C50854">
        <w:rPr>
          <w:lang w:eastAsia="et-EE"/>
        </w:rPr>
        <w:t>  </w:t>
      </w:r>
      <w:bookmarkEnd w:id="301"/>
      <w:r w:rsidRPr="00C50854">
        <w:rPr>
          <w:lang w:eastAsia="et-EE"/>
        </w:rPr>
        <w:t>3) kasutama juurdepääsu või sidumisega seoses saadud teavet üksnes vastava teenuse osutamiseks ning mitte avaldama seda kolmandale isikule, eelkõige teisele struktuuriüksusele, tütarettevõtjale ega partnerile, kellele selline teave võiks anda konkurentsieeliseid, kui seaduses ei ole sätestatud teisiti;</w:t>
      </w:r>
      <w:r w:rsidRPr="00C50854">
        <w:rPr>
          <w:lang w:eastAsia="et-EE"/>
        </w:rPr>
        <w:br/>
      </w:r>
      <w:bookmarkStart w:id="302" w:name="para64lg2p4"/>
      <w:r w:rsidRPr="00C50854">
        <w:rPr>
          <w:lang w:eastAsia="et-EE"/>
        </w:rPr>
        <w:t> </w:t>
      </w:r>
      <w:bookmarkEnd w:id="302"/>
      <w:r w:rsidRPr="00C50854">
        <w:rPr>
          <w:lang w:eastAsia="et-EE"/>
        </w:rPr>
        <w:t>4) mitte piirama oma klientide juurdepääsu teise sideettevõtja poolt osutatavatele teenustele.</w:t>
      </w:r>
    </w:p>
    <w:p w14:paraId="76ACD1A2" w14:textId="77777777" w:rsidR="00D67E10" w:rsidRPr="00C50854" w:rsidRDefault="00D67E10" w:rsidP="00D67E10">
      <w:pPr>
        <w:suppressAutoHyphens w:val="0"/>
        <w:autoSpaceDE w:val="0"/>
        <w:autoSpaceDN w:val="0"/>
        <w:adjustRightInd w:val="0"/>
        <w:spacing w:before="120" w:after="120"/>
        <w:rPr>
          <w:lang w:eastAsia="et-EE"/>
        </w:rPr>
      </w:pPr>
    </w:p>
    <w:p w14:paraId="5EF3199A" w14:textId="77777777" w:rsidR="00D67E10" w:rsidRPr="00C50854" w:rsidRDefault="00D67E10" w:rsidP="00D67E10">
      <w:pPr>
        <w:pStyle w:val="Pealkiri3"/>
        <w:rPr>
          <w:i/>
        </w:rPr>
      </w:pPr>
      <w:bookmarkStart w:id="303" w:name="_Toc39125668"/>
      <w:bookmarkStart w:id="304" w:name="_Toc42072455"/>
      <w:r w:rsidRPr="00C50854">
        <w:rPr>
          <w:i/>
        </w:rPr>
        <w:t>6.2.2 Juurdepääsuga seotud konkurentsiprobleemid</w:t>
      </w:r>
      <w:bookmarkEnd w:id="303"/>
      <w:bookmarkEnd w:id="304"/>
    </w:p>
    <w:p w14:paraId="2F2A1C90" w14:textId="77777777" w:rsidR="00D67E10" w:rsidRPr="00C50854" w:rsidRDefault="00D67E10" w:rsidP="00D67E10"/>
    <w:p w14:paraId="7D967E33"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Kohaliku juurdepääsu hulgituru teenused on olulised sisendid nimetatud turuga vertikaalselt allapoole seotud jaeturgudele siseneja jaoks, kellel puudub oma sidevõrk või kelle sidevõrk on piiratud ulatusega (edaspidi ka alternatiivne sideettevõtja). Oluline on märkida, et sidevõrkude rajamine on seotud suurte pöördumatute kuludega ja vajavad märkimisväärset mastaabisäästu ning on see tõttu eriti raskesti dubleeritavad. Arvestades asjaolu, et Telia peamine tulu tuleb sideteenuste osutamisest jaeturgudel, siis ei ole Telia vertikaalselt integreeritud ettevõtjana huvitatud hulgiteenuste osutamisest alternatiivsetele sideettevõtjatele, kuna see suurendab konkurentsi jaeturul. Sellest tuleneb ka vertikaalselt </w:t>
      </w:r>
      <w:r w:rsidRPr="00C50854">
        <w:rPr>
          <w:lang w:eastAsia="et-EE"/>
        </w:rPr>
        <w:lastRenderedPageBreak/>
        <w:t>integreeritud märkimisväärset turujõudu omava ettevõtja huvi piirata lairiba juurdepääsu hulgiturul teenuste osutamist. Nimetatud hulgiteenuste osutamisest keeldumisega piiratakse alternatiivsete sideettevõtjate võimalusi siseneda nimetatud hulgituruga vertikaalselt allapoole seotud jaeturgudele.</w:t>
      </w:r>
    </w:p>
    <w:p w14:paraId="11746C15" w14:textId="3FB06538"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305" w:name="_Hlk31885728"/>
      <w:r w:rsidRPr="00C50854">
        <w:rPr>
          <w:lang w:eastAsia="et-EE"/>
        </w:rPr>
        <w:t>BEREC</w:t>
      </w:r>
      <w:r w:rsidR="00084409" w:rsidRPr="00C50854">
        <w:rPr>
          <w:rStyle w:val="Allmrkuseviide"/>
          <w:lang w:eastAsia="et-EE"/>
        </w:rPr>
        <w:footnoteReference w:id="60"/>
      </w:r>
      <w:r w:rsidRPr="00C50854">
        <w:rPr>
          <w:lang w:eastAsia="et-EE"/>
        </w:rPr>
        <w:t xml:space="preserve"> on avaldanud seisukoha, mis käsitleb lairiba juurdepääsu hulgiturul märkimisväärse turujõuga ettevõtjale kohustuste kehtestamise parimaid tavasid</w:t>
      </w:r>
      <w:r w:rsidRPr="00C50854">
        <w:rPr>
          <w:vertAlign w:val="superscript"/>
          <w:lang w:eastAsia="et-EE"/>
        </w:rPr>
        <w:footnoteReference w:id="61"/>
      </w:r>
      <w:r w:rsidRPr="00C50854">
        <w:rPr>
          <w:lang w:eastAsia="et-EE"/>
        </w:rPr>
        <w:t>. Selles tuuakse välja sagedamini esineda võivad lairiba juurdepääsuga seotud konkurentsiprobleemid hulgiturul, mis takistavad alternatiivsetel sideettevõtjatel tõhusalt konkureerida jaemüügiturul</w:t>
      </w:r>
      <w:bookmarkEnd w:id="305"/>
      <w:r w:rsidRPr="00C50854">
        <w:rPr>
          <w:lang w:eastAsia="et-EE"/>
        </w:rPr>
        <w:t>:</w:t>
      </w:r>
    </w:p>
    <w:p w14:paraId="3A63175A" w14:textId="77777777" w:rsidR="00D67E10" w:rsidRPr="00C50854" w:rsidRDefault="00D67E10" w:rsidP="00D67E10">
      <w:pPr>
        <w:numPr>
          <w:ilvl w:val="1"/>
          <w:numId w:val="30"/>
        </w:numPr>
        <w:suppressAutoHyphens w:val="0"/>
        <w:spacing w:before="120" w:after="120"/>
        <w:contextualSpacing/>
        <w:jc w:val="both"/>
        <w:rPr>
          <w:lang w:eastAsia="et-EE"/>
        </w:rPr>
      </w:pPr>
      <w:r w:rsidRPr="00C50854">
        <w:rPr>
          <w:lang w:eastAsia="et-EE"/>
        </w:rPr>
        <w:t>MTE võib keelduda või viivitada juurdepääsu osutamisega oma sidevõrgule või teatud sidevõrgu tasandile või teatud sidevõrgu geograafilisele piirkonnale.</w:t>
      </w:r>
    </w:p>
    <w:p w14:paraId="0683BA9B" w14:textId="77777777" w:rsidR="00D67E10" w:rsidRPr="00C50854" w:rsidRDefault="00D67E10" w:rsidP="00D67E10">
      <w:pPr>
        <w:numPr>
          <w:ilvl w:val="1"/>
          <w:numId w:val="30"/>
        </w:numPr>
        <w:suppressAutoHyphens w:val="0"/>
        <w:spacing w:before="120" w:after="120"/>
        <w:contextualSpacing/>
        <w:jc w:val="both"/>
        <w:rPr>
          <w:lang w:eastAsia="et-EE"/>
        </w:rPr>
      </w:pPr>
      <w:r w:rsidRPr="00C50854">
        <w:rPr>
          <w:lang w:eastAsia="et-EE"/>
        </w:rPr>
        <w:t>MTE võib keelduda või viivitada alternatiivse sideettevõtja taotlusel uute otstarbekate ja mõistlike juurdepääsuteenuste välja arendamisest.</w:t>
      </w:r>
      <w:bookmarkStart w:id="307" w:name="_Hlk31279919"/>
      <w:r w:rsidRPr="00C50854">
        <w:rPr>
          <w:lang w:eastAsia="et-EE"/>
        </w:rPr>
        <w:t xml:space="preserve"> </w:t>
      </w:r>
    </w:p>
    <w:p w14:paraId="069A76CC" w14:textId="77777777" w:rsidR="00D67E10" w:rsidRPr="00C50854" w:rsidRDefault="00D67E10" w:rsidP="00D67E10">
      <w:pPr>
        <w:numPr>
          <w:ilvl w:val="1"/>
          <w:numId w:val="30"/>
        </w:numPr>
        <w:suppressAutoHyphens w:val="0"/>
        <w:spacing w:before="120" w:after="120"/>
        <w:contextualSpacing/>
        <w:jc w:val="both"/>
        <w:rPr>
          <w:lang w:eastAsia="et-EE"/>
        </w:rPr>
      </w:pPr>
      <w:bookmarkStart w:id="308" w:name="_Hlk31281832"/>
      <w:bookmarkEnd w:id="307"/>
      <w:r w:rsidRPr="00C50854">
        <w:rPr>
          <w:lang w:eastAsia="et-EE"/>
        </w:rPr>
        <w:t>MTE võib keelduda või viivitada piisava tehnilise kvaliteediga juurdepääsutoodete osutamisest, mis võimaldaks pakkuda MTE jaeteenustega samaväärset kvaliteediga jaeteenuseid</w:t>
      </w:r>
      <w:bookmarkEnd w:id="308"/>
      <w:r w:rsidRPr="00C50854">
        <w:rPr>
          <w:lang w:eastAsia="et-EE"/>
        </w:rPr>
        <w:t>.</w:t>
      </w:r>
    </w:p>
    <w:p w14:paraId="6ECC2335" w14:textId="77777777" w:rsidR="00D67E10" w:rsidRPr="00C50854" w:rsidRDefault="00D67E10" w:rsidP="00D67E10">
      <w:pPr>
        <w:numPr>
          <w:ilvl w:val="1"/>
          <w:numId w:val="30"/>
        </w:numPr>
        <w:suppressAutoHyphens w:val="0"/>
        <w:spacing w:before="120" w:after="120"/>
        <w:contextualSpacing/>
        <w:jc w:val="both"/>
        <w:rPr>
          <w:lang w:eastAsia="et-EE"/>
        </w:rPr>
      </w:pPr>
      <w:r w:rsidRPr="00C50854">
        <w:rPr>
          <w:lang w:eastAsia="et-EE"/>
        </w:rPr>
        <w:t>MTE võib keelduda või viivitada juurdepääsuteenusega seotud piisava kvaliteediga tegevuste pakkumisest, mis võimaldaks pakkuda MTE jaeteenustega samaväärset kvaliteetiga jaeteenuseid. Sellisteks tegevusteks võivad olla näiteks teenuse tellimise protseduur, remondi- ja hooldustööde tegemine ning rikete kõrvaldamine.</w:t>
      </w:r>
    </w:p>
    <w:p w14:paraId="286FA3D0" w14:textId="77777777" w:rsidR="00D67E10" w:rsidRPr="00C50854" w:rsidRDefault="00D67E10" w:rsidP="00D67E10">
      <w:pPr>
        <w:numPr>
          <w:ilvl w:val="1"/>
          <w:numId w:val="30"/>
        </w:numPr>
        <w:suppressAutoHyphens w:val="0"/>
        <w:spacing w:before="120" w:after="120"/>
        <w:contextualSpacing/>
        <w:jc w:val="both"/>
        <w:rPr>
          <w:lang w:eastAsia="et-EE"/>
        </w:rPr>
      </w:pPr>
      <w:r w:rsidRPr="00C50854">
        <w:rPr>
          <w:lang w:eastAsia="et-EE"/>
        </w:rPr>
        <w:t>MTE  võib keelduda või viivitada sobivate hulgitasandi toodete (nt valguskaabli kiu rent, kaablikanalisatsiooni rent) pakkumisega, mis võimaldaksid alternatiivse sideettevõtja ja MTE sidevõrkude ühendamist sobiva tasandi (kohalik, piirkondlik, riiklik) pääsupunktis.</w:t>
      </w:r>
    </w:p>
    <w:p w14:paraId="5DEC2A44" w14:textId="2FE1F596" w:rsidR="00D67E10" w:rsidRPr="00C50854" w:rsidRDefault="00D67E10" w:rsidP="00D67E10">
      <w:pPr>
        <w:numPr>
          <w:ilvl w:val="1"/>
          <w:numId w:val="30"/>
        </w:numPr>
        <w:suppressAutoHyphens w:val="0"/>
        <w:spacing w:before="120" w:after="120"/>
        <w:contextualSpacing/>
        <w:jc w:val="both"/>
        <w:rPr>
          <w:lang w:eastAsia="et-EE"/>
        </w:rPr>
      </w:pPr>
      <w:r w:rsidRPr="00C50854">
        <w:rPr>
          <w:lang w:eastAsia="et-EE"/>
        </w:rPr>
        <w:t xml:space="preserve">MTE võib keelduda või viivitada alternatiivsete sideettevõtja ning enda sidevõrgu seadmete ühispaiknemise võimaldamisest ja muudele seotud seadmetele juurdepääsust (nt energiavarustuse seadmed, jahutuse seadmed), mis on vajalikud alternatiivsele </w:t>
      </w:r>
      <w:r w:rsidR="002A5D20" w:rsidRPr="00C50854">
        <w:rPr>
          <w:lang w:eastAsia="et-EE"/>
        </w:rPr>
        <w:t>sideettevõtja</w:t>
      </w:r>
      <w:r w:rsidRPr="00C50854">
        <w:rPr>
          <w:lang w:eastAsia="et-EE"/>
        </w:rPr>
        <w:t>le tõhusaks konkureerimiseks jaemüügiturul kohaliku juurdepääsu hulgiteenuste alusel.</w:t>
      </w:r>
    </w:p>
    <w:p w14:paraId="481E6C63" w14:textId="6A191667" w:rsidR="00D67E10" w:rsidRPr="00C50854" w:rsidRDefault="00D67E10" w:rsidP="00D67E10">
      <w:pPr>
        <w:numPr>
          <w:ilvl w:val="1"/>
          <w:numId w:val="30"/>
        </w:numPr>
        <w:contextualSpacing/>
        <w:rPr>
          <w:lang w:eastAsia="et-EE"/>
        </w:rPr>
      </w:pPr>
      <w:r w:rsidRPr="00C50854">
        <w:rPr>
          <w:lang w:eastAsia="et-EE"/>
        </w:rPr>
        <w:t>MTE võib keelduda või viivitada kavandatava hulgiteenuse sulgemise teavitamisega ja sobivate asendusteenuste ning asendusteenustele vajalike ülemineku protseduuride pakkumisega,</w:t>
      </w:r>
      <w:r w:rsidRPr="00C50854">
        <w:t xml:space="preserve"> </w:t>
      </w:r>
      <w:r w:rsidRPr="00C50854">
        <w:rPr>
          <w:lang w:eastAsia="et-EE"/>
        </w:rPr>
        <w:t xml:space="preserve">mis on vajalikud alternatiivsele </w:t>
      </w:r>
      <w:r w:rsidR="002A5D20" w:rsidRPr="00C50854">
        <w:rPr>
          <w:lang w:eastAsia="et-EE"/>
        </w:rPr>
        <w:t>sideettevõtja</w:t>
      </w:r>
      <w:r w:rsidRPr="00C50854">
        <w:rPr>
          <w:lang w:eastAsia="et-EE"/>
        </w:rPr>
        <w:t>le jätkuvaks tõhusaks konkureerimiseks jaemüügiturul kohaliku juurdepääsu hulgiteenuse vahendusel.</w:t>
      </w:r>
    </w:p>
    <w:p w14:paraId="5230EB34" w14:textId="77777777" w:rsidR="00D67E10" w:rsidRPr="00C50854" w:rsidRDefault="00D67E10" w:rsidP="00D67E10">
      <w:pPr>
        <w:suppressAutoHyphens w:val="0"/>
        <w:spacing w:before="120" w:after="120"/>
        <w:ind w:left="1620"/>
        <w:contextualSpacing/>
        <w:jc w:val="both"/>
        <w:rPr>
          <w:lang w:eastAsia="et-EE"/>
        </w:rPr>
      </w:pPr>
    </w:p>
    <w:p w14:paraId="39BC108B" w14:textId="77777777" w:rsidR="00D67E10" w:rsidRPr="00C50854" w:rsidRDefault="00D67E10" w:rsidP="00D67E10">
      <w:pPr>
        <w:suppressAutoHyphens w:val="0"/>
        <w:spacing w:before="120" w:after="120"/>
        <w:ind w:left="1620"/>
        <w:contextualSpacing/>
        <w:jc w:val="both"/>
        <w:rPr>
          <w:lang w:eastAsia="et-EE"/>
        </w:rPr>
      </w:pPr>
    </w:p>
    <w:p w14:paraId="7ED3787D"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TTJA hinnangul on eelkirjeldatud juurdepääsust keeldumise ja/või viivitamisega seotud konkurentsiprobleemide esinemine lähima kolme aasta jooksul tõenäoline, kuna puuduvad alused eeldada, et Telia vertikaalne integreeritus ja turujõud lairiba juurdepääsu hulgiturul nimetatud perioodil märkimisväärselt väheneks. See annab Teliale võime keelduda ja/või viivitada juurdepääsu osutamisega lairiba juurdepääsu hulgituru teenustele takistades teiste sideettevõtjate jaeturule sisenemist ning kahjustades seeläbi konkurentsi jaemüügi tasandil ning lõppkasutajate huve.</w:t>
      </w:r>
    </w:p>
    <w:p w14:paraId="11C24501"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309" w:name="_Hlk39047227"/>
      <w:r w:rsidRPr="00C50854">
        <w:rPr>
          <w:lang w:eastAsia="et-EE"/>
        </w:rPr>
        <w:lastRenderedPageBreak/>
        <w:t xml:space="preserve">Turuanalüüsi küsimustiku vastustes tõid alternatiivsed sideettevõtjad esile alljärgnevad teemad seoses Telia kliendiliinile ja kaablikanalisatsioonile juurdepääsuga, mis võivad tekitada konkurentsiprobleeme: </w:t>
      </w:r>
    </w:p>
    <w:p w14:paraId="64DDF8EC" w14:textId="77777777" w:rsidR="00D67E10" w:rsidRPr="00C50854" w:rsidRDefault="00D67E10" w:rsidP="00D67E10">
      <w:pPr>
        <w:pStyle w:val="Loendilik"/>
        <w:numPr>
          <w:ilvl w:val="2"/>
          <w:numId w:val="14"/>
        </w:numPr>
        <w:suppressAutoHyphens w:val="0"/>
        <w:autoSpaceDE w:val="0"/>
        <w:autoSpaceDN w:val="0"/>
        <w:adjustRightInd w:val="0"/>
        <w:spacing w:before="120" w:after="120"/>
        <w:ind w:left="2344"/>
        <w:jc w:val="both"/>
        <w:rPr>
          <w:lang w:eastAsia="et-EE"/>
        </w:rPr>
      </w:pPr>
      <w:r w:rsidRPr="00C50854">
        <w:rPr>
          <w:lang w:eastAsia="et-EE"/>
        </w:rPr>
        <w:t xml:space="preserve">juurdepääsu puudumine Telia kaablikanalisatsiooni digitaalsele alusplaanile, </w:t>
      </w:r>
    </w:p>
    <w:p w14:paraId="32A37377" w14:textId="77777777" w:rsidR="00D67E10" w:rsidRPr="00C50854" w:rsidRDefault="00D67E10" w:rsidP="00D67E10">
      <w:pPr>
        <w:pStyle w:val="Loendilik"/>
        <w:numPr>
          <w:ilvl w:val="2"/>
          <w:numId w:val="14"/>
        </w:numPr>
        <w:suppressAutoHyphens w:val="0"/>
        <w:autoSpaceDE w:val="0"/>
        <w:autoSpaceDN w:val="0"/>
        <w:adjustRightInd w:val="0"/>
        <w:spacing w:before="120" w:after="120"/>
        <w:ind w:left="2344"/>
        <w:jc w:val="both"/>
        <w:rPr>
          <w:lang w:eastAsia="et-EE"/>
        </w:rPr>
      </w:pPr>
      <w:r w:rsidRPr="00C50854">
        <w:rPr>
          <w:lang w:eastAsia="et-EE"/>
        </w:rPr>
        <w:t xml:space="preserve">Telia 100 mm kaablikanalisatsiooni paigalduskohtade suurus ja vastavus kaasaegsete kaablite tehnilistele omadustele, </w:t>
      </w:r>
    </w:p>
    <w:p w14:paraId="43916E21" w14:textId="77777777" w:rsidR="00D67E10" w:rsidRPr="00C50854" w:rsidRDefault="00D67E10" w:rsidP="00D67E10">
      <w:pPr>
        <w:pStyle w:val="Loendilik"/>
        <w:numPr>
          <w:ilvl w:val="2"/>
          <w:numId w:val="14"/>
        </w:numPr>
        <w:suppressAutoHyphens w:val="0"/>
        <w:autoSpaceDE w:val="0"/>
        <w:autoSpaceDN w:val="0"/>
        <w:adjustRightInd w:val="0"/>
        <w:spacing w:before="120" w:after="120"/>
        <w:ind w:left="2344"/>
        <w:jc w:val="both"/>
        <w:rPr>
          <w:lang w:eastAsia="et-EE"/>
        </w:rPr>
      </w:pPr>
      <w:r w:rsidRPr="00C50854">
        <w:rPr>
          <w:lang w:eastAsia="et-EE"/>
        </w:rPr>
        <w:t xml:space="preserve">Telia juurdepääsu tingimused amortiseerunud kaablikanalisatsioonile, </w:t>
      </w:r>
    </w:p>
    <w:p w14:paraId="3D3AAFEC" w14:textId="77777777" w:rsidR="00D67E10" w:rsidRPr="00C50854" w:rsidRDefault="00D67E10" w:rsidP="00D67E10">
      <w:pPr>
        <w:pStyle w:val="Loendilik"/>
        <w:numPr>
          <w:ilvl w:val="2"/>
          <w:numId w:val="14"/>
        </w:numPr>
        <w:suppressAutoHyphens w:val="0"/>
        <w:autoSpaceDE w:val="0"/>
        <w:autoSpaceDN w:val="0"/>
        <w:adjustRightInd w:val="0"/>
        <w:spacing w:before="120" w:after="120"/>
        <w:ind w:left="2344"/>
        <w:jc w:val="both"/>
        <w:rPr>
          <w:lang w:eastAsia="et-EE"/>
        </w:rPr>
      </w:pPr>
      <w:r w:rsidRPr="00C50854">
        <w:rPr>
          <w:lang w:eastAsia="et-EE"/>
        </w:rPr>
        <w:t>Telia kaablikanalisatsioonis paigalduskoha allrent,</w:t>
      </w:r>
    </w:p>
    <w:p w14:paraId="0F7BB29A" w14:textId="77777777" w:rsidR="00D67E10" w:rsidRPr="00C50854" w:rsidRDefault="00D67E10" w:rsidP="00D67E10">
      <w:pPr>
        <w:pStyle w:val="Loendilik"/>
        <w:numPr>
          <w:ilvl w:val="2"/>
          <w:numId w:val="14"/>
        </w:numPr>
        <w:suppressAutoHyphens w:val="0"/>
        <w:autoSpaceDE w:val="0"/>
        <w:autoSpaceDN w:val="0"/>
        <w:adjustRightInd w:val="0"/>
        <w:spacing w:before="120" w:after="120"/>
        <w:ind w:left="2344"/>
        <w:jc w:val="both"/>
        <w:rPr>
          <w:lang w:eastAsia="et-EE"/>
        </w:rPr>
      </w:pPr>
      <w:bookmarkStart w:id="310" w:name="_Hlk38877128"/>
      <w:r w:rsidRPr="00C50854">
        <w:rPr>
          <w:lang w:eastAsia="et-EE"/>
        </w:rPr>
        <w:t>nõuded Teliale kaablikanalisatsiooni rajamisel</w:t>
      </w:r>
      <w:bookmarkEnd w:id="310"/>
      <w:r w:rsidRPr="00C50854">
        <w:rPr>
          <w:lang w:eastAsia="et-EE"/>
        </w:rPr>
        <w:t>,</w:t>
      </w:r>
    </w:p>
    <w:p w14:paraId="177F6476" w14:textId="77777777" w:rsidR="00D67E10" w:rsidRPr="00C50854" w:rsidRDefault="00D67E10" w:rsidP="00D67E10">
      <w:pPr>
        <w:pStyle w:val="Loendilik"/>
        <w:numPr>
          <w:ilvl w:val="2"/>
          <w:numId w:val="14"/>
        </w:numPr>
        <w:suppressAutoHyphens w:val="0"/>
        <w:autoSpaceDE w:val="0"/>
        <w:autoSpaceDN w:val="0"/>
        <w:adjustRightInd w:val="0"/>
        <w:spacing w:before="120" w:after="120"/>
        <w:ind w:left="2344"/>
        <w:jc w:val="both"/>
        <w:rPr>
          <w:lang w:eastAsia="et-EE"/>
        </w:rPr>
      </w:pPr>
      <w:r w:rsidRPr="00C50854">
        <w:rPr>
          <w:lang w:eastAsia="et-EE"/>
        </w:rPr>
        <w:t>Telia kliendiliinile juurdepääs lõpp-punktile lähimast jaotussõlmest,</w:t>
      </w:r>
    </w:p>
    <w:p w14:paraId="0D3DC448" w14:textId="27360164" w:rsidR="00D67E10" w:rsidRPr="00C50854" w:rsidRDefault="00D67E10" w:rsidP="00D67E10">
      <w:pPr>
        <w:pStyle w:val="Loendilik"/>
        <w:numPr>
          <w:ilvl w:val="2"/>
          <w:numId w:val="14"/>
        </w:numPr>
        <w:suppressAutoHyphens w:val="0"/>
        <w:autoSpaceDE w:val="0"/>
        <w:autoSpaceDN w:val="0"/>
        <w:adjustRightInd w:val="0"/>
        <w:spacing w:before="120" w:after="120"/>
        <w:ind w:left="2344"/>
        <w:jc w:val="both"/>
        <w:rPr>
          <w:lang w:eastAsia="et-EE"/>
        </w:rPr>
      </w:pPr>
      <w:bookmarkStart w:id="311" w:name="_Hlk25667171"/>
      <w:r w:rsidRPr="00C50854">
        <w:rPr>
          <w:lang w:eastAsia="et-EE"/>
        </w:rPr>
        <w:t xml:space="preserve">Telia kliendiliinile juurdepääsu hulgiteenuste </w:t>
      </w:r>
      <w:r w:rsidR="00F80AB2" w:rsidRPr="00C50854">
        <w:rPr>
          <w:lang w:eastAsia="et-EE"/>
        </w:rPr>
        <w:t xml:space="preserve">tehnoloogia muutmise ja </w:t>
      </w:r>
      <w:r w:rsidRPr="00C50854">
        <w:rPr>
          <w:lang w:eastAsia="et-EE"/>
        </w:rPr>
        <w:t>lõpetamise</w:t>
      </w:r>
      <w:bookmarkEnd w:id="311"/>
      <w:r w:rsidRPr="00C50854">
        <w:rPr>
          <w:lang w:eastAsia="et-EE"/>
        </w:rPr>
        <w:t xml:space="preserve"> tingimused.</w:t>
      </w:r>
    </w:p>
    <w:p w14:paraId="159FC797" w14:textId="77777777" w:rsidR="00D67E10" w:rsidRPr="00C50854" w:rsidRDefault="00D67E10" w:rsidP="00D67E10">
      <w:pPr>
        <w:pStyle w:val="Loendilik"/>
        <w:suppressAutoHyphens w:val="0"/>
        <w:autoSpaceDE w:val="0"/>
        <w:autoSpaceDN w:val="0"/>
        <w:adjustRightInd w:val="0"/>
        <w:spacing w:before="120" w:after="120"/>
        <w:ind w:left="2340"/>
        <w:jc w:val="both"/>
        <w:rPr>
          <w:lang w:eastAsia="et-EE"/>
        </w:rPr>
      </w:pPr>
    </w:p>
    <w:p w14:paraId="2DB89FA2" w14:textId="77777777" w:rsidR="00D67E10" w:rsidRPr="00C50854" w:rsidRDefault="00D67E10" w:rsidP="00D67E10">
      <w:pPr>
        <w:suppressAutoHyphens w:val="0"/>
        <w:autoSpaceDE w:val="0"/>
        <w:autoSpaceDN w:val="0"/>
        <w:adjustRightInd w:val="0"/>
        <w:spacing w:before="120" w:after="120"/>
        <w:ind w:left="708"/>
        <w:jc w:val="both"/>
        <w:rPr>
          <w:lang w:eastAsia="et-EE"/>
        </w:rPr>
      </w:pPr>
      <w:r w:rsidRPr="00C50854">
        <w:rPr>
          <w:lang w:eastAsia="et-EE"/>
        </w:rPr>
        <w:t>Eelnimetatud teemasid analüüsitakse järgnevas peatükis „Juurdepääsukohustuse valiku analüüs“.</w:t>
      </w:r>
    </w:p>
    <w:p w14:paraId="1ED0D109" w14:textId="77777777" w:rsidR="00D67E10" w:rsidRPr="00C50854" w:rsidRDefault="00D67E10" w:rsidP="00D67E10">
      <w:pPr>
        <w:pStyle w:val="Pealkiri3"/>
        <w:rPr>
          <w:i/>
        </w:rPr>
      </w:pPr>
      <w:bookmarkStart w:id="312" w:name="_Toc470614562"/>
      <w:bookmarkStart w:id="313" w:name="_Toc472597885"/>
      <w:bookmarkStart w:id="314" w:name="_Toc35339845"/>
      <w:bookmarkStart w:id="315" w:name="_Toc35505099"/>
      <w:bookmarkStart w:id="316" w:name="_Toc39125669"/>
      <w:bookmarkStart w:id="317" w:name="_Toc42072456"/>
      <w:bookmarkStart w:id="318" w:name="_Hlk25667140"/>
      <w:bookmarkEnd w:id="309"/>
      <w:r w:rsidRPr="00C50854">
        <w:rPr>
          <w:i/>
        </w:rPr>
        <w:t>6.2.3. Juurdepääsukohustuste valiku analüüs</w:t>
      </w:r>
      <w:bookmarkEnd w:id="312"/>
      <w:bookmarkEnd w:id="313"/>
      <w:bookmarkEnd w:id="314"/>
      <w:bookmarkEnd w:id="315"/>
      <w:bookmarkEnd w:id="316"/>
      <w:bookmarkEnd w:id="317"/>
    </w:p>
    <w:p w14:paraId="4BF00F2D"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319" w:name="_Hlk31887473"/>
      <w:r w:rsidRPr="00C50854">
        <w:rPr>
          <w:lang w:eastAsia="et-EE"/>
        </w:rPr>
        <w:t>Alljärgnevalt on analüüsitud erinevaid kohustusi, mida võiks rakendada märkimisväärse turujõuga ettevõtjale, et tagada kohalikul juurdepääsu hulgiturul juurdepääsuga seotud konkurentsiprobleemide tõhusaima vältimise.</w:t>
      </w:r>
    </w:p>
    <w:p w14:paraId="53830112"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Riigi reguleerivad asutused peavad tasakaalustama infrastruktuuri omaniku õiguseid kasutada oma infrastruktuuri enda huvides ja teiste teenuseosutajate õiguseid kasutada vastavat infrastruktuuri ja sellega seotud vahendeid, mis on olulised konkureerivate teenuste pakkumiseks</w:t>
      </w:r>
      <w:r w:rsidRPr="00C50854">
        <w:rPr>
          <w:vertAlign w:val="superscript"/>
        </w:rPr>
        <w:footnoteReference w:id="62"/>
      </w:r>
      <w:r w:rsidRPr="00C50854">
        <w:rPr>
          <w:lang w:eastAsia="et-EE"/>
        </w:rPr>
        <w:t xml:space="preserve">. </w:t>
      </w:r>
    </w:p>
    <w:bookmarkEnd w:id="319"/>
    <w:p w14:paraId="63CCF391"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TTJA kaalus erinevaid ESS § 50 lõigetes 1 – 4 ja lõikes 7 sätestatud meetmeid (läbipaistvuskohustus, mittediskrimineerimise kohustus ja hinnaga seotud kohustused) hindamaks, kas need võiksid asendada ESS § 51 sätestatud juurdepääsu kohustusi ja leidis, et:</w:t>
      </w:r>
    </w:p>
    <w:p w14:paraId="48A8EE52" w14:textId="77777777" w:rsidR="00D67E10" w:rsidRPr="00C50854" w:rsidRDefault="00D67E10" w:rsidP="00D67E10">
      <w:pPr>
        <w:numPr>
          <w:ilvl w:val="0"/>
          <w:numId w:val="26"/>
        </w:numPr>
        <w:suppressAutoHyphens w:val="0"/>
        <w:spacing w:before="120" w:after="120"/>
        <w:ind w:left="1134"/>
        <w:jc w:val="both"/>
        <w:rPr>
          <w:lang w:eastAsia="et-EE"/>
        </w:rPr>
      </w:pPr>
      <w:r w:rsidRPr="00C50854">
        <w:rPr>
          <w:lang w:eastAsia="et-EE"/>
        </w:rPr>
        <w:t>läbipaistvuskohustus</w:t>
      </w:r>
      <w:r w:rsidRPr="00C50854">
        <w:rPr>
          <w:vertAlign w:val="superscript"/>
          <w:lang w:eastAsia="et-EE"/>
        </w:rPr>
        <w:footnoteReference w:id="63"/>
      </w:r>
      <w:r w:rsidRPr="00C50854">
        <w:rPr>
          <w:lang w:eastAsia="et-EE"/>
        </w:rPr>
        <w:t xml:space="preserve"> üksi ei ole juurdepääsust keeldumise ja viivitamise konkurentsiprobleemi vältimiseks piisav, kuna nimetatud kohustus sätestab ainult kohustuse avaldada kõigile võrdsetel tingimustel kohaliku juurdepääsu hulgituru koosseisu kuuluvate hulgiteenuste kasutamiseks vajalikku informatsiooni, kuid ei kohusta osutama vastavaid teenuseid õigeaegselt;</w:t>
      </w:r>
    </w:p>
    <w:p w14:paraId="13CBA82B" w14:textId="77777777" w:rsidR="00D67E10" w:rsidRPr="00C50854" w:rsidRDefault="00D67E10" w:rsidP="00D67E10">
      <w:pPr>
        <w:numPr>
          <w:ilvl w:val="0"/>
          <w:numId w:val="26"/>
        </w:numPr>
        <w:suppressAutoHyphens w:val="0"/>
        <w:spacing w:before="120" w:after="120"/>
        <w:ind w:left="1134"/>
        <w:jc w:val="both"/>
        <w:rPr>
          <w:lang w:eastAsia="et-EE"/>
        </w:rPr>
      </w:pPr>
      <w:r w:rsidRPr="00C50854">
        <w:rPr>
          <w:lang w:eastAsia="et-EE"/>
        </w:rPr>
        <w:t>mittediskrimineerimise</w:t>
      </w:r>
      <w:r w:rsidRPr="00C50854">
        <w:rPr>
          <w:vertAlign w:val="superscript"/>
          <w:lang w:eastAsia="et-EE"/>
        </w:rPr>
        <w:footnoteReference w:id="64"/>
      </w:r>
      <w:r w:rsidRPr="00C50854">
        <w:rPr>
          <w:lang w:eastAsia="et-EE"/>
        </w:rPr>
        <w:t xml:space="preserve"> kohustus ei ole juurdepääsust keeldumise ja viivitamise konkurentsiprobleemi vältimiseks kohane, kuna nimetatud kohustus on suunatud üksnes sideettevõtjate võrdse kohtlemise tagamisele, kuid ei taga kohaliku juurdepääsu hulgituru koosseisu kuuluvate hulgiteenuste osutamist õigeaegselt;</w:t>
      </w:r>
    </w:p>
    <w:p w14:paraId="06FF2E13" w14:textId="77777777" w:rsidR="00D67E10" w:rsidRPr="00C50854" w:rsidRDefault="00D67E10" w:rsidP="00D67E10">
      <w:pPr>
        <w:numPr>
          <w:ilvl w:val="0"/>
          <w:numId w:val="26"/>
        </w:numPr>
        <w:suppressAutoHyphens w:val="0"/>
        <w:spacing w:before="120" w:after="120"/>
        <w:ind w:left="1134"/>
        <w:jc w:val="both"/>
        <w:rPr>
          <w:lang w:eastAsia="et-EE"/>
        </w:rPr>
      </w:pPr>
      <w:r w:rsidRPr="00C50854">
        <w:rPr>
          <w:lang w:eastAsia="et-EE"/>
        </w:rPr>
        <w:t>hinnaga seotud kohustused</w:t>
      </w:r>
      <w:r w:rsidRPr="00C50854">
        <w:rPr>
          <w:vertAlign w:val="superscript"/>
          <w:lang w:eastAsia="et-EE"/>
        </w:rPr>
        <w:footnoteReference w:id="65"/>
      </w:r>
      <w:r w:rsidRPr="00C50854">
        <w:rPr>
          <w:lang w:eastAsia="et-EE"/>
        </w:rPr>
        <w:t xml:space="preserve"> ei ole samuti juurdepääsust keeldumise ja viivitamise konkurentsiprobleemi vältimiseks piisavad ega kohased, kuna need on suunatud juurdepääsu hinna reguleerimisele, kuid ei taga kohaliku juurdepääsu hulgituru koosseisu kuuluvate hulgiteenuste osutamist õigeaegselt.</w:t>
      </w:r>
    </w:p>
    <w:p w14:paraId="06974814" w14:textId="77777777" w:rsidR="00D67E10" w:rsidRPr="00C50854" w:rsidRDefault="00D67E10" w:rsidP="00311E1F">
      <w:pPr>
        <w:numPr>
          <w:ilvl w:val="0"/>
          <w:numId w:val="13"/>
        </w:numPr>
        <w:jc w:val="both"/>
      </w:pPr>
      <w:r w:rsidRPr="00C50854">
        <w:t>ESS § 51 lõikest 1 tulenevalt kaalus TTJA, kas Teliale on juurdepääsu kohustuste kehtestamine vajalik ja proportsioonis  ESS §</w:t>
      </w:r>
      <w:r w:rsidRPr="00C50854">
        <w:noBreakHyphen/>
        <w:t>s 134 sätestatud eesmärkidega ning leiab, et:</w:t>
      </w:r>
    </w:p>
    <w:p w14:paraId="74B4CB14" w14:textId="77777777" w:rsidR="00D67E10" w:rsidRPr="00C50854" w:rsidRDefault="00D67E10" w:rsidP="00D67E10">
      <w:pPr>
        <w:ind w:left="360"/>
        <w:jc w:val="both"/>
      </w:pPr>
    </w:p>
    <w:p w14:paraId="56DFB7B9" w14:textId="77777777" w:rsidR="00D67E10" w:rsidRPr="00C50854" w:rsidRDefault="00D67E10" w:rsidP="00D67E10">
      <w:pPr>
        <w:ind w:left="360"/>
        <w:jc w:val="both"/>
      </w:pPr>
      <w:r w:rsidRPr="00C50854">
        <w:t xml:space="preserve">1) </w:t>
      </w:r>
      <w:r w:rsidRPr="00C50854">
        <w:tab/>
        <w:t>kindlaksmääratud asukohas kohaliku juurdepääsu hulgituru koosseisu kuuluvate hulgiteenuste osutamisel vajalike konkureerivate vahendite  kasutamise või paigaldamise (sh juurdepääsu teostatavus kaablikanalisatsioonile), pidades silmas turu arengutempot ja võttes arvesse asjasse puutuva juurdepääsu laadi ja liiki, on Telia sidevõrgus tehniliselt ja majanduslikult teostatav, kuna Telial on olemas selliste teenuste osutamiseks vajalik tehniline valmisolek ja ressurss;</w:t>
      </w:r>
    </w:p>
    <w:p w14:paraId="5F981EFA" w14:textId="77777777" w:rsidR="00D67E10" w:rsidRPr="00C50854" w:rsidRDefault="00D67E10" w:rsidP="00D67E10">
      <w:pPr>
        <w:ind w:left="360"/>
        <w:jc w:val="both"/>
      </w:pPr>
      <w:r w:rsidRPr="00C50854">
        <w:t xml:space="preserve">2) </w:t>
      </w:r>
      <w:r w:rsidRPr="00C50854">
        <w:tab/>
        <w:t>Telia sidevõrgus on kindlaksmääratud asukohas kohaliku juurdepääsu hulgituru koosseisu kuuluvate hulgiteenuste pakkumine mõistliku taotluse korral teostatav võrreldes kasutatavate mahtudega, kuna vastava teenuse pakkumisest saadavad tulud aitavad kaasa investeeringute tegemisele sidevõrgu arendamiseks;</w:t>
      </w:r>
    </w:p>
    <w:p w14:paraId="69E956CD" w14:textId="77777777" w:rsidR="00D67E10" w:rsidRPr="00C50854" w:rsidRDefault="00D67E10" w:rsidP="00D67E10">
      <w:pPr>
        <w:ind w:left="360"/>
        <w:jc w:val="both"/>
      </w:pPr>
      <w:r w:rsidRPr="00C50854">
        <w:t xml:space="preserve">3) </w:t>
      </w:r>
      <w:r w:rsidRPr="00C50854">
        <w:tab/>
        <w:t>kindlaksmääratud asukohas kohaliku juurdepääsu hulgituru koosseisu kuuluvate hulgiteenuste osutamine mõistliku taotluse alusel Telia sidevõrgus ei ole ülemäära koormav ega sea ohtu Telia esialgseid investeeringuid, võttes seejuures arvesse ka riiklikke investeeringuid ja investeerimisega kaasnevaid riske, kuna vastava teenuse osutamisest saadavad tulud tagavad esialgsete investeeringute tasuvuse;</w:t>
      </w:r>
    </w:p>
    <w:p w14:paraId="37B3EB96" w14:textId="77777777" w:rsidR="00D67E10" w:rsidRPr="00C50854" w:rsidRDefault="00D67E10" w:rsidP="00D67E10">
      <w:pPr>
        <w:ind w:left="360"/>
        <w:jc w:val="both"/>
      </w:pPr>
      <w:r w:rsidRPr="00C50854">
        <w:t xml:space="preserve">4) </w:t>
      </w:r>
      <w:r w:rsidRPr="00C50854">
        <w:tab/>
        <w:t>kindlaksmääratud asukohas kohaliku juurdepääsu hulgituru koosseisu kuuluvate hulgiteenuste osutamise kohustuse soodustab konkurentsi jaeturgudel pikema aja jooksul, eelkõige majanduslikul tõhusal infrastruktuuril põhinevat konkurentsi, kuna vastav kohustus tagab sideettevõtjatele sisenemise kindlaksmääratud asukohas kohaliku juurdepääsu hulgituru lähedalt seotud jaeturgudele, mis omakorda suurendab konkureerivate jaeteenuste pakkumist majanduslikult tõhusal viisil;</w:t>
      </w:r>
    </w:p>
    <w:p w14:paraId="0C61AFAA" w14:textId="77777777" w:rsidR="00D67E10" w:rsidRPr="00C50854" w:rsidRDefault="00D67E10" w:rsidP="00D67E10">
      <w:pPr>
        <w:ind w:left="360"/>
        <w:jc w:val="both"/>
      </w:pPr>
      <w:r w:rsidRPr="00C50854">
        <w:t xml:space="preserve">5) </w:t>
      </w:r>
      <w:r w:rsidRPr="00C50854">
        <w:tab/>
        <w:t>kindlaksmääratud asukohas kohaliku juurdepääsu hulgituru koosseisu kuuluvate hulgiteenuste osutamise kohustuse kehtestamine Teliale edendab nii konkurentsi jaetasandil kui ka kaitseb lõppkasutajate õigusi. Kindlaksmääratud asukohas kohaliku juurdepääsu hulgituru koosseisu kuuluvate teenuste osutamine soodustab konkurentide sisenemist nimetatud turuga lähedalt seotud jaeturgudele, mis omakorda edendab konkurentsi jaetasandil;</w:t>
      </w:r>
    </w:p>
    <w:p w14:paraId="1A9CBBE4" w14:textId="77777777" w:rsidR="00D67E10" w:rsidRPr="00C50854" w:rsidRDefault="00D67E10" w:rsidP="00D67E10">
      <w:pPr>
        <w:ind w:left="360"/>
        <w:jc w:val="both"/>
      </w:pPr>
      <w:r w:rsidRPr="00C50854">
        <w:t>6) kindlaksmääratud asukohas kohaliku juurdepääsu hulgituru koosseis kuuluvate hulgiteenuste osutamine ei kahjusta asjasse puutuvate intellektuaalse omandi õiguste kaitset;</w:t>
      </w:r>
    </w:p>
    <w:p w14:paraId="09E0D6F9" w14:textId="77777777" w:rsidR="00D67E10" w:rsidRPr="00C50854" w:rsidRDefault="00D67E10" w:rsidP="00D67E10">
      <w:pPr>
        <w:ind w:left="360"/>
        <w:jc w:val="both"/>
      </w:pPr>
      <w:r w:rsidRPr="00C50854">
        <w:t>7) kindlaksmääratud asukohas kohaliku juurdepääsu hulgituru koosseisu kuuluvate hulgiteenuste osutamise kohustuse kehtestamine Teliale edendab üleeuroopaliste teenuste osutamise võimalikkust, kuna nimetatud teenuste osutamine soodustab teistest euroopa riikidest pärit konkurentide sisenemist nimetatud hulgituruga lähedalt seotud jaeturgudele Eestis, mis omakorda edendab üleeuroopaliste teenuste konkurentsi arengut.</w:t>
      </w:r>
    </w:p>
    <w:p w14:paraId="11A3CA54" w14:textId="77777777" w:rsidR="00D67E10" w:rsidRPr="00C50854" w:rsidRDefault="00D67E10" w:rsidP="00D67E10">
      <w:pPr>
        <w:jc w:val="both"/>
      </w:pPr>
    </w:p>
    <w:p w14:paraId="5395B103" w14:textId="77777777" w:rsidR="00D67E10" w:rsidRPr="00C50854" w:rsidRDefault="00D67E10" w:rsidP="00311E1F">
      <w:pPr>
        <w:numPr>
          <w:ilvl w:val="0"/>
          <w:numId w:val="13"/>
        </w:numPr>
        <w:jc w:val="both"/>
      </w:pPr>
      <w:r w:rsidRPr="00C50854">
        <w:t>ESS § 135 lõike 1 kohaselt on tagatud, et juurdepääsu kohustuste kehtestamine Teliale on:</w:t>
      </w:r>
    </w:p>
    <w:p w14:paraId="30B49848" w14:textId="77777777" w:rsidR="00D67E10" w:rsidRPr="00C50854" w:rsidRDefault="00D67E10" w:rsidP="00D67E10">
      <w:pPr>
        <w:ind w:left="360"/>
        <w:jc w:val="both"/>
      </w:pPr>
    </w:p>
    <w:p w14:paraId="1B42D3FB" w14:textId="6D27FD57" w:rsidR="00D67E10" w:rsidRPr="00C50854" w:rsidRDefault="00D67E10" w:rsidP="00D67E10">
      <w:pPr>
        <w:numPr>
          <w:ilvl w:val="0"/>
          <w:numId w:val="8"/>
        </w:numPr>
        <w:jc w:val="both"/>
      </w:pPr>
      <w:r w:rsidRPr="00C50854">
        <w:t>mõistlik ja otstarbekas, kuna sellega tagatakse teistele sideettevõtjatele juurdepääs jaeteenuste osutamiseks olulistele ja raskesti dubleeritavatele sidevõrgu infrastruktuuri</w:t>
      </w:r>
      <w:r w:rsidR="00453C5C" w:rsidRPr="00C50854">
        <w:t>de</w:t>
      </w:r>
      <w:r w:rsidRPr="00C50854">
        <w:t>le, mistõttu edeneb konkurents sideteenuste jaeturgudel;</w:t>
      </w:r>
    </w:p>
    <w:p w14:paraId="6DCB0525" w14:textId="77777777" w:rsidR="00D67E10" w:rsidRPr="00C50854" w:rsidRDefault="00D67E10" w:rsidP="00D67E10">
      <w:pPr>
        <w:numPr>
          <w:ilvl w:val="0"/>
          <w:numId w:val="8"/>
        </w:numPr>
        <w:jc w:val="both"/>
      </w:pPr>
      <w:r w:rsidRPr="00C50854">
        <w:t>mittediskrimineeriv, kuna Telia osutatavad kindlaksmääratud asukohas kohaliku juurdepääsu hulgituru teenused mõjutavad konkurentsi jaeturgudel Telia ulatusliku infrastruktuuri tõttu oluliselt suuremal määral kui teiste sideettevõtjate poolt osutatavad kindlaksmääratud asukohas kohaliku juurdepääsu hulgituru teenused. Sellest tulenevalt on õigustatud Teliale juurdepääsu kohustuste kehtestamine asjakohasel hulgiturul, et tõkestada Telial kasutada oma märkimisväärset turujõudu konkurentsi takistamiseks;</w:t>
      </w:r>
    </w:p>
    <w:p w14:paraId="209148CA" w14:textId="77777777" w:rsidR="00D67E10" w:rsidRPr="00C50854" w:rsidRDefault="00D67E10" w:rsidP="00D67E10">
      <w:pPr>
        <w:numPr>
          <w:ilvl w:val="0"/>
          <w:numId w:val="8"/>
        </w:numPr>
        <w:jc w:val="both"/>
      </w:pPr>
      <w:r w:rsidRPr="00C50854">
        <w:t>läbipaistev, kuna kohustus kehtestatakse selliselt, et Teliale on</w:t>
      </w:r>
      <w:r w:rsidRPr="00C50854">
        <w:rPr>
          <w:bCs/>
          <w:iCs/>
        </w:rPr>
        <w:t xml:space="preserve"> üheselt arusaadav, mida TJTA tema suhtes on otsustanud ning millised õigused ja kohustused sellest temale tulenevad.</w:t>
      </w:r>
    </w:p>
    <w:p w14:paraId="00A23A0A" w14:textId="77777777" w:rsidR="00D67E10" w:rsidRPr="00C50854" w:rsidRDefault="00D67E10" w:rsidP="00311E1F">
      <w:pPr>
        <w:numPr>
          <w:ilvl w:val="0"/>
          <w:numId w:val="13"/>
        </w:numPr>
        <w:jc w:val="both"/>
      </w:pPr>
      <w:r w:rsidRPr="00C50854">
        <w:t xml:space="preserve">Kokkuvõtvalt on TTJA seisukohal, et eeltoodut arvesse võttes ei ole kavandatavad juurdepääsukohustused Teliale ülemääraselt koormavad. Samuti on TTJA hinnangul Telial </w:t>
      </w:r>
      <w:r w:rsidRPr="00C50854">
        <w:lastRenderedPageBreak/>
        <w:t>olemas nimetatud kohustuste täitmiseks vajalik tehniline valmisolek ja ressurss, kuna suuremas osas kehtivad sarnased juurdepääsu kohustused Teliale ka praegu</w:t>
      </w:r>
      <w:r w:rsidRPr="00C50854">
        <w:rPr>
          <w:rStyle w:val="Allmrkuseviide"/>
        </w:rPr>
        <w:footnoteReference w:id="66"/>
      </w:r>
      <w:r w:rsidRPr="00C50854">
        <w:t>.</w:t>
      </w:r>
    </w:p>
    <w:p w14:paraId="6A993E23" w14:textId="77777777" w:rsidR="00D67E10" w:rsidRPr="00C50854" w:rsidRDefault="00D67E10" w:rsidP="00D67E10">
      <w:pPr>
        <w:jc w:val="both"/>
      </w:pPr>
    </w:p>
    <w:p w14:paraId="13F1C0E0" w14:textId="77777777" w:rsidR="00D67E10" w:rsidRPr="00C50854" w:rsidRDefault="00D67E10" w:rsidP="00311E1F">
      <w:pPr>
        <w:numPr>
          <w:ilvl w:val="0"/>
          <w:numId w:val="13"/>
        </w:numPr>
        <w:jc w:val="both"/>
      </w:pPr>
      <w:r w:rsidRPr="00C50854">
        <w:t>Järgnevalt analüüsitakse, kas ja kuidas on vaja muuta kehtivaid kohaliku juurdepääsu hulgituru kohustusi</w:t>
      </w:r>
      <w:r w:rsidRPr="00C50854">
        <w:rPr>
          <w:rStyle w:val="Allmrkuseviide"/>
        </w:rPr>
        <w:footnoteReference w:id="67"/>
      </w:r>
      <w:r w:rsidRPr="00C50854">
        <w:t xml:space="preserve"> seoses alternatiivsete sideettevõtjate poolt peatükis 6.2.2 välja toodud teemadega, mis võivad põhjustada konkurentsiprobleeme.</w:t>
      </w:r>
    </w:p>
    <w:p w14:paraId="3C810F7E" w14:textId="77777777" w:rsidR="00D67E10" w:rsidRPr="00C50854" w:rsidRDefault="00D67E10" w:rsidP="00D67E10">
      <w:pPr>
        <w:pStyle w:val="Loendilik"/>
      </w:pPr>
    </w:p>
    <w:p w14:paraId="3E3C1E81" w14:textId="77777777" w:rsidR="00D67E10" w:rsidRPr="00C50854" w:rsidRDefault="00D67E10" w:rsidP="00D67E10">
      <w:pPr>
        <w:ind w:left="360"/>
        <w:jc w:val="both"/>
      </w:pPr>
    </w:p>
    <w:p w14:paraId="236B0A84" w14:textId="77777777" w:rsidR="00D67E10" w:rsidRPr="00C50854" w:rsidRDefault="00D67E10" w:rsidP="00370AB8">
      <w:pPr>
        <w:pStyle w:val="Pealkiri3"/>
        <w:rPr>
          <w:b w:val="0"/>
          <w:bCs w:val="0"/>
          <w:i/>
          <w:iCs/>
        </w:rPr>
      </w:pPr>
      <w:bookmarkStart w:id="320" w:name="_Toc39125670"/>
      <w:bookmarkStart w:id="321" w:name="_Ref41035135"/>
      <w:bookmarkStart w:id="322" w:name="_Toc42072457"/>
      <w:r w:rsidRPr="00C50854">
        <w:rPr>
          <w:b w:val="0"/>
          <w:bCs w:val="0"/>
          <w:i/>
          <w:iCs/>
        </w:rPr>
        <w:t>6.2.3.1 Juurdepääs Telia sidevõrgu digitaalsele alusplaanile</w:t>
      </w:r>
      <w:bookmarkEnd w:id="320"/>
      <w:bookmarkEnd w:id="321"/>
      <w:bookmarkEnd w:id="322"/>
    </w:p>
    <w:bookmarkEnd w:id="318"/>
    <w:p w14:paraId="5C7F20A6" w14:textId="77777777" w:rsidR="00D67E10" w:rsidRPr="00C50854" w:rsidRDefault="00D67E10" w:rsidP="00D67E10">
      <w:pPr>
        <w:suppressAutoHyphens w:val="0"/>
        <w:autoSpaceDE w:val="0"/>
        <w:autoSpaceDN w:val="0"/>
        <w:adjustRightInd w:val="0"/>
        <w:spacing w:before="120" w:after="120"/>
        <w:jc w:val="both"/>
        <w:rPr>
          <w:lang w:eastAsia="et-EE"/>
        </w:rPr>
      </w:pPr>
    </w:p>
    <w:p w14:paraId="14147113"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Olukorra kirjeldus</w:t>
      </w:r>
    </w:p>
    <w:p w14:paraId="6F42A789"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Turuanalüüsi küsimustiku vastustes tõid alternatiivsed sideettevõtjad esile, et  Telial on sidevõrgu digitaalne alusplaan, mis kajastab suures osas Telia kliendiliinide ja kaablikanalisatsiooni geograafilist katvust ja vaba mahtu, kuid huvitatud sideettevõtjatel puudub sellele elektrooniline juurdepääs. </w:t>
      </w:r>
    </w:p>
    <w:p w14:paraId="6B223777"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Alternatiivsed sideettevõtjad peavad kliendiliinile või kaablikanalisatsioonile juurdepääsu tehniliste võimaluste välja selgitamiseks esitama Teliale kirjaliku taotluse kliendihaldurile või täitma tellimisvormi Telia e-teeninduse keskkonnas, millele vastamiseks on Telial aega kliendiliini korral 7-14 tööpäeva ja kaablikanalisatsiooni korral 1 kuu ja vastused edastatakse e-kirja teel. Turuanalüüsi küsimustiku vastustest selgus, et Telia andmetel kulus aastatel 2016 - 2018 tehniliste tingimuste võimaluste selgitamisele vaskpaari korral keskmiselt</w:t>
      </w:r>
      <w:r w:rsidRPr="00C50854">
        <w:rPr>
          <w:rStyle w:val="Allmrkuseviide"/>
          <w:lang w:eastAsia="et-EE"/>
        </w:rPr>
        <w:footnoteReference w:id="68"/>
      </w:r>
      <w:r w:rsidRPr="00C50854">
        <w:rPr>
          <w:lang w:eastAsia="et-EE"/>
        </w:rPr>
        <w:t xml:space="preserve"> 5 päeva ja kaablikanalisatsiooni korral keskmiselt</w:t>
      </w:r>
      <w:r w:rsidRPr="00C50854">
        <w:rPr>
          <w:rStyle w:val="Allmrkuseviide"/>
          <w:lang w:eastAsia="et-EE"/>
        </w:rPr>
        <w:footnoteReference w:id="69"/>
      </w:r>
      <w:r w:rsidRPr="00C50854">
        <w:rPr>
          <w:lang w:eastAsia="et-EE"/>
        </w:rPr>
        <w:t xml:space="preserve"> 18 päeva. Kolm sideettevõtjat teavitasid, et nende puhul oli aastal 2018 Telia kaablikanalisatsiooni tehniliste võimaluste selgitamise keskmine aeg 30 päeva. </w:t>
      </w:r>
    </w:p>
    <w:p w14:paraId="1AB6C472"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Lisaks, kuna alternatiivsetel sideettevõtjatel puudub elektrooniline juurdepääs Telia sidevõrgu digitaalsele alusplaanile, siis võtab neil kaablikanalisatsioonile juurdepääsu tehniliste võimaluste välja selgitamine oluliselt rohkem aega kui Telial endal. Eelkõige kuna neil puudub elektrooniline ülevaade Telia sidevõrgu geograafilisest paiknemisest, siis peavad nad küsima tehnilisi võimalusi kaevu aadresside kaupa „pimesi“,  nägemata kas samale kaevu aadressile on võimalik rentida ühendus ka mõne teise kaevu aadressi kaudu. Näiteks kaevust A kaevu B saaks lisaks otse ühendusele ka läbi lähedal oleva kaevu C ehk kaablikanalisatsioon oleks vaja rentida kõigepealt kaevust A kaevu C ja edasi kaevust C kaevu B. Seega soovides Telialt juurdepääsu kaablikanalisatsiooni mahule kaevust aadressiga A kaevu aadressile B peab alternatiivne sideettevõtja üldjuhul tegema esimese päringu aadressidega A ja B. Saades Telialt vastuse, et seal vaba mahtu ei ole, peab alternatiivne sideettevõtja esitama uue päringu ja uurima, millised oleksid täiendavad võimalused ühendamaks kaevu aadressidega A ja B. Seejuures peab alternatiivne sideettevõtja lootma, et Telia pakub lühima võimaliku ühenduse, kuid ei saa seda kontrollida. </w:t>
      </w:r>
    </w:p>
    <w:p w14:paraId="709B18C3" w14:textId="43904D9E"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Tehniliste tingimuste väljastamise tasu (käibemaksuta) kaablikanalisatsiooni korral</w:t>
      </w:r>
      <w:r w:rsidRPr="00C50854">
        <w:rPr>
          <w:rStyle w:val="Allmrkuseviide"/>
          <w:lang w:eastAsia="et-EE"/>
        </w:rPr>
        <w:footnoteReference w:id="70"/>
      </w:r>
      <w:r w:rsidRPr="00C50854">
        <w:rPr>
          <w:lang w:eastAsia="et-EE"/>
        </w:rPr>
        <w:t xml:space="preserve"> on </w:t>
      </w:r>
      <w:bookmarkStart w:id="323" w:name="_Hlk26266821"/>
      <w:r w:rsidRPr="00C50854">
        <w:rPr>
          <w:lang w:eastAsia="et-EE"/>
        </w:rPr>
        <w:t>38,35 €/kord ja kiirendatud korras lisatasu 63,91 €/kord, vaskpaar kliendiliinile korral järelepärimise tasu</w:t>
      </w:r>
      <w:r w:rsidRPr="00C50854">
        <w:rPr>
          <w:rStyle w:val="Allmrkuseviide"/>
          <w:lang w:eastAsia="et-EE"/>
        </w:rPr>
        <w:footnoteReference w:id="71"/>
      </w:r>
      <w:r w:rsidR="004370AC" w:rsidRPr="00C50854">
        <w:rPr>
          <w:lang w:eastAsia="et-EE"/>
        </w:rPr>
        <w:t xml:space="preserve"> </w:t>
      </w:r>
      <w:r w:rsidRPr="00C50854">
        <w:rPr>
          <w:lang w:eastAsia="et-EE"/>
        </w:rPr>
        <w:t>1,60 €/kord ja tehniliste tingimuste muutmise tasu 12,78 €/kord. Valguskaabel kliendiliini korral tehniliste tingimuste välja selgitamise tasu Telia avaldatud hinnakirjas</w:t>
      </w:r>
      <w:r w:rsidRPr="00C50854">
        <w:rPr>
          <w:rStyle w:val="Allmrkuseviide"/>
          <w:lang w:eastAsia="et-EE"/>
        </w:rPr>
        <w:footnoteReference w:id="72"/>
      </w:r>
      <w:r w:rsidRPr="00C50854">
        <w:rPr>
          <w:lang w:eastAsia="et-EE"/>
        </w:rPr>
        <w:t xml:space="preserve"> ei eksisteeri. </w:t>
      </w:r>
      <w:bookmarkEnd w:id="323"/>
    </w:p>
    <w:p w14:paraId="0911D865" w14:textId="77777777" w:rsidR="00D67E10" w:rsidRPr="00C50854" w:rsidRDefault="00D67E10" w:rsidP="00D67E10">
      <w:pPr>
        <w:suppressAutoHyphens w:val="0"/>
        <w:autoSpaceDE w:val="0"/>
        <w:autoSpaceDN w:val="0"/>
        <w:adjustRightInd w:val="0"/>
        <w:spacing w:before="120" w:after="120"/>
        <w:jc w:val="both"/>
        <w:rPr>
          <w:lang w:eastAsia="et-EE"/>
        </w:rPr>
      </w:pPr>
    </w:p>
    <w:p w14:paraId="0CA74F5F"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tuvastamine</w:t>
      </w:r>
    </w:p>
    <w:p w14:paraId="099C973A"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TTJA analüüs eelkirjeldatud olukorda ja leiab, et kliendiliinile ja kaablikanalisatsioonile juurdepääsu tehniliste võimaluste välja selgitamise kiirus ja efektiivsus on alternatiivsetele sideettevõtjatele jaeteenuste osutamisel olulise tähtsusega, kuna see mõjutab oluliselt lõppkasutajale pakutava teenuse avamise kiirust ja hinda. Mida pikem on hulgitasandil kliendiliinile või kaablikanalisatsioonile juurdepääsu loomise aeg ja kõrgem hind, seda pikem on ka lõppkasutajale jaeteenuse avamisele kuluv aeg ja kõrgem teenuse hind. Seega on oluline tagada, et alternatiivsete sideettevõtjatele oleks kliendiliinile ja kaablikanalisatsioonile juurdepääsu tehniliste võimaluste välja selgitamine võimalikult lihtne ja kiire. </w:t>
      </w:r>
    </w:p>
    <w:p w14:paraId="576249E3" w14:textId="12FD6A0D"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Eelkirjeldatud olukord, kus alternatiivne sideettevõtjal puudub ajakohane ülevaade Telia kliendiliinide ja kaablikanalisatsiooni paiknemisest</w:t>
      </w:r>
      <w:r w:rsidR="00453C5C" w:rsidRPr="00C50854">
        <w:rPr>
          <w:lang w:eastAsia="et-EE"/>
        </w:rPr>
        <w:t>,</w:t>
      </w:r>
      <w:r w:rsidRPr="00C50854">
        <w:rPr>
          <w:lang w:eastAsia="et-EE"/>
        </w:rPr>
        <w:t xml:space="preserve"> piirab oluliselt alternatiivsete sideettevõtjate võimalusi selgitada välja vastavate teenuste juurdepääsu tehnilised võimalused lihtsalt ja kiiresti. Samuti jätab kliendiliinide ja kaablikanalisatsiooni vaba mahu välja selgitamine kliendihalduri kaudu võimalused kahtlusteks, kas Telia kliendihaldurid kohtlevad võrdselt Telia enda ja teiste huvitatud sideettevõtjate vastavaid taotlusi. Eelkõige taotlustele vastamise kiiruste osas ning kas vaba mahu puudumise korral antakse edasi ka võimalikud alternatiivsete lahenduste kirjeldused. </w:t>
      </w:r>
    </w:p>
    <w:p w14:paraId="70B95DA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Eeltoodust tulenevalt tekitab Telia sidevõrgu digitaalsele alusplaanile elektroonilise juurdepääsu puudumine huvitatud sideettevõtjatele juurdepääsuga viivitamise ja diskrimineerimisega seotud konkurentsiprobleeme.</w:t>
      </w:r>
    </w:p>
    <w:p w14:paraId="124BE2B6"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Huvitatud sideettevõtjate elektrooniline juurdepääs nimetatud digitaalsele alusplaanile kiirendaks ja muudaks efektiivsemaks ning läbipaistvamaks nende võimalused kliendiliinidele ja kaablikanalisatsioonile juurdepääsu tehniliste tingimuste välja selgitamiseks, mis omakorda kiirendaks nende sidevõrkude arengut ja jaeteenuste pakkumist ning seeläbi konkurentsi arengut jaemüügi tasandil. </w:t>
      </w:r>
    </w:p>
    <w:p w14:paraId="04451565" w14:textId="77777777" w:rsidR="00D67E10" w:rsidRPr="00C50854" w:rsidRDefault="00D67E10" w:rsidP="00D67E10">
      <w:pPr>
        <w:suppressAutoHyphens w:val="0"/>
        <w:autoSpaceDE w:val="0"/>
        <w:autoSpaceDN w:val="0"/>
        <w:adjustRightInd w:val="0"/>
        <w:spacing w:before="120" w:after="120"/>
        <w:jc w:val="both"/>
        <w:rPr>
          <w:lang w:eastAsia="et-EE"/>
        </w:rPr>
      </w:pPr>
    </w:p>
    <w:p w14:paraId="69527CC9" w14:textId="77777777" w:rsidR="00D67E10" w:rsidRPr="00C50854" w:rsidRDefault="00D67E10" w:rsidP="00D67E10">
      <w:pPr>
        <w:suppressAutoHyphens w:val="0"/>
        <w:autoSpaceDE w:val="0"/>
        <w:autoSpaceDN w:val="0"/>
        <w:adjustRightInd w:val="0"/>
        <w:spacing w:before="120" w:after="120"/>
        <w:jc w:val="both"/>
        <w:rPr>
          <w:lang w:eastAsia="et-EE"/>
        </w:rPr>
      </w:pPr>
      <w:bookmarkStart w:id="324" w:name="_Hlk38293702"/>
      <w:r w:rsidRPr="00C50854">
        <w:rPr>
          <w:lang w:eastAsia="et-EE"/>
        </w:rPr>
        <w:t>Konkurentsiprobleemi lahendamise valikud</w:t>
      </w:r>
    </w:p>
    <w:bookmarkEnd w:id="324"/>
    <w:p w14:paraId="1C8A1499"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TTJA leiab, et eelnimetatud konkurentsiprobleemi vältimise kõige tõhusamaks viisiks on kohustada</w:t>
      </w:r>
      <w:r w:rsidRPr="00C50854">
        <w:rPr>
          <w:rStyle w:val="Allmrkuseviide"/>
          <w:lang w:eastAsia="et-EE"/>
        </w:rPr>
        <w:footnoteReference w:id="73"/>
      </w:r>
      <w:r w:rsidRPr="00C50854">
        <w:rPr>
          <w:lang w:eastAsia="et-EE"/>
        </w:rPr>
        <w:t xml:space="preserve"> Teliat pakkuma elektroonilist juurdepääsu oma sidevõrgu digitaalsele alusplaanile selliselt, et huvitatud sideettevõtjatel oleks võimalik tuvastada Telia kliendiliinide ja kaablikanalisatsiooni geograafiline ulatus (sh sidevõrgule juurdepääsu võimaldavate jaamade aadressid, lõpp-punktide aadressid, lõpp-punktile lähimate jaotuskappide ja jaamade aadressid, mille kaudu on võimalik saada juurdepääsu kliendiliinidele ning kaablikaevude aadressid) ja vaba mahu olemasolu (sh kaablikanalisatsioonis kaevude vahel, hoonesse sisenevates kaablikanalisatsioonides, kliendiliinide osas). Sealjuures on Telial õigus piirata teiste sideettevõtjate juurdepääsu Telia ja teiste sideettevõtjate ärisaladustele (nt lõpp-punkte kasutavate klientide nimed, kliendiliinide arv ja kaablikanalisatsioonide arv). Vajadusel </w:t>
      </w:r>
      <w:r w:rsidRPr="00C50854">
        <w:rPr>
          <w:lang w:eastAsia="et-EE"/>
        </w:rPr>
        <w:lastRenderedPageBreak/>
        <w:t>täpsema teabe saamiseks peab jääma endiselt võimalus küsida täiendavat teavet Telia kliendihaldurilt.</w:t>
      </w:r>
    </w:p>
    <w:p w14:paraId="598C9B48" w14:textId="022DECA1" w:rsidR="00D926D0" w:rsidRDefault="00D67E10" w:rsidP="00D926D0">
      <w:pPr>
        <w:numPr>
          <w:ilvl w:val="0"/>
          <w:numId w:val="13"/>
        </w:numPr>
        <w:suppressAutoHyphens w:val="0"/>
        <w:autoSpaceDE w:val="0"/>
        <w:autoSpaceDN w:val="0"/>
        <w:adjustRightInd w:val="0"/>
        <w:spacing w:before="120" w:after="120"/>
        <w:jc w:val="both"/>
        <w:rPr>
          <w:lang w:eastAsia="et-EE"/>
        </w:rPr>
      </w:pPr>
      <w:r w:rsidRPr="00C50854">
        <w:rPr>
          <w:lang w:eastAsia="et-EE"/>
        </w:rPr>
        <w:t>Telia teatas turuanalüüsi küsimuste vastustes Telia sidevõrgu digitaalsele alusplaanile juurdepääsu osas järgmist:</w:t>
      </w:r>
    </w:p>
    <w:p w14:paraId="36DB9D4D" w14:textId="12DFA925" w:rsidR="00D926D0" w:rsidRDefault="00D926D0" w:rsidP="00D926D0">
      <w:pPr>
        <w:suppressAutoHyphens w:val="0"/>
        <w:autoSpaceDE w:val="0"/>
        <w:autoSpaceDN w:val="0"/>
        <w:adjustRightInd w:val="0"/>
        <w:spacing w:before="120" w:after="120"/>
        <w:ind w:left="360"/>
        <w:jc w:val="both"/>
        <w:rPr>
          <w:lang w:eastAsia="et-EE"/>
        </w:rPr>
      </w:pPr>
      <w:r>
        <w:rPr>
          <w:lang w:eastAsia="et-EE"/>
        </w:rPr>
        <w:t>…*</w:t>
      </w:r>
    </w:p>
    <w:p w14:paraId="6E08373B" w14:textId="0D82448D" w:rsidR="00D67E10" w:rsidRPr="00D926D0" w:rsidRDefault="00D67E10" w:rsidP="00D926D0">
      <w:pPr>
        <w:numPr>
          <w:ilvl w:val="0"/>
          <w:numId w:val="13"/>
        </w:numPr>
        <w:suppressAutoHyphens w:val="0"/>
        <w:autoSpaceDE w:val="0"/>
        <w:autoSpaceDN w:val="0"/>
        <w:adjustRightInd w:val="0"/>
        <w:spacing w:before="120" w:after="120"/>
        <w:jc w:val="both"/>
        <w:rPr>
          <w:lang w:eastAsia="et-EE"/>
        </w:rPr>
      </w:pPr>
      <w:r w:rsidRPr="00C50854">
        <w:rPr>
          <w:lang w:eastAsia="et-EE"/>
        </w:rPr>
        <w:t>TTJA hinnangul ei saa Telia käsitleda oma kliendiliinide ja kaablikanalisatsiooni geograafilist paiknemist sidevõrgu digitaalsele alusplaanil ja selle vaba mahtu ärisaladusena, kuna Telia on määratud kohaliku juurdepääsu hulgiturul märkimisväärse turujõuga ettevõtjaks ja sellest tulenevalt rakenduvad Teliale ka kohustused pakkuda nimetatud turu taristule juurdepääsu läbipaistavatel ja mitte-diskrimineerivatel tingimustel. Juhul, kui kliendiliinide ja kaablikanalisatsiooni geograafiline ulatus ja vaba maht oleksid ärisaladused, siis ei oleks tagatud nimetatud taristule juurdepääsu pakkumine läbipaistvatel ja mitte-diskrimineerivatel tingimusel. Samas ei pea Telia pakkuma taolist elektroonilist juurdepääsu sidevõrgu digitaalsele alusplaanile kõigile soovijatele, vaid ainult huvitatud sideettevõtjatele ehk siis ainult isikutele, kes on esitanud ESS § 4 sätestatud majandustegevusteate.</w:t>
      </w:r>
    </w:p>
    <w:p w14:paraId="4C3BD017"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Eelnimetatud juurdepääsu kohustuse rakendamisega kaasnevad Teliale teatavad kulud, mis on seotud eelkõige sidevõrgu digitaalse alusplaanile elektroonilise juurdepääsu liidese loomise ja ärisaladustega seotud protseduuride haldamisega. Nimetatud kulude suurust saab kõige paremini hinnata Telia, kellel on ülevaade oma sidevõrgu digitaalse alusplaani struktuurist ja muudatuste vajaduse suurusest seoses elektroonilise juurdepääsu liidese loomise ja ärisaladuste kaitse protseduuride haldamisega. Samuti peaks kulude hindamisel võtma arvesse ka kulude vähenemist seoses praeguse juurdepääsu tehniliste võimaluste selgitamise protseduuriga seotud kliendihaldurite töökoormuse võimaliku vähenemisega. Nimetatud kulude katmiseks võib Telia kehtestada vastavad tasud teenust kasutatavatele alternatiivsetele sideettevõtjatele. Nimetatud kulud ja tasud tuleb arvestada vastavalt hinnakohustuse peatükis 6.5.4 sätestatud meetodile ehk need peavad olema orienteeritud efektiivsetele kuludele. </w:t>
      </w:r>
    </w:p>
    <w:p w14:paraId="2DAACD5C" w14:textId="59D15440" w:rsidR="00D67E10" w:rsidRPr="00C50854" w:rsidRDefault="00D67E10" w:rsidP="00311E1F">
      <w:pPr>
        <w:numPr>
          <w:ilvl w:val="0"/>
          <w:numId w:val="13"/>
        </w:numPr>
        <w:suppressAutoHyphens w:val="0"/>
        <w:autoSpaceDE w:val="0"/>
        <w:autoSpaceDN w:val="0"/>
        <w:adjustRightInd w:val="0"/>
        <w:spacing w:before="120" w:after="120"/>
        <w:jc w:val="both"/>
        <w:rPr>
          <w:strike/>
          <w:lang w:eastAsia="et-EE"/>
        </w:rPr>
      </w:pPr>
      <w:r w:rsidRPr="00C50854">
        <w:rPr>
          <w:lang w:eastAsia="et-EE"/>
        </w:rPr>
        <w:t>TTJA-l puudub ülevaade võimalikest sidevõrgu digitaalsele alusplaanile juurdepääsu liidese loomise ja opereerimise kuludest. Seetõttu eksisteerib risk, et  Telia poolt arvestatud sidevõrgu digitaalsele alusplaanile juurdepääsu liidese loomise ja opereerimise kulud ja hinnad on sedavõrd kõrged, et välistavad antud juurdepääsuteenuse mõistliku ja otstarbeka kasutamise. Selle riski maandamiseks peab Telia enne vastava juurdepääsu liidese rajamist esitama vastava liidese tehnilise lahenduse, kulud ja hinnad TTJA-</w:t>
      </w:r>
      <w:proofErr w:type="spellStart"/>
      <w:r w:rsidRPr="00C50854">
        <w:rPr>
          <w:lang w:eastAsia="et-EE"/>
        </w:rPr>
        <w:t>le</w:t>
      </w:r>
      <w:proofErr w:type="spellEnd"/>
      <w:r w:rsidRPr="00C50854">
        <w:rPr>
          <w:lang w:eastAsia="et-EE"/>
        </w:rPr>
        <w:t xml:space="preserve"> üle vaatamiseks. </w:t>
      </w:r>
      <w:bookmarkStart w:id="325" w:name="_Hlk40437246"/>
      <w:r w:rsidRPr="00C50854">
        <w:rPr>
          <w:lang w:eastAsia="et-EE"/>
        </w:rPr>
        <w:t xml:space="preserve">TTJA hindab esitatud liidese tehnilist lahenduse efektiivsust ning mõistlikust ja selle kulude ning hindade arvestuse vastavust hinnakohustuse peatükis 6.5.4 sätestatud meetodile. Põhjendatud vajadusel võib TTJA nõuda tehnilise lahenduse või kulude ja hinna arvestuse muutmist. </w:t>
      </w:r>
      <w:bookmarkEnd w:id="325"/>
      <w:r w:rsidRPr="00C50854">
        <w:rPr>
          <w:lang w:eastAsia="et-EE"/>
        </w:rPr>
        <w:t xml:space="preserve">Telia võib vastava juurdepääsu liidese rajada alles pärast TTJA poolset tehnilise lahenduse, kulude ja hindade üle vaatamist ning heakskiitu. </w:t>
      </w:r>
    </w:p>
    <w:p w14:paraId="0C951572"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TTJA hinnangul ei ole eelkirjeldatud sidevõrgu digitaalsele alusplaanile juurdepääsu pakkumine ja sellest tuleneva vastava liidese loomine ning opereerimine Teliale ebamõistlikult koormav, kuna sellega seotud kulud kannavad alternatiivsed sideettevõtjad. </w:t>
      </w:r>
    </w:p>
    <w:p w14:paraId="4E6473C8" w14:textId="77777777" w:rsidR="00D67E10" w:rsidRPr="00C50854" w:rsidRDefault="00D67E10" w:rsidP="00D67E10">
      <w:pPr>
        <w:suppressAutoHyphens w:val="0"/>
        <w:autoSpaceDE w:val="0"/>
        <w:autoSpaceDN w:val="0"/>
        <w:adjustRightInd w:val="0"/>
        <w:spacing w:before="120" w:after="120"/>
        <w:jc w:val="both"/>
        <w:rPr>
          <w:lang w:eastAsia="et-EE"/>
        </w:rPr>
      </w:pPr>
    </w:p>
    <w:p w14:paraId="7EBA906D"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Kavandatav kohustus</w:t>
      </w:r>
    </w:p>
    <w:p w14:paraId="56439E75"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Vastavalt ESS § 50 lõike 5 alusel võib Tarbijakaitse ja Tehnilise Järelevalve Amet sideettevõtja suhtes, kes on tunnistatud märkimisväärse turujõuga ettevõtjaks, kehtestada vastaval turul kohustuse rahuldada teise sideettevõtja mõistlik taotlus juurdepääsuks konkreetsetele võrguelementidele ja võrguga seotud vahenditele ja võimaldada nende kasutamine vastavalt käesoleva seaduse §-le 51, kui juurdepääsust keeldumine või juurdepääs </w:t>
      </w:r>
      <w:r w:rsidRPr="00C50854">
        <w:rPr>
          <w:lang w:eastAsia="et-EE"/>
        </w:rPr>
        <w:lastRenderedPageBreak/>
        <w:t>ebamõistlikel tingimustel takistab konkurentsi arengut jaemüügi tasandil või on lõppkasutajate huve kahjustav.</w:t>
      </w:r>
    </w:p>
    <w:p w14:paraId="7B22C7E4"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Vastavalt ESS § 51 lõike 1 punktile 8 võib TTJA märkimisväärse turujõuga ettevõtjalt muu hulgas nõuda teenuste osutamisel õiglase konkurentsi tagamiseks vajalikele tugisüsteemidele või samalaadsetele tarkvarasüsteemidele juurdepääsu pakkumist.</w:t>
      </w:r>
    </w:p>
    <w:p w14:paraId="005B6A6C"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Vastavalt ESS § 51 lõike 3 võib TTJA käesoleva ESS § 51 lõikes 1 nimetatud kohustuse kehtestamisel täpsustada kohustuse täitmise viisi.</w:t>
      </w:r>
    </w:p>
    <w:p w14:paraId="4E0E56A0"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Eelnimetatud paragrahvide alusel kavandab TTJA kohustada Teliat osutama huvitatud sideettevõtjatele elektroonilist juurdepääsu oma sidevõrgu digitaalsele alusplaanile viisil, mis võimaldab tuvastada Telia kliendiliinide ja kaablikanalisatsiooni geograafiline ulatuse (sh sidevõrgule juurdepääsu võimaldavate jaamade aadresside, lõpp-punktide aadressid, lõpp-punktile lähimate jaotuskappide ja jaamade aadressid, mille kaudu on võimalik saada juurdepääsu kliendiliinidele ning kaablikaevude aadressid) ja vaba mahu olemasolu (sh kaablikanalisatsioonis kaevude vahel, hoonesse sisenevates kaablikanalisatsioonides, kliendiliinide osas). Telial on õigus piirata teiste sideettevõtjate elektroonilist juurdepääsu Telia ja teiste sideettevõtjate ärisaladustele (nt lõpp-punkte kasutavate klientide nimed, kliendiliinide arv ja kaablikanalisatsioonide arv).</w:t>
      </w:r>
    </w:p>
    <w:p w14:paraId="171E041B" w14:textId="5E27EF73"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Telia peab enne oma sidevõrgu digitaalsele alusplaanile elektroonilist juurdepääsu liidese rajamist esitama vastava liidese rajamise ja opereerimise kulud ja hinnad TTJA-</w:t>
      </w:r>
      <w:proofErr w:type="spellStart"/>
      <w:r w:rsidRPr="00C50854">
        <w:rPr>
          <w:lang w:eastAsia="et-EE"/>
        </w:rPr>
        <w:t>le</w:t>
      </w:r>
      <w:proofErr w:type="spellEnd"/>
      <w:r w:rsidRPr="00C50854">
        <w:rPr>
          <w:lang w:eastAsia="et-EE"/>
        </w:rPr>
        <w:t xml:space="preserve"> analüüsimiseks hiljemalt 2 kuud pärast käesoleva otsuse jõustumist. Telia võib vastava juurdepääsu liidese rajada alles pärast TTJA poolset kulude ja hindade analüüsi ning otsust. TTJA rakendab otsuse osas ESS § 152 sätestatud konsulteerimiskohustust. Kui TTJA analüüsi tulemus näitab, et Telia arvestatud kulud ja hinnad ei ole arvestatud vastavalt hinnakohustuse peatükis 6.5.4 sätestatud meetodile, siis võib TTJA teha vastava ettekirjutuse kulude ja hinna arvestuse muutmiseks. Telia peab rajama oma sidevõrgu digitaalsele alusplaanile elektroonilist juurdepääsu liidese hiljemalt 4 kuud pärast TTJA otsust, et sidevõrgu digitaalsele alusplaanile juurdepääsu liidese tehniline lahendus ning selle kulud ja hinnad tagavad juurdepääsuteenuste mõistliku ja otstarbeka kasutamise.</w:t>
      </w:r>
    </w:p>
    <w:p w14:paraId="759048B6"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3B426434" w14:textId="77777777" w:rsidR="00D67E10" w:rsidRPr="00C50854" w:rsidRDefault="00D67E10" w:rsidP="00D67E10">
      <w:pPr>
        <w:suppressAutoHyphens w:val="0"/>
        <w:autoSpaceDE w:val="0"/>
        <w:autoSpaceDN w:val="0"/>
        <w:adjustRightInd w:val="0"/>
        <w:spacing w:before="120" w:after="120"/>
        <w:jc w:val="both"/>
        <w:rPr>
          <w:lang w:eastAsia="et-EE"/>
        </w:rPr>
      </w:pPr>
    </w:p>
    <w:p w14:paraId="7D0B02EB" w14:textId="22804DD3" w:rsidR="00D67E10" w:rsidRPr="00C50854" w:rsidRDefault="00D67E10" w:rsidP="009A75FA">
      <w:pPr>
        <w:pStyle w:val="Pealkiri3"/>
        <w:rPr>
          <w:b w:val="0"/>
          <w:bCs w:val="0"/>
          <w:i/>
          <w:iCs/>
        </w:rPr>
      </w:pPr>
      <w:bookmarkStart w:id="326" w:name="_Toc39125671"/>
      <w:bookmarkStart w:id="327" w:name="_Toc42072458"/>
      <w:bookmarkStart w:id="328" w:name="_Hlk38611548"/>
      <w:r w:rsidRPr="00C50854">
        <w:rPr>
          <w:b w:val="0"/>
          <w:bCs w:val="0"/>
          <w:i/>
          <w:iCs/>
        </w:rPr>
        <w:t xml:space="preserve">6.2.3.2 </w:t>
      </w:r>
      <w:r w:rsidR="00881655" w:rsidRPr="00C50854">
        <w:rPr>
          <w:b w:val="0"/>
          <w:bCs w:val="0"/>
          <w:i/>
          <w:iCs/>
        </w:rPr>
        <w:t xml:space="preserve">Läbimõõduga </w:t>
      </w:r>
      <w:r w:rsidRPr="00C50854">
        <w:rPr>
          <w:b w:val="0"/>
          <w:bCs w:val="0"/>
          <w:i/>
          <w:iCs/>
        </w:rPr>
        <w:t>100 mm kaablikanalisatsiooni toru paigalduskohad</w:t>
      </w:r>
      <w:bookmarkEnd w:id="326"/>
      <w:bookmarkEnd w:id="327"/>
    </w:p>
    <w:bookmarkEnd w:id="328"/>
    <w:p w14:paraId="2A7BDE05" w14:textId="77777777" w:rsidR="00D67E10" w:rsidRPr="00C50854" w:rsidRDefault="00D67E10" w:rsidP="00D67E10">
      <w:pPr>
        <w:suppressAutoHyphens w:val="0"/>
        <w:autoSpaceDE w:val="0"/>
        <w:autoSpaceDN w:val="0"/>
        <w:adjustRightInd w:val="0"/>
        <w:spacing w:before="120" w:after="120"/>
        <w:jc w:val="both"/>
        <w:rPr>
          <w:lang w:eastAsia="et-EE"/>
        </w:rPr>
      </w:pPr>
    </w:p>
    <w:p w14:paraId="6D0127FA"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Olukorra kirjeldus</w:t>
      </w:r>
    </w:p>
    <w:p w14:paraId="60678A92" w14:textId="5D4468C6"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Telia omab </w:t>
      </w:r>
      <w:r w:rsidR="00AF3E4B" w:rsidRPr="00C50854">
        <w:rPr>
          <w:lang w:eastAsia="et-EE"/>
        </w:rPr>
        <w:t>...*</w:t>
      </w:r>
      <w:r w:rsidRPr="00C50854">
        <w:rPr>
          <w:lang w:eastAsia="et-EE"/>
        </w:rPr>
        <w:t xml:space="preserve">% kogu Eesti Vabariigi territooriumile paigaldatud sidevõrgu kaablikanalisatsioonist. Vastava taristu omistati Teliale (tolleaegne Eesti Telefon AS) 1992. aastal Vabariigi Valitsuse ja Eesti Telefon AS vahel sõlmitud kontsessioonilepingu alusel. Kaablikanalisatsiooni mahust </w:t>
      </w:r>
      <w:bookmarkStart w:id="329" w:name="_Hlk38624928"/>
      <w:r w:rsidR="00AF3E4B" w:rsidRPr="00C50854">
        <w:rPr>
          <w:lang w:eastAsia="et-EE"/>
        </w:rPr>
        <w:t>...*</w:t>
      </w:r>
      <w:r w:rsidRPr="00C50854">
        <w:rPr>
          <w:lang w:eastAsia="et-EE"/>
        </w:rPr>
        <w:t>%</w:t>
      </w:r>
      <w:bookmarkEnd w:id="329"/>
      <w:r w:rsidRPr="00C50854">
        <w:rPr>
          <w:lang w:eastAsia="et-EE"/>
        </w:rPr>
        <w:t xml:space="preserve"> on Telia hulgitasandil välja rentinud teistele sideettevõtjatele, kes kasutavad seda oma jaetasandi sideteenuste osutamiseks. Seega on Telial kaablikanalisatsiooni näol väga oluline vahend ja mõju jaetasandi sideteenuste konkurentsi arengule.</w:t>
      </w:r>
    </w:p>
    <w:p w14:paraId="7F3BDA7A"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330" w:name="_Hlk38613330"/>
      <w:r w:rsidRPr="00C50854">
        <w:rPr>
          <w:lang w:eastAsia="et-EE"/>
        </w:rPr>
        <w:t xml:space="preserve">Turuanalüüsi küsimustiku vastustes tõid alternatiivsed sideettevõtjad ühe võimaliku konkurentsiprobleemina esile Telia poolse kaablikanalisatsioonile juurdepääsu osutamise keeldumise vaba mahu puudumise tõttu. </w:t>
      </w:r>
      <w:bookmarkEnd w:id="330"/>
      <w:r w:rsidRPr="00C50854">
        <w:rPr>
          <w:lang w:eastAsia="et-EE"/>
        </w:rPr>
        <w:t xml:space="preserve">Kaablikanalisatsiooni vaba mahu suurust mõjutab oluliselt paigalduskoha suurus. Mida suurem on paigalduskoha suurus, seda kõrgem on tõenäosus, et osa paigalduskoha mahust jääb kasutamata, kuna kaasajal kasutatavate kaablite ja kiikrite läbimõõdud näitavad kahanemise trendi. </w:t>
      </w:r>
    </w:p>
    <w:p w14:paraId="3639798D" w14:textId="510B331F"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Peamiseks põhjuseks, miks Telia keeldub kaablikanalisatsioonile juurdepääsu osutamisest</w:t>
      </w:r>
      <w:r w:rsidR="001320CC" w:rsidRPr="00C50854">
        <w:rPr>
          <w:lang w:eastAsia="et-EE"/>
        </w:rPr>
        <w:t>,</w:t>
      </w:r>
      <w:r w:rsidRPr="00C50854">
        <w:rPr>
          <w:lang w:eastAsia="et-EE"/>
        </w:rPr>
        <w:t xml:space="preserve"> on kaablikanalisatsioonis vaba mahu puudumine. Turuanalüüsi küsimustikuga kogutud teabest lähtuvalt on Telia aastatel 2016-2018 kaablikanalisatsioonile juurdepääsu osutamisest keeldunud alternatiivsete sideettevõtjate väidetel </w:t>
      </w:r>
      <w:r w:rsidR="00456678">
        <w:rPr>
          <w:lang w:eastAsia="et-EE"/>
        </w:rPr>
        <w:t>…*</w:t>
      </w:r>
      <w:r w:rsidRPr="00C50854">
        <w:rPr>
          <w:lang w:eastAsia="et-EE"/>
        </w:rPr>
        <w:t xml:space="preserve"> juhtudel. Samuti on vastaval ajavahemikul alternatiivsete sideettevõtjate poolt esitatud TTJA-</w:t>
      </w:r>
      <w:proofErr w:type="spellStart"/>
      <w:r w:rsidRPr="00C50854">
        <w:rPr>
          <w:lang w:eastAsia="et-EE"/>
        </w:rPr>
        <w:t>sse</w:t>
      </w:r>
      <w:proofErr w:type="spellEnd"/>
      <w:r w:rsidRPr="00C50854">
        <w:rPr>
          <w:lang w:eastAsia="et-EE"/>
        </w:rPr>
        <w:t xml:space="preserve"> lepitusmenetluste raames 13 juhtumit Telia poolt kaablikanalisatsioonile juurdepääsu keeldumise kohta vaba mahu puudumise tõttu.</w:t>
      </w:r>
    </w:p>
    <w:p w14:paraId="55F8DA2E"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46D70D3F"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Telia annab rendile kaablikanalisatsioonis paigalduskoha</w:t>
      </w:r>
      <w:r w:rsidRPr="00C50854">
        <w:rPr>
          <w:vertAlign w:val="superscript"/>
          <w:lang w:eastAsia="et-EE"/>
        </w:rPr>
        <w:footnoteReference w:id="74"/>
      </w:r>
      <w:r w:rsidRPr="00C50854">
        <w:rPr>
          <w:lang w:eastAsia="et-EE"/>
        </w:rPr>
        <w:t xml:space="preserve">. Üks 100 mm läbimõõduga kaablikanalisatsiooni jaguneb kuueks paigalduskohaks (1/6 ava) ja iga paigalduskoht mahutab ühe kaabli, kiikri või </w:t>
      </w:r>
      <w:proofErr w:type="spellStart"/>
      <w:r w:rsidRPr="00C50854">
        <w:rPr>
          <w:lang w:eastAsia="et-EE"/>
        </w:rPr>
        <w:t>multitoru</w:t>
      </w:r>
      <w:proofErr w:type="spellEnd"/>
      <w:r w:rsidRPr="00C50854">
        <w:rPr>
          <w:lang w:eastAsia="et-EE"/>
        </w:rPr>
        <w:t xml:space="preserve"> läbimõõduga kuni 30 mm. Igas kaablikanalisatsioonis on tehniline reserv, mis on ette nähtud kaablite avariide kõrvaldamiseks sidet katkestamata. Tehniliseks reserviks loetakse jaotuspiirkondade ja magistraaltrasside 100 mm läbimõõduga kaablikanalisatsioonis kaks (2) paigalduskohta (2/6 ava). Hoonetesse sisenevate 100 mm läbimõõduga kaablikanalisatsioonis loetakse tehniliseks reserviks üks (1) paigalduskoht (1/6 ava). </w:t>
      </w:r>
    </w:p>
    <w:p w14:paraId="4324115D"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59BAF0B4" w14:textId="77777777" w:rsidR="00D67E10" w:rsidRPr="00C50854" w:rsidRDefault="00D67E10" w:rsidP="00D67E10">
      <w:pPr>
        <w:suppressAutoHyphens w:val="0"/>
        <w:autoSpaceDE w:val="0"/>
        <w:autoSpaceDN w:val="0"/>
        <w:adjustRightInd w:val="0"/>
        <w:spacing w:before="120" w:after="120"/>
        <w:ind w:left="360" w:firstLine="348"/>
        <w:jc w:val="both"/>
        <w:rPr>
          <w:lang w:eastAsia="et-EE"/>
        </w:rPr>
      </w:pPr>
      <w:r w:rsidRPr="00C50854">
        <w:rPr>
          <w:noProof/>
          <w:lang w:eastAsia="et-EE"/>
        </w:rPr>
        <w:drawing>
          <wp:inline distT="0" distB="0" distL="0" distR="0" wp14:anchorId="347E0506" wp14:editId="61939643">
            <wp:extent cx="2333625" cy="2318720"/>
            <wp:effectExtent l="0" t="0" r="0" b="5715"/>
            <wp:docPr id="107" name="Pil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8414" cy="2323479"/>
                    </a:xfrm>
                    <a:prstGeom prst="rect">
                      <a:avLst/>
                    </a:prstGeom>
                    <a:noFill/>
                    <a:ln>
                      <a:noFill/>
                    </a:ln>
                  </pic:spPr>
                </pic:pic>
              </a:graphicData>
            </a:graphic>
          </wp:inline>
        </w:drawing>
      </w:r>
    </w:p>
    <w:p w14:paraId="73B11403" w14:textId="43DA9402" w:rsidR="00D67E10" w:rsidRPr="00C50854" w:rsidRDefault="00881655" w:rsidP="00881655">
      <w:pPr>
        <w:pStyle w:val="Pealdis"/>
        <w:rPr>
          <w:lang w:eastAsia="et-EE"/>
        </w:rPr>
      </w:pPr>
      <w:r w:rsidRPr="00C50854">
        <w:t xml:space="preserve">Joonis </w:t>
      </w:r>
      <w:fldSimple w:instr=" SEQ Joonis \* ARABIC ">
        <w:r w:rsidR="00C9460F" w:rsidRPr="00C50854">
          <w:rPr>
            <w:noProof/>
          </w:rPr>
          <w:t>8</w:t>
        </w:r>
      </w:fldSimple>
      <w:r w:rsidRPr="00C50854">
        <w:t xml:space="preserve"> </w:t>
      </w:r>
      <w:r w:rsidR="001213D1" w:rsidRPr="00C50854">
        <w:rPr>
          <w:b w:val="0"/>
          <w:lang w:eastAsia="et-EE"/>
        </w:rPr>
        <w:t xml:space="preserve">Kaablikanalisatsiooni </w:t>
      </w:r>
      <w:r w:rsidR="00670488" w:rsidRPr="00C50854">
        <w:rPr>
          <w:b w:val="0"/>
          <w:lang w:eastAsia="et-EE"/>
        </w:rPr>
        <w:t>mahu jaotus</w:t>
      </w:r>
    </w:p>
    <w:p w14:paraId="6B59A322"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68D44CDB"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331" w:name="_Hlk38528233"/>
      <w:r w:rsidRPr="00C50854">
        <w:rPr>
          <w:lang w:eastAsia="et-EE"/>
        </w:rPr>
        <w:t>Telia 50mm läbimõõduga kaablikanalisatsioonile juurdepääsul</w:t>
      </w:r>
      <w:bookmarkEnd w:id="331"/>
      <w:r w:rsidRPr="00C50854">
        <w:rPr>
          <w:rStyle w:val="Allmrkuseviide"/>
          <w:lang w:eastAsia="et-EE"/>
        </w:rPr>
        <w:footnoteReference w:id="75"/>
      </w:r>
      <w:r w:rsidRPr="00C50854">
        <w:rPr>
          <w:lang w:eastAsia="et-EE"/>
        </w:rPr>
        <w:t xml:space="preserve"> on kaablite, kiikrite ja </w:t>
      </w:r>
      <w:proofErr w:type="spellStart"/>
      <w:r w:rsidRPr="00C50854">
        <w:rPr>
          <w:lang w:eastAsia="et-EE"/>
        </w:rPr>
        <w:t>multitorude</w:t>
      </w:r>
      <w:proofErr w:type="spellEnd"/>
      <w:r w:rsidRPr="00C50854">
        <w:rPr>
          <w:lang w:eastAsia="et-EE"/>
        </w:rPr>
        <w:t xml:space="preserve"> paigaldamine lubatud vaid juhul, kui see ei sea ohtu Telia sidevõrgu toimimist, terviklikkust või turvalisust ning on tagatud vaba tehnilise reservi olemasolu. </w:t>
      </w:r>
    </w:p>
    <w:p w14:paraId="339550FD"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0250D52D"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tuvastamine</w:t>
      </w:r>
    </w:p>
    <w:p w14:paraId="720EDBF6" w14:textId="17B18085"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332" w:name="_Hlk38616551"/>
      <w:r w:rsidRPr="00C50854">
        <w:rPr>
          <w:lang w:eastAsia="et-EE"/>
        </w:rPr>
        <w:t xml:space="preserve">TTJA leiab, et kaablikanalisatsiooni vabale mahule juurdepääs on alternatiivsetele sideettevõtjatele oluline vahend tagamaks võimalust osutada oma lõppkasutajatele sideteenuseid ja suurendades seeläbi sideteenuste konkurentsi jaetasandil. Seega kui kaablikanalisatsiooni vaba mahtu piiravad paigalduskoha suuruse nõuded, mis ei ole kooskõlas tänapäevaste kaablite, kiikrite ja </w:t>
      </w:r>
      <w:proofErr w:type="spellStart"/>
      <w:r w:rsidRPr="00C50854">
        <w:rPr>
          <w:lang w:eastAsia="et-EE"/>
        </w:rPr>
        <w:t>multitorude</w:t>
      </w:r>
      <w:proofErr w:type="spellEnd"/>
      <w:r w:rsidRPr="00C50854">
        <w:rPr>
          <w:lang w:eastAsia="et-EE"/>
        </w:rPr>
        <w:t xml:space="preserve"> tehniliste omadustega (sh. läbimõõt), siis tekitab </w:t>
      </w:r>
      <w:r w:rsidRPr="00C50854">
        <w:rPr>
          <w:lang w:eastAsia="et-EE"/>
        </w:rPr>
        <w:lastRenderedPageBreak/>
        <w:t>see juurdepääsu piiramisega seotud konkurentsiprobleeme, mis kahjustab konkurentsi jaetasandil.</w:t>
      </w:r>
    </w:p>
    <w:bookmarkEnd w:id="332"/>
    <w:p w14:paraId="3F196A8D" w14:textId="07AAC316"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Praegune Telia kaablikanalisatsiooni paigalduskoha suurus (1/6 kohta 100 mm läbimõõduga ava korral)  on kehtestatud TTJA</w:t>
      </w:r>
      <w:r w:rsidRPr="00C50854">
        <w:rPr>
          <w:lang w:eastAsia="et-EE"/>
        </w:rPr>
        <w:noBreakHyphen/>
      </w:r>
      <w:proofErr w:type="spellStart"/>
      <w:r w:rsidRPr="00C50854">
        <w:rPr>
          <w:lang w:eastAsia="et-EE"/>
        </w:rPr>
        <w:t>le</w:t>
      </w:r>
      <w:proofErr w:type="spellEnd"/>
      <w:r w:rsidRPr="00C50854">
        <w:rPr>
          <w:lang w:eastAsia="et-EE"/>
        </w:rPr>
        <w:t xml:space="preserve"> teada olevalt mitte hiljem kui 2007 aastal. Sel ajal põhinesid kõikidest interneti püsiühendustest vaskpaaridel 44% (126 307 ühendust) ja valguskaablil 18% (52 839 ühendust). Aastal 2019 põhines vaskpaaridel  27% (122 645 ühendust) ja valguskaablil 43%</w:t>
      </w:r>
      <w:r w:rsidRPr="00C50854">
        <w:t xml:space="preserve"> (kokku </w:t>
      </w:r>
      <w:r w:rsidRPr="00C50854">
        <w:rPr>
          <w:lang w:eastAsia="et-EE"/>
        </w:rPr>
        <w:t>192 818 ühendust). Seega on viimase 12 aasta jooksul märgatavalt vähenenud vaskpaar kaablite osatähtsus (alla 2 korra) ja kasvanud ( üle 2 korra) kaablikanalisatsiooni paigaldatavate valguskaablite osakaal.</w:t>
      </w:r>
    </w:p>
    <w:p w14:paraId="4D196948" w14:textId="29775EA8"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Üldjuhul kasutatakse vaskpaarkaableid, milles on 50 või rohkem vaskpaari. See tähendab, et kaablikanalisatsiooni paigaldatavate 50 kuni 800 vaskpaariga kaablite väline diameeter jääb vahemikku 21 – 71 mm (vt alltoodud </w:t>
      </w:r>
      <w:r w:rsidR="00826D22" w:rsidRPr="00C50854">
        <w:rPr>
          <w:lang w:eastAsia="et-EE"/>
        </w:rPr>
        <w:fldChar w:fldCharType="begin"/>
      </w:r>
      <w:r w:rsidR="00826D22" w:rsidRPr="00C50854">
        <w:rPr>
          <w:lang w:eastAsia="et-EE"/>
        </w:rPr>
        <w:instrText xml:space="preserve"> REF _Ref40779134 \h </w:instrText>
      </w:r>
      <w:r w:rsidR="00C50854">
        <w:rPr>
          <w:lang w:eastAsia="et-EE"/>
        </w:rPr>
        <w:instrText xml:space="preserve"> \* MERGEFORMAT </w:instrText>
      </w:r>
      <w:r w:rsidR="00826D22" w:rsidRPr="00C50854">
        <w:rPr>
          <w:lang w:eastAsia="et-EE"/>
        </w:rPr>
      </w:r>
      <w:r w:rsidR="00826D22" w:rsidRPr="00C50854">
        <w:rPr>
          <w:lang w:eastAsia="et-EE"/>
        </w:rPr>
        <w:fldChar w:fldCharType="separate"/>
      </w:r>
      <w:r w:rsidR="00C9460F" w:rsidRPr="00C50854">
        <w:t xml:space="preserve">tabel </w:t>
      </w:r>
      <w:r w:rsidR="00C9460F" w:rsidRPr="00C50854">
        <w:rPr>
          <w:noProof/>
        </w:rPr>
        <w:t>21</w:t>
      </w:r>
      <w:r w:rsidR="00826D22" w:rsidRPr="00C50854">
        <w:rPr>
          <w:lang w:eastAsia="et-EE"/>
        </w:rPr>
        <w:fldChar w:fldCharType="end"/>
      </w:r>
      <w:r w:rsidRPr="00C50854">
        <w:rPr>
          <w:lang w:eastAsia="et-EE"/>
        </w:rPr>
        <w:t>).</w:t>
      </w:r>
    </w:p>
    <w:p w14:paraId="62E8C2A0" w14:textId="77777777" w:rsidR="00D67E10" w:rsidRPr="00C50854" w:rsidRDefault="00D67E10" w:rsidP="00D67E10">
      <w:pPr>
        <w:suppressAutoHyphens w:val="0"/>
        <w:autoSpaceDE w:val="0"/>
        <w:autoSpaceDN w:val="0"/>
        <w:adjustRightInd w:val="0"/>
        <w:spacing w:before="120" w:after="120"/>
        <w:ind w:firstLine="708"/>
        <w:jc w:val="both"/>
        <w:rPr>
          <w:lang w:eastAsia="et-EE"/>
        </w:rPr>
      </w:pPr>
      <w:r w:rsidRPr="00C50854">
        <w:rPr>
          <w:noProof/>
        </w:rPr>
        <w:drawing>
          <wp:inline distT="0" distB="0" distL="0" distR="0" wp14:anchorId="75F8756F" wp14:editId="05788498">
            <wp:extent cx="1704975" cy="4440555"/>
            <wp:effectExtent l="0" t="0" r="9525" b="0"/>
            <wp:docPr id="40" name="Pil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563" cy="4449900"/>
                    </a:xfrm>
                    <a:prstGeom prst="rect">
                      <a:avLst/>
                    </a:prstGeom>
                    <a:noFill/>
                    <a:ln>
                      <a:noFill/>
                    </a:ln>
                  </pic:spPr>
                </pic:pic>
              </a:graphicData>
            </a:graphic>
          </wp:inline>
        </w:drawing>
      </w:r>
    </w:p>
    <w:p w14:paraId="167F5B4E" w14:textId="7DAFF80B" w:rsidR="00D67E10" w:rsidRPr="00C50854" w:rsidRDefault="00881655" w:rsidP="00881655">
      <w:pPr>
        <w:pStyle w:val="Pealdis"/>
        <w:rPr>
          <w:lang w:eastAsia="et-EE"/>
        </w:rPr>
      </w:pPr>
      <w:bookmarkStart w:id="333" w:name="_Ref40779134"/>
      <w:bookmarkStart w:id="334" w:name="_Hlk28955436"/>
      <w:r w:rsidRPr="00C50854">
        <w:t xml:space="preserve">Tabel </w:t>
      </w:r>
      <w:fldSimple w:instr=" SEQ Tabel \* ARABIC ">
        <w:r w:rsidR="00D24389" w:rsidRPr="00C50854">
          <w:rPr>
            <w:noProof/>
          </w:rPr>
          <w:t>21</w:t>
        </w:r>
      </w:fldSimple>
      <w:bookmarkEnd w:id="333"/>
      <w:r w:rsidRPr="00C50854">
        <w:t xml:space="preserve">. </w:t>
      </w:r>
      <w:r w:rsidR="00D67E10" w:rsidRPr="00C50854">
        <w:rPr>
          <w:b w:val="0"/>
          <w:lang w:eastAsia="et-EE"/>
        </w:rPr>
        <w:t>Kaablikanalisatsiooni paigaldatavate vaskpaarkaablite (VMOHBU-TL) välised läbimõõdud</w:t>
      </w:r>
      <w:bookmarkEnd w:id="334"/>
      <w:r w:rsidR="00D67E10" w:rsidRPr="00C50854">
        <w:rPr>
          <w:rStyle w:val="Allmrkuseviide"/>
          <w:b w:val="0"/>
          <w:lang w:eastAsia="et-EE"/>
        </w:rPr>
        <w:footnoteReference w:id="76"/>
      </w:r>
    </w:p>
    <w:p w14:paraId="2EDE7762" w14:textId="77777777" w:rsidR="00D67E10" w:rsidRPr="00C50854" w:rsidRDefault="00D67E10" w:rsidP="00D67E10">
      <w:pPr>
        <w:suppressAutoHyphens w:val="0"/>
        <w:autoSpaceDE w:val="0"/>
        <w:autoSpaceDN w:val="0"/>
        <w:adjustRightInd w:val="0"/>
        <w:spacing w:before="120" w:after="120"/>
        <w:jc w:val="both"/>
        <w:rPr>
          <w:lang w:eastAsia="et-EE"/>
        </w:rPr>
      </w:pPr>
    </w:p>
    <w:p w14:paraId="2796BF59" w14:textId="637712DE"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Valguskaableid paigaldatakse kaablikanalisatsiooni koos kiikriga üldjuhul väliste läbimõõtudega 4 – 16 mm ja need mahutavad kuni 216 fiibrit (vt alltoodud </w:t>
      </w:r>
      <w:r w:rsidR="00826D22" w:rsidRPr="00C50854">
        <w:rPr>
          <w:lang w:eastAsia="et-EE"/>
        </w:rPr>
        <w:fldChar w:fldCharType="begin"/>
      </w:r>
      <w:r w:rsidR="00826D22" w:rsidRPr="00C50854">
        <w:rPr>
          <w:lang w:eastAsia="et-EE"/>
        </w:rPr>
        <w:instrText xml:space="preserve"> REF _Ref40779176 \h </w:instrText>
      </w:r>
      <w:r w:rsidR="00C50854">
        <w:rPr>
          <w:lang w:eastAsia="et-EE"/>
        </w:rPr>
        <w:instrText xml:space="preserve"> \* MERGEFORMAT </w:instrText>
      </w:r>
      <w:r w:rsidR="00826D22" w:rsidRPr="00C50854">
        <w:rPr>
          <w:lang w:eastAsia="et-EE"/>
        </w:rPr>
      </w:r>
      <w:r w:rsidR="00826D22" w:rsidRPr="00C50854">
        <w:rPr>
          <w:lang w:eastAsia="et-EE"/>
        </w:rPr>
        <w:fldChar w:fldCharType="separate"/>
      </w:r>
      <w:r w:rsidR="00826D22" w:rsidRPr="00C50854">
        <w:t xml:space="preserve">tabel </w:t>
      </w:r>
      <w:r w:rsidR="00826D22" w:rsidRPr="00C50854">
        <w:rPr>
          <w:noProof/>
        </w:rPr>
        <w:t>22</w:t>
      </w:r>
      <w:r w:rsidR="00826D22" w:rsidRPr="00C50854">
        <w:rPr>
          <w:lang w:eastAsia="et-EE"/>
        </w:rPr>
        <w:fldChar w:fldCharType="end"/>
      </w:r>
      <w:r w:rsidRPr="00C50854">
        <w:rPr>
          <w:lang w:eastAsia="et-EE"/>
        </w:rPr>
        <w:t>).</w:t>
      </w:r>
    </w:p>
    <w:p w14:paraId="5D377D84" w14:textId="77777777" w:rsidR="00D67E10" w:rsidRPr="00C50854" w:rsidRDefault="00D67E10" w:rsidP="00D67E10">
      <w:pPr>
        <w:suppressAutoHyphens w:val="0"/>
        <w:autoSpaceDE w:val="0"/>
        <w:autoSpaceDN w:val="0"/>
        <w:adjustRightInd w:val="0"/>
        <w:spacing w:before="120" w:after="120"/>
        <w:jc w:val="both"/>
        <w:rPr>
          <w:lang w:eastAsia="et-EE"/>
        </w:rPr>
      </w:pPr>
    </w:p>
    <w:p w14:paraId="34D71608" w14:textId="77777777" w:rsidR="00D67E10" w:rsidRPr="00C50854" w:rsidRDefault="00D67E10" w:rsidP="00D67E10">
      <w:pPr>
        <w:suppressAutoHyphens w:val="0"/>
        <w:autoSpaceDE w:val="0"/>
        <w:autoSpaceDN w:val="0"/>
        <w:adjustRightInd w:val="0"/>
        <w:spacing w:before="120" w:after="120"/>
        <w:ind w:firstLine="708"/>
        <w:jc w:val="both"/>
        <w:rPr>
          <w:lang w:eastAsia="et-EE"/>
        </w:rPr>
      </w:pPr>
      <w:r w:rsidRPr="00C50854">
        <w:rPr>
          <w:noProof/>
        </w:rPr>
        <w:lastRenderedPageBreak/>
        <w:drawing>
          <wp:inline distT="0" distB="0" distL="0" distR="0" wp14:anchorId="3157E6F8" wp14:editId="373F115F">
            <wp:extent cx="3105150" cy="2213672"/>
            <wp:effectExtent l="0" t="0" r="0" b="0"/>
            <wp:docPr id="45" name="Pil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6118" cy="2228620"/>
                    </a:xfrm>
                    <a:prstGeom prst="rect">
                      <a:avLst/>
                    </a:prstGeom>
                    <a:noFill/>
                    <a:ln>
                      <a:noFill/>
                    </a:ln>
                  </pic:spPr>
                </pic:pic>
              </a:graphicData>
            </a:graphic>
          </wp:inline>
        </w:drawing>
      </w:r>
    </w:p>
    <w:p w14:paraId="3A750C05" w14:textId="6D349730" w:rsidR="00D67E10" w:rsidRPr="00C50854" w:rsidRDefault="00881655" w:rsidP="00881655">
      <w:pPr>
        <w:pStyle w:val="Pealdis"/>
        <w:keepNext/>
        <w:jc w:val="both"/>
        <w:rPr>
          <w:b w:val="0"/>
        </w:rPr>
      </w:pPr>
      <w:bookmarkStart w:id="335" w:name="_Ref40779176"/>
      <w:r w:rsidRPr="00C50854">
        <w:t xml:space="preserve">Tabel </w:t>
      </w:r>
      <w:fldSimple w:instr=" SEQ Tabel \* ARABIC ">
        <w:r w:rsidR="00D24389" w:rsidRPr="00C50854">
          <w:rPr>
            <w:noProof/>
          </w:rPr>
          <w:t>22</w:t>
        </w:r>
      </w:fldSimple>
      <w:bookmarkEnd w:id="335"/>
      <w:r w:rsidRPr="00C50854">
        <w:t xml:space="preserve">. </w:t>
      </w:r>
      <w:bookmarkStart w:id="336" w:name="_Ref40785382"/>
      <w:r w:rsidR="00D67E10" w:rsidRPr="00C50854">
        <w:rPr>
          <w:b w:val="0"/>
          <w:lang w:eastAsia="et-EE"/>
        </w:rPr>
        <w:t>Kaablikanalisatsiooni paigaldatavate valguskaablite kiikrite ja valguskaablite  läbimõõdud ja fiibrite arv</w:t>
      </w:r>
      <w:r w:rsidR="00D67E10" w:rsidRPr="00C50854">
        <w:rPr>
          <w:rStyle w:val="Allmrkuseviide"/>
          <w:b w:val="0"/>
          <w:lang w:eastAsia="et-EE"/>
        </w:rPr>
        <w:footnoteReference w:id="77"/>
      </w:r>
      <w:bookmarkEnd w:id="336"/>
    </w:p>
    <w:p w14:paraId="375AF0DC" w14:textId="77777777" w:rsidR="00D67E10" w:rsidRPr="00C50854" w:rsidRDefault="00D67E10" w:rsidP="00D67E10">
      <w:pPr>
        <w:suppressAutoHyphens w:val="0"/>
        <w:autoSpaceDE w:val="0"/>
        <w:autoSpaceDN w:val="0"/>
        <w:adjustRightInd w:val="0"/>
        <w:spacing w:before="120" w:after="120"/>
        <w:jc w:val="both"/>
        <w:rPr>
          <w:lang w:eastAsia="et-EE"/>
        </w:rPr>
      </w:pPr>
    </w:p>
    <w:p w14:paraId="36D707FB" w14:textId="6A1BC58F"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Eeltoodut tabelitest selgub, et sama arvu optilisi kiude sisaldav kiiker on sama arvu vaskpaare sisaldavast kaablist ca 30 – 50% väiksema välise diameetriga (vt </w:t>
      </w:r>
      <w:r w:rsidR="00D24389" w:rsidRPr="00C50854">
        <w:rPr>
          <w:lang w:eastAsia="et-EE"/>
        </w:rPr>
        <w:fldChar w:fldCharType="begin"/>
      </w:r>
      <w:r w:rsidR="00D24389" w:rsidRPr="00C50854">
        <w:rPr>
          <w:lang w:eastAsia="et-EE"/>
        </w:rPr>
        <w:instrText xml:space="preserve"> REF _Ref40785453 \h </w:instrText>
      </w:r>
      <w:r w:rsidR="00C50854">
        <w:rPr>
          <w:lang w:eastAsia="et-EE"/>
        </w:rPr>
        <w:instrText xml:space="preserve"> \* MERGEFORMAT </w:instrText>
      </w:r>
      <w:r w:rsidR="00D24389" w:rsidRPr="00C50854">
        <w:rPr>
          <w:lang w:eastAsia="et-EE"/>
        </w:rPr>
      </w:r>
      <w:r w:rsidR="00D24389" w:rsidRPr="00C50854">
        <w:rPr>
          <w:lang w:eastAsia="et-EE"/>
        </w:rPr>
        <w:fldChar w:fldCharType="separate"/>
      </w:r>
      <w:r w:rsidR="00D24389" w:rsidRPr="00C50854">
        <w:t xml:space="preserve">Tabel </w:t>
      </w:r>
      <w:r w:rsidR="00D24389" w:rsidRPr="00C50854">
        <w:rPr>
          <w:noProof/>
        </w:rPr>
        <w:t>23</w:t>
      </w:r>
      <w:r w:rsidR="00D24389" w:rsidRPr="00C50854">
        <w:rPr>
          <w:lang w:eastAsia="et-EE"/>
        </w:rPr>
        <w:fldChar w:fldCharType="end"/>
      </w:r>
      <w:r w:rsidRPr="00C50854">
        <w:rPr>
          <w:lang w:eastAsia="et-EE"/>
        </w:rPr>
        <w:t>).</w:t>
      </w:r>
    </w:p>
    <w:p w14:paraId="7259FCC6" w14:textId="77777777" w:rsidR="00D67E10" w:rsidRPr="00C50854" w:rsidRDefault="00D67E10" w:rsidP="00D67E10">
      <w:pPr>
        <w:suppressAutoHyphens w:val="0"/>
        <w:autoSpaceDE w:val="0"/>
        <w:autoSpaceDN w:val="0"/>
        <w:adjustRightInd w:val="0"/>
        <w:spacing w:before="120" w:after="120"/>
        <w:jc w:val="both"/>
        <w:rPr>
          <w:lang w:eastAsia="et-EE"/>
        </w:rPr>
      </w:pPr>
    </w:p>
    <w:p w14:paraId="01433AE9" w14:textId="77777777" w:rsidR="00D67E10" w:rsidRPr="00C50854" w:rsidRDefault="00D67E10" w:rsidP="00D67E10">
      <w:pPr>
        <w:suppressAutoHyphens w:val="0"/>
        <w:autoSpaceDE w:val="0"/>
        <w:autoSpaceDN w:val="0"/>
        <w:adjustRightInd w:val="0"/>
        <w:spacing w:before="120" w:after="120"/>
        <w:ind w:left="360"/>
        <w:jc w:val="both"/>
        <w:rPr>
          <w:lang w:eastAsia="et-EE"/>
        </w:rPr>
      </w:pPr>
      <w:r w:rsidRPr="00C50854">
        <w:rPr>
          <w:noProof/>
        </w:rPr>
        <w:drawing>
          <wp:inline distT="0" distB="0" distL="0" distR="0" wp14:anchorId="221B97FA" wp14:editId="17A21CC0">
            <wp:extent cx="5340350" cy="1104900"/>
            <wp:effectExtent l="0" t="0" r="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0350" cy="1104900"/>
                    </a:xfrm>
                    <a:prstGeom prst="rect">
                      <a:avLst/>
                    </a:prstGeom>
                    <a:noFill/>
                    <a:ln>
                      <a:noFill/>
                    </a:ln>
                  </pic:spPr>
                </pic:pic>
              </a:graphicData>
            </a:graphic>
          </wp:inline>
        </w:drawing>
      </w:r>
    </w:p>
    <w:p w14:paraId="0B379D3E" w14:textId="54473A72" w:rsidR="00D67E10" w:rsidRPr="00C50854" w:rsidRDefault="00341D2F" w:rsidP="00341D2F">
      <w:pPr>
        <w:pStyle w:val="Pealdis"/>
        <w:jc w:val="both"/>
        <w:rPr>
          <w:b w:val="0"/>
          <w:lang w:eastAsia="et-EE"/>
        </w:rPr>
      </w:pPr>
      <w:bookmarkStart w:id="337" w:name="_Ref40785453"/>
      <w:r w:rsidRPr="00C50854">
        <w:t xml:space="preserve">Tabel </w:t>
      </w:r>
      <w:fldSimple w:instr=" SEQ Tabel \* ARABIC ">
        <w:r w:rsidR="00C9460F" w:rsidRPr="00C50854">
          <w:rPr>
            <w:noProof/>
          </w:rPr>
          <w:t>23</w:t>
        </w:r>
      </w:fldSimple>
      <w:bookmarkEnd w:id="337"/>
      <w:r w:rsidRPr="00C50854">
        <w:t xml:space="preserve">. </w:t>
      </w:r>
      <w:r w:rsidR="00D67E10" w:rsidRPr="00C50854">
        <w:rPr>
          <w:b w:val="0"/>
          <w:lang w:eastAsia="et-EE"/>
        </w:rPr>
        <w:t>Vaskpaarkaablite ja valguskaablite väliste diameetrite võrdlus</w:t>
      </w:r>
    </w:p>
    <w:p w14:paraId="6F980786" w14:textId="50C55FD0"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Lisaks on teada, et näiteks Telia kui suurim valguskaabel ühenduste pakkuja jaeturul, kasutab ca </w:t>
      </w:r>
      <w:r w:rsidR="00754016">
        <w:rPr>
          <w:lang w:eastAsia="et-EE"/>
        </w:rPr>
        <w:t>…*</w:t>
      </w:r>
      <w:r w:rsidRPr="00C50854">
        <w:rPr>
          <w:lang w:eastAsia="et-EE"/>
        </w:rPr>
        <w:t xml:space="preserve"> valguskaabel ühendusega lõppkasutajate korral FTTB lahendust, mille korral ei eraldata igale lõppkasutajale eraldi optilist kiudu, vaid ühte kiudu kasutavad ühiselt mitu lõpp-kasutajat (GPON tehnoloogia). Seega </w:t>
      </w:r>
      <w:r w:rsidR="00BC3906" w:rsidRPr="00C50854">
        <w:rPr>
          <w:lang w:eastAsia="et-EE"/>
        </w:rPr>
        <w:t xml:space="preserve">48-96 </w:t>
      </w:r>
      <w:r w:rsidRPr="00C50854">
        <w:rPr>
          <w:lang w:eastAsia="et-EE"/>
        </w:rPr>
        <w:t>kiuga valguskaablit kasutatakse kliendiliinide korral väga harva või üldse mitte. Enamus juurdepääsuvõrgu valguskaablid ei sisalda üle 48 kiu ja need vajaksid kiikrit välise läbimõõduga 7 mm.</w:t>
      </w:r>
    </w:p>
    <w:p w14:paraId="36658745" w14:textId="400686A6"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Enamus valguskaableid paigaldatakse kiikritesse, seetõttu on tõenäosus, et uute kaablite, kiikrite või </w:t>
      </w:r>
      <w:proofErr w:type="spellStart"/>
      <w:r w:rsidRPr="00C50854">
        <w:rPr>
          <w:lang w:eastAsia="et-EE"/>
        </w:rPr>
        <w:t>multi</w:t>
      </w:r>
      <w:r w:rsidR="00755D4A" w:rsidRPr="00C50854">
        <w:rPr>
          <w:lang w:eastAsia="et-EE"/>
        </w:rPr>
        <w:t>t</w:t>
      </w:r>
      <w:r w:rsidRPr="00C50854">
        <w:rPr>
          <w:lang w:eastAsia="et-EE"/>
        </w:rPr>
        <w:t>orude</w:t>
      </w:r>
      <w:proofErr w:type="spellEnd"/>
      <w:r w:rsidRPr="00C50854">
        <w:rPr>
          <w:lang w:eastAsia="et-EE"/>
        </w:rPr>
        <w:t xml:space="preserve"> lisamisel saaksid kahjustada juba olemasolevad valguskaablid väga madal.</w:t>
      </w:r>
    </w:p>
    <w:p w14:paraId="70032D5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Eeltoodust tulenevalt on tänapäeval enamus kaablikanalisatsiooni paigaldatavatest kaablitest valguskaablid, mis paigaldatakse kiikriga ja ei vaja kaablikanalisatsiooni paigalduskohta läbimõõduga 30 mm, vaid piisaks ka poole väiksema mahutavusega paigalduskohast. Seega vältimaks konkurentsiprobleeme, mis tulenevad kaablikanalisatsiooni vaba mahu puudumisest, kuna paigalduskoha läbimõõdud ei vasta tänapäevaste kaablite ja kiikrite tehnilistele tingimustele (sh läbimõõt) tuleb vastavaid paigalduskoha suurusi korrigeerida. </w:t>
      </w:r>
    </w:p>
    <w:p w14:paraId="44F05E0B" w14:textId="77777777" w:rsidR="00D67E10" w:rsidRPr="00C50854" w:rsidRDefault="00D67E10" w:rsidP="00D67E10">
      <w:pPr>
        <w:suppressAutoHyphens w:val="0"/>
        <w:autoSpaceDE w:val="0"/>
        <w:autoSpaceDN w:val="0"/>
        <w:adjustRightInd w:val="0"/>
        <w:spacing w:before="120" w:after="120"/>
        <w:jc w:val="both"/>
        <w:rPr>
          <w:lang w:eastAsia="et-EE"/>
        </w:rPr>
      </w:pPr>
    </w:p>
    <w:p w14:paraId="54549F3E"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lahendamise valikud</w:t>
      </w:r>
    </w:p>
    <w:p w14:paraId="4D6DDFCB"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TTJA hinnangul saab leevendada eeltoodud konkurentsiprobleemi, kui muuta kaablikanalisatsiooni juurdepääsu tingimusi selliselt, et 100 mm läbimõõduga toru jagada </w:t>
      </w:r>
      <w:r w:rsidRPr="00C50854">
        <w:rPr>
          <w:lang w:eastAsia="et-EE"/>
        </w:rPr>
        <w:lastRenderedPageBreak/>
        <w:t xml:space="preserve">senise 6 paigalduskoha asemel 12-ks paigalduskohaks. Iga paigalduskoht mahutab ühe kaabli, kiikri või </w:t>
      </w:r>
      <w:proofErr w:type="spellStart"/>
      <w:r w:rsidRPr="00C50854">
        <w:rPr>
          <w:lang w:eastAsia="et-EE"/>
        </w:rPr>
        <w:t>multitoru</w:t>
      </w:r>
      <w:proofErr w:type="spellEnd"/>
      <w:r w:rsidRPr="00C50854">
        <w:rPr>
          <w:lang w:eastAsia="et-EE"/>
        </w:rPr>
        <w:t xml:space="preserve"> läbimõõduga kuni 15 mm. Tehnilise reservi maht jääks samaks ehk 1/3 toru ava pindalast, senise 2 paigalduskoha (2/6 ehk 1/3 avast) asemel 4 paigalduskohta (4/12 ehk 1/3 avast).</w:t>
      </w:r>
    </w:p>
    <w:p w14:paraId="37808355" w14:textId="77777777" w:rsidR="00F95D90" w:rsidRPr="00C50854" w:rsidRDefault="00F95D90">
      <w:pPr>
        <w:suppressAutoHyphens w:val="0"/>
        <w:rPr>
          <w:lang w:eastAsia="et-EE"/>
        </w:rPr>
      </w:pPr>
      <w:r w:rsidRPr="00C50854">
        <w:rPr>
          <w:lang w:eastAsia="et-EE"/>
        </w:rPr>
        <w:br w:type="page"/>
      </w:r>
    </w:p>
    <w:p w14:paraId="0B2F5986" w14:textId="1F55BEAC" w:rsidR="00D67E10" w:rsidRPr="00C50854" w:rsidRDefault="00D67E10" w:rsidP="00D67E10">
      <w:pPr>
        <w:suppressAutoHyphens w:val="0"/>
        <w:autoSpaceDE w:val="0"/>
        <w:autoSpaceDN w:val="0"/>
        <w:adjustRightInd w:val="0"/>
        <w:spacing w:before="120" w:after="120"/>
        <w:ind w:left="360"/>
        <w:jc w:val="both"/>
        <w:rPr>
          <w:lang w:eastAsia="et-EE"/>
        </w:rPr>
      </w:pPr>
      <w:r w:rsidRPr="00C50854">
        <w:rPr>
          <w:noProof/>
          <w:lang w:eastAsia="et-EE"/>
        </w:rPr>
        <w:lastRenderedPageBreak/>
        <mc:AlternateContent>
          <mc:Choice Requires="wpg">
            <w:drawing>
              <wp:anchor distT="0" distB="0" distL="114300" distR="114300" simplePos="0" relativeHeight="251660288" behindDoc="0" locked="0" layoutInCell="1" allowOverlap="1" wp14:anchorId="4135BDCD" wp14:editId="45BF4953">
                <wp:simplePos x="0" y="0"/>
                <wp:positionH relativeFrom="column">
                  <wp:posOffset>3159760</wp:posOffset>
                </wp:positionH>
                <wp:positionV relativeFrom="paragraph">
                  <wp:posOffset>236855</wp:posOffset>
                </wp:positionV>
                <wp:extent cx="2330450" cy="2228850"/>
                <wp:effectExtent l="0" t="0" r="31750" b="19050"/>
                <wp:wrapNone/>
                <wp:docPr id="10" name="Rühm 10"/>
                <wp:cNvGraphicFramePr/>
                <a:graphic xmlns:a="http://schemas.openxmlformats.org/drawingml/2006/main">
                  <a:graphicData uri="http://schemas.microsoft.com/office/word/2010/wordprocessingGroup">
                    <wpg:wgp>
                      <wpg:cNvGrpSpPr/>
                      <wpg:grpSpPr>
                        <a:xfrm>
                          <a:off x="0" y="0"/>
                          <a:ext cx="2330450" cy="2228850"/>
                          <a:chOff x="0" y="0"/>
                          <a:chExt cx="2330450" cy="2228850"/>
                        </a:xfrm>
                      </wpg:grpSpPr>
                      <wps:wsp>
                        <wps:cNvPr id="13" name="Ovaal 13"/>
                        <wps:cNvSpPr/>
                        <wps:spPr>
                          <a:xfrm>
                            <a:off x="0" y="63500"/>
                            <a:ext cx="2330450" cy="21653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irgkonnektor 35"/>
                        <wps:cNvCnPr/>
                        <wps:spPr>
                          <a:xfrm flipH="1">
                            <a:off x="546100" y="247650"/>
                            <a:ext cx="1276350" cy="1797050"/>
                          </a:xfrm>
                          <a:prstGeom prst="line">
                            <a:avLst/>
                          </a:prstGeom>
                          <a:noFill/>
                          <a:ln w="6350" cap="flat" cmpd="sng" algn="ctr">
                            <a:solidFill>
                              <a:srgbClr val="5B9BD5"/>
                            </a:solidFill>
                            <a:prstDash val="solid"/>
                            <a:miter lim="800000"/>
                          </a:ln>
                          <a:effectLst/>
                        </wps:spPr>
                        <wps:bodyPr/>
                      </wps:wsp>
                      <wps:wsp>
                        <wps:cNvPr id="36" name="Sirgkonnektor 36"/>
                        <wps:cNvCnPr/>
                        <wps:spPr>
                          <a:xfrm>
                            <a:off x="469900" y="266700"/>
                            <a:ext cx="1371600" cy="1733550"/>
                          </a:xfrm>
                          <a:prstGeom prst="line">
                            <a:avLst/>
                          </a:prstGeom>
                          <a:noFill/>
                          <a:ln w="6350" cap="flat" cmpd="sng" algn="ctr">
                            <a:solidFill>
                              <a:srgbClr val="5B9BD5"/>
                            </a:solidFill>
                            <a:prstDash val="solid"/>
                            <a:miter lim="800000"/>
                          </a:ln>
                          <a:effectLst/>
                        </wps:spPr>
                        <wps:bodyPr/>
                      </wps:wsp>
                      <wps:wsp>
                        <wps:cNvPr id="37" name="Sirgkonnektor 37"/>
                        <wps:cNvCnPr/>
                        <wps:spPr>
                          <a:xfrm>
                            <a:off x="0" y="1162050"/>
                            <a:ext cx="2330450" cy="0"/>
                          </a:xfrm>
                          <a:prstGeom prst="line">
                            <a:avLst/>
                          </a:prstGeom>
                          <a:noFill/>
                          <a:ln w="6350" cap="flat" cmpd="sng" algn="ctr">
                            <a:solidFill>
                              <a:srgbClr val="5B9BD5"/>
                            </a:solidFill>
                            <a:prstDash val="solid"/>
                            <a:miter lim="800000"/>
                          </a:ln>
                          <a:effectLst/>
                        </wps:spPr>
                        <wps:bodyPr/>
                      </wps:wsp>
                      <wps:wsp>
                        <wps:cNvPr id="38" name="Vooskeemikujund &quot;konnektor&quot; 38"/>
                        <wps:cNvSpPr/>
                        <wps:spPr>
                          <a:xfrm>
                            <a:off x="146050" y="1206500"/>
                            <a:ext cx="654050" cy="622300"/>
                          </a:xfrm>
                          <a:prstGeom prst="flowChartConnector">
                            <a:avLst/>
                          </a:prstGeom>
                          <a:noFill/>
                          <a:ln w="12700" cap="flat" cmpd="sng" algn="ctr">
                            <a:solidFill>
                              <a:srgbClr val="5B9BD5">
                                <a:shade val="50000"/>
                              </a:srgbClr>
                            </a:solidFill>
                            <a:prstDash val="solid"/>
                            <a:miter lim="800000"/>
                          </a:ln>
                          <a:effectLst/>
                        </wps:spPr>
                        <wps:txbx>
                          <w:txbxContent>
                            <w:p w14:paraId="172F89F5" w14:textId="77777777" w:rsidR="00456678" w:rsidRDefault="00456678" w:rsidP="00D67E10">
                              <w:pPr>
                                <w:rPr>
                                  <w:color w:val="000000" w:themeColor="text1"/>
                                  <w:sz w:val="16"/>
                                  <w:szCs w:val="16"/>
                                </w:rPr>
                              </w:pPr>
                            </w:p>
                            <w:p w14:paraId="15CC2DC2" w14:textId="77777777" w:rsidR="00456678" w:rsidRPr="00A1785F" w:rsidRDefault="00456678" w:rsidP="00D67E10">
                              <w:pPr>
                                <w:rPr>
                                  <w:b/>
                                  <w:bCs/>
                                </w:rPr>
                              </w:pPr>
                              <w:r w:rsidRPr="00A1785F">
                                <w:rPr>
                                  <w:color w:val="000000" w:themeColor="text1"/>
                                  <w:sz w:val="16"/>
                                  <w:szCs w:val="16"/>
                                </w:rPr>
                                <w:t>30mm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Vooskeemikujund &quot;konnektor&quot; 39"/>
                        <wps:cNvSpPr/>
                        <wps:spPr>
                          <a:xfrm>
                            <a:off x="869950" y="1492250"/>
                            <a:ext cx="654050" cy="622300"/>
                          </a:xfrm>
                          <a:prstGeom prst="flowChartConnector">
                            <a:avLst/>
                          </a:prstGeom>
                          <a:noFill/>
                          <a:ln w="12700" cap="flat" cmpd="sng" algn="ctr">
                            <a:solidFill>
                              <a:srgbClr val="5B9BD5">
                                <a:shade val="50000"/>
                              </a:srgbClr>
                            </a:solidFill>
                            <a:prstDash val="solid"/>
                            <a:miter lim="800000"/>
                          </a:ln>
                          <a:effectLst/>
                        </wps:spPr>
                        <wps:txbx>
                          <w:txbxContent>
                            <w:p w14:paraId="55043654" w14:textId="77777777" w:rsidR="00456678" w:rsidRDefault="00456678" w:rsidP="00D67E10">
                              <w:pPr>
                                <w:rPr>
                                  <w:color w:val="000000" w:themeColor="text1"/>
                                  <w:sz w:val="16"/>
                                  <w:szCs w:val="16"/>
                                </w:rPr>
                              </w:pPr>
                            </w:p>
                            <w:p w14:paraId="1DA51FF7" w14:textId="77777777" w:rsidR="00456678" w:rsidRPr="00A1785F" w:rsidRDefault="00456678" w:rsidP="00D67E10">
                              <w:pPr>
                                <w:rPr>
                                  <w:b/>
                                  <w:bCs/>
                                </w:rPr>
                              </w:pPr>
                              <w:r w:rsidRPr="00A1785F">
                                <w:rPr>
                                  <w:color w:val="000000" w:themeColor="text1"/>
                                  <w:sz w:val="16"/>
                                  <w:szCs w:val="16"/>
                                </w:rPr>
                                <w:t>30mm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irgkonnektor 42"/>
                        <wps:cNvCnPr/>
                        <wps:spPr>
                          <a:xfrm>
                            <a:off x="95250" y="685800"/>
                            <a:ext cx="2082800" cy="952500"/>
                          </a:xfrm>
                          <a:prstGeom prst="line">
                            <a:avLst/>
                          </a:prstGeom>
                          <a:noFill/>
                          <a:ln w="6350" cap="flat" cmpd="sng" algn="ctr">
                            <a:solidFill>
                              <a:srgbClr val="5B9BD5"/>
                            </a:solidFill>
                            <a:prstDash val="solid"/>
                            <a:miter lim="800000"/>
                          </a:ln>
                          <a:effectLst/>
                        </wps:spPr>
                        <wps:bodyPr/>
                      </wps:wsp>
                      <wps:wsp>
                        <wps:cNvPr id="43" name="Sirgkonnektor 43"/>
                        <wps:cNvCnPr/>
                        <wps:spPr>
                          <a:xfrm>
                            <a:off x="1117600" y="76200"/>
                            <a:ext cx="88900" cy="2152650"/>
                          </a:xfrm>
                          <a:prstGeom prst="line">
                            <a:avLst/>
                          </a:prstGeom>
                          <a:noFill/>
                          <a:ln w="6350" cap="flat" cmpd="sng" algn="ctr">
                            <a:solidFill>
                              <a:srgbClr val="5B9BD5"/>
                            </a:solidFill>
                            <a:prstDash val="solid"/>
                            <a:miter lim="800000"/>
                          </a:ln>
                          <a:effectLst/>
                        </wps:spPr>
                        <wps:bodyPr/>
                      </wps:wsp>
                      <wps:wsp>
                        <wps:cNvPr id="44" name="Sirgkonnektor 44"/>
                        <wps:cNvCnPr/>
                        <wps:spPr>
                          <a:xfrm flipV="1">
                            <a:off x="171450" y="622300"/>
                            <a:ext cx="2006600" cy="1111250"/>
                          </a:xfrm>
                          <a:prstGeom prst="line">
                            <a:avLst/>
                          </a:prstGeom>
                          <a:noFill/>
                          <a:ln w="6350" cap="flat" cmpd="sng" algn="ctr">
                            <a:solidFill>
                              <a:srgbClr val="5B9BD5"/>
                            </a:solidFill>
                            <a:prstDash val="solid"/>
                            <a:miter lim="800000"/>
                          </a:ln>
                          <a:effectLst/>
                        </wps:spPr>
                        <wps:bodyPr/>
                      </wps:wsp>
                      <wps:wsp>
                        <wps:cNvPr id="46" name="Vooskeemikujund &quot;konnektor&quot; 46"/>
                        <wps:cNvSpPr/>
                        <wps:spPr>
                          <a:xfrm>
                            <a:off x="1651000" y="1524000"/>
                            <a:ext cx="393700" cy="36195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2C80C56" w14:textId="77777777" w:rsidR="00456678" w:rsidRPr="00A1785F" w:rsidRDefault="00456678" w:rsidP="00D67E10">
                              <w:pPr>
                                <w:rPr>
                                  <w:b/>
                                  <w:bCs/>
                                </w:rPr>
                              </w:pPr>
                              <w:r w:rsidRPr="00C416D9">
                                <w:rPr>
                                  <w:color w:val="000000" w:themeColor="text1"/>
                                  <w:sz w:val="12"/>
                                  <w:szCs w:val="12"/>
                                </w:rPr>
                                <w:t>1</w:t>
                              </w:r>
                              <w:r>
                                <w:rPr>
                                  <w:color w:val="000000" w:themeColor="text1"/>
                                  <w:sz w:val="12"/>
                                  <w:szCs w:val="12"/>
                                </w:rPr>
                                <w:t>5</w:t>
                              </w:r>
                              <w:r>
                                <w:rPr>
                                  <w:b/>
                                  <w:bCs/>
                                </w:rPr>
                                <w:t>mmm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Vooskeemikujund &quot;konnektor&quot; 47"/>
                        <wps:cNvSpPr/>
                        <wps:spPr>
                          <a:xfrm>
                            <a:off x="1873250" y="1193800"/>
                            <a:ext cx="393700" cy="36195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F8E35A1" w14:textId="77777777" w:rsidR="00456678" w:rsidRPr="00A1785F" w:rsidRDefault="00456678" w:rsidP="00D67E10">
                              <w:pPr>
                                <w:rPr>
                                  <w:b/>
                                  <w:bCs/>
                                </w:rPr>
                              </w:pPr>
                              <w:r w:rsidRPr="00C416D9">
                                <w:rPr>
                                  <w:color w:val="000000" w:themeColor="text1"/>
                                  <w:sz w:val="12"/>
                                  <w:szCs w:val="12"/>
                                </w:rPr>
                                <w:t>1</w:t>
                              </w:r>
                              <w:r>
                                <w:rPr>
                                  <w:color w:val="000000" w:themeColor="text1"/>
                                  <w:sz w:val="12"/>
                                  <w:szCs w:val="12"/>
                                </w:rPr>
                                <w:t>5</w:t>
                              </w:r>
                              <w:r>
                                <w:rPr>
                                  <w:b/>
                                  <w:bCs/>
                                </w:rPr>
                                <w:t>mmm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Vooskeemikujund &quot;konnektor&quot; 48"/>
                        <wps:cNvSpPr/>
                        <wps:spPr>
                          <a:xfrm>
                            <a:off x="1873250" y="762000"/>
                            <a:ext cx="393700" cy="36195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DAC3B06" w14:textId="77777777" w:rsidR="00456678" w:rsidRPr="00A1785F" w:rsidRDefault="00456678" w:rsidP="00D67E10">
                              <w:pPr>
                                <w:rPr>
                                  <w:b/>
                                  <w:bCs/>
                                </w:rPr>
                              </w:pPr>
                              <w:r w:rsidRPr="00C416D9">
                                <w:rPr>
                                  <w:color w:val="000000" w:themeColor="text1"/>
                                  <w:sz w:val="12"/>
                                  <w:szCs w:val="12"/>
                                </w:rPr>
                                <w:t>1</w:t>
                              </w:r>
                              <w:r>
                                <w:rPr>
                                  <w:color w:val="000000" w:themeColor="text1"/>
                                  <w:sz w:val="12"/>
                                  <w:szCs w:val="12"/>
                                </w:rPr>
                                <w:t>5</w:t>
                              </w:r>
                              <w:r>
                                <w:rPr>
                                  <w:b/>
                                  <w:bCs/>
                                </w:rPr>
                                <w:t>mmm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Vooskeemikujund &quot;konnektor&quot; 49"/>
                        <wps:cNvSpPr/>
                        <wps:spPr>
                          <a:xfrm>
                            <a:off x="1651000" y="431800"/>
                            <a:ext cx="393700" cy="36195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6157B4" w14:textId="77777777" w:rsidR="00456678" w:rsidRPr="00A1785F" w:rsidRDefault="00456678" w:rsidP="00D67E10">
                              <w:pPr>
                                <w:rPr>
                                  <w:b/>
                                  <w:bCs/>
                                </w:rPr>
                              </w:pPr>
                              <w:r w:rsidRPr="00C416D9">
                                <w:rPr>
                                  <w:color w:val="000000" w:themeColor="text1"/>
                                  <w:sz w:val="12"/>
                                  <w:szCs w:val="12"/>
                                </w:rPr>
                                <w:t>1</w:t>
                              </w:r>
                              <w:r>
                                <w:rPr>
                                  <w:color w:val="000000" w:themeColor="text1"/>
                                  <w:sz w:val="12"/>
                                  <w:szCs w:val="12"/>
                                </w:rPr>
                                <w:t>5</w:t>
                              </w:r>
                              <w:r>
                                <w:rPr>
                                  <w:b/>
                                  <w:bCs/>
                                </w:rPr>
                                <w:t>mmm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Vooskeemikujund &quot;konnektor&quot; 50"/>
                        <wps:cNvSpPr/>
                        <wps:spPr>
                          <a:xfrm>
                            <a:off x="0" y="685800"/>
                            <a:ext cx="698500" cy="622300"/>
                          </a:xfrm>
                          <a:prstGeom prst="flowChartConnector">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E7E6A" w14:textId="77777777" w:rsidR="00456678" w:rsidRDefault="00456678" w:rsidP="00D67E10">
                              <w:pPr>
                                <w:rPr>
                                  <w:color w:val="000000" w:themeColor="text1"/>
                                  <w:sz w:val="16"/>
                                  <w:szCs w:val="16"/>
                                </w:rPr>
                              </w:pPr>
                            </w:p>
                            <w:p w14:paraId="21F4832C" w14:textId="77777777" w:rsidR="00456678" w:rsidRPr="00A1785F" w:rsidRDefault="00456678" w:rsidP="00D67E10">
                              <w:pPr>
                                <w:rPr>
                                  <w:b/>
                                  <w:bCs/>
                                </w:rPr>
                              </w:pPr>
                              <w:r>
                                <w:rPr>
                                  <w:color w:val="000000" w:themeColor="text1"/>
                                  <w:sz w:val="16"/>
                                  <w:szCs w:val="16"/>
                                </w:rPr>
                                <w:t>Reserv</w:t>
                              </w:r>
                              <w:r>
                                <w:rPr>
                                  <w:b/>
                                  <w:bCs/>
                                </w:rPr>
                                <w:t xml:space="preserve">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Vooskeemikujund &quot;konnektor&quot; 51"/>
                        <wps:cNvSpPr/>
                        <wps:spPr>
                          <a:xfrm>
                            <a:off x="146050" y="311150"/>
                            <a:ext cx="698500" cy="622300"/>
                          </a:xfrm>
                          <a:prstGeom prst="flowChartConnector">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90095" w14:textId="77777777" w:rsidR="00456678" w:rsidRDefault="00456678" w:rsidP="00D67E10">
                              <w:pPr>
                                <w:rPr>
                                  <w:color w:val="000000" w:themeColor="text1"/>
                                  <w:sz w:val="16"/>
                                  <w:szCs w:val="16"/>
                                </w:rPr>
                              </w:pPr>
                            </w:p>
                            <w:p w14:paraId="3D78268D" w14:textId="77777777" w:rsidR="00456678" w:rsidRPr="00A1785F" w:rsidRDefault="00456678" w:rsidP="00D67E10">
                              <w:pPr>
                                <w:rPr>
                                  <w:b/>
                                  <w:bCs/>
                                </w:rPr>
                              </w:pPr>
                              <w:r>
                                <w:rPr>
                                  <w:color w:val="000000" w:themeColor="text1"/>
                                  <w:sz w:val="16"/>
                                  <w:szCs w:val="16"/>
                                </w:rPr>
                                <w:t>Reserv</w:t>
                              </w:r>
                              <w:r>
                                <w:rPr>
                                  <w:b/>
                                  <w:bCs/>
                                </w:rPr>
                                <w:t xml:space="preserve">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Vooskeemikujund &quot;konnektor&quot; 52"/>
                        <wps:cNvSpPr/>
                        <wps:spPr>
                          <a:xfrm>
                            <a:off x="590550" y="76200"/>
                            <a:ext cx="698500" cy="622300"/>
                          </a:xfrm>
                          <a:prstGeom prst="flowChartConnector">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BC192" w14:textId="77777777" w:rsidR="00456678" w:rsidRDefault="00456678" w:rsidP="00D67E10">
                              <w:pPr>
                                <w:rPr>
                                  <w:color w:val="000000" w:themeColor="text1"/>
                                  <w:sz w:val="16"/>
                                  <w:szCs w:val="16"/>
                                </w:rPr>
                              </w:pPr>
                            </w:p>
                            <w:p w14:paraId="51EDC96B" w14:textId="77777777" w:rsidR="00456678" w:rsidRPr="00A1785F" w:rsidRDefault="00456678" w:rsidP="00D67E10">
                              <w:pPr>
                                <w:rPr>
                                  <w:b/>
                                  <w:bCs/>
                                </w:rPr>
                              </w:pPr>
                              <w:r>
                                <w:rPr>
                                  <w:color w:val="000000" w:themeColor="text1"/>
                                  <w:sz w:val="16"/>
                                  <w:szCs w:val="16"/>
                                </w:rPr>
                                <w:t>Reserv</w:t>
                              </w:r>
                              <w:r>
                                <w:rPr>
                                  <w:b/>
                                  <w:bCs/>
                                </w:rPr>
                                <w:t xml:space="preserve">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Vooskeemikujund &quot;konnektor&quot; 53"/>
                        <wps:cNvSpPr/>
                        <wps:spPr>
                          <a:xfrm>
                            <a:off x="1117600" y="0"/>
                            <a:ext cx="698500" cy="622300"/>
                          </a:xfrm>
                          <a:prstGeom prst="flowChartConnector">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54DD5F" w14:textId="77777777" w:rsidR="00456678" w:rsidRDefault="00456678" w:rsidP="00D67E10">
                              <w:pPr>
                                <w:rPr>
                                  <w:color w:val="000000" w:themeColor="text1"/>
                                  <w:sz w:val="16"/>
                                  <w:szCs w:val="16"/>
                                </w:rPr>
                              </w:pPr>
                            </w:p>
                            <w:p w14:paraId="14BD54A4" w14:textId="77777777" w:rsidR="00456678" w:rsidRPr="00A1785F" w:rsidRDefault="00456678" w:rsidP="00D67E10">
                              <w:pPr>
                                <w:rPr>
                                  <w:b/>
                                  <w:bCs/>
                                </w:rPr>
                              </w:pPr>
                              <w:r>
                                <w:rPr>
                                  <w:color w:val="000000" w:themeColor="text1"/>
                                  <w:sz w:val="16"/>
                                  <w:szCs w:val="16"/>
                                </w:rPr>
                                <w:t>Reserv</w:t>
                              </w:r>
                              <w:r>
                                <w:rPr>
                                  <w:b/>
                                  <w:bCs/>
                                </w:rPr>
                                <w:t xml:space="preserve">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35BDCD" id="Rühm 10" o:spid="_x0000_s1026" style="position:absolute;left:0;text-align:left;margin-left:248.8pt;margin-top:18.65pt;width:183.5pt;height:175.5pt;z-index:251660288" coordsize="23304,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">
                <v:oval id="Ovaal 13" o:spid="_x0000_s1027" style="position:absolute;top:635;width:23304;height:2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" filled="f" strokecolor="#41719c" strokeweight="1pt">
                  <v:stroke joinstyle="miter"/>
                </v:oval>
                <v:line id="Sirgkonnektor 35" o:spid="_x0000_s1028" style="position:absolute;flip:x;visibility:visible;mso-wrap-style:square" from="5461,2476" to="18224,2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" strokecolor="#5b9bd5" strokeweight=".5pt">
                  <v:stroke joinstyle="miter"/>
                </v:line>
                <v:line id="Sirgkonnektor 36" o:spid="_x0000_s1029" style="position:absolute;visibility:visible;mso-wrap-style:square" from="4699,2667" to="1841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" strokecolor="#5b9bd5" strokeweight=".5pt">
                  <v:stroke joinstyle="miter"/>
                </v:line>
                <v:line id="Sirgkonnektor 37" o:spid="_x0000_s1030" style="position:absolute;visibility:visible;mso-wrap-style:square" from="0,11620" to="23304,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" strokecolor="#5b9bd5" strokeweight=".5pt">
                  <v:stroke joinstyle="miter"/>
                </v:line>
                <v:shapetype id="_x0000_t120" coordsize="21600,21600" o:spt="120" path="m10800,qx,10800,10800,21600,21600,10800,10800,xe">
                  <v:path gradientshapeok="t" o:connecttype="custom" o:connectlocs="10800,0;3163,3163;0,10800;3163,18437;10800,21600;18437,18437;21600,10800;18437,3163" textboxrect="3163,3163,18437,18437"/>
                </v:shapetype>
                <v:shape id="Vooskeemikujund &quot;konnektor&quot; 38" o:spid="_x0000_s1031" type="#_x0000_t120" style="position:absolute;left:1460;top:12065;width:6541;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" filled="f" strokecolor="#41719c" strokeweight="1pt">
                  <v:stroke joinstyle="miter"/>
                  <v:textbox>
                    <w:txbxContent>
                      <w:p w14:paraId="172F89F5" w14:textId="77777777" w:rsidR="00456678" w:rsidRDefault="00456678" w:rsidP="00D67E10">
                        <w:pPr>
                          <w:rPr>
                            <w:color w:val="000000" w:themeColor="text1"/>
                            <w:sz w:val="16"/>
                            <w:szCs w:val="16"/>
                          </w:rPr>
                        </w:pPr>
                      </w:p>
                      <w:p w14:paraId="15CC2DC2" w14:textId="77777777" w:rsidR="00456678" w:rsidRPr="00A1785F" w:rsidRDefault="00456678" w:rsidP="00D67E10">
                        <w:pPr>
                          <w:rPr>
                            <w:b/>
                            <w:bCs/>
                          </w:rPr>
                        </w:pPr>
                        <w:r w:rsidRPr="00A1785F">
                          <w:rPr>
                            <w:color w:val="000000" w:themeColor="text1"/>
                            <w:sz w:val="16"/>
                            <w:szCs w:val="16"/>
                          </w:rPr>
                          <w:t>30mm</w:t>
                        </w:r>
                      </w:p>
                    </w:txbxContent>
                  </v:textbox>
                </v:shape>
                <v:shape id="Vooskeemikujund &quot;konnektor&quot; 39" o:spid="_x0000_s1032" type="#_x0000_t120" style="position:absolute;left:8699;top:14922;width:6541;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" filled="f" strokecolor="#41719c" strokeweight="1pt">
                  <v:stroke joinstyle="miter"/>
                  <v:textbox>
                    <w:txbxContent>
                      <w:p w14:paraId="55043654" w14:textId="77777777" w:rsidR="00456678" w:rsidRDefault="00456678" w:rsidP="00D67E10">
                        <w:pPr>
                          <w:rPr>
                            <w:color w:val="000000" w:themeColor="text1"/>
                            <w:sz w:val="16"/>
                            <w:szCs w:val="16"/>
                          </w:rPr>
                        </w:pPr>
                      </w:p>
                      <w:p w14:paraId="1DA51FF7" w14:textId="77777777" w:rsidR="00456678" w:rsidRPr="00A1785F" w:rsidRDefault="00456678" w:rsidP="00D67E10">
                        <w:pPr>
                          <w:rPr>
                            <w:b/>
                            <w:bCs/>
                          </w:rPr>
                        </w:pPr>
                        <w:r w:rsidRPr="00A1785F">
                          <w:rPr>
                            <w:color w:val="000000" w:themeColor="text1"/>
                            <w:sz w:val="16"/>
                            <w:szCs w:val="16"/>
                          </w:rPr>
                          <w:t>30mm</w:t>
                        </w:r>
                      </w:p>
                    </w:txbxContent>
                  </v:textbox>
                </v:shape>
                <v:line id="Sirgkonnektor 42" o:spid="_x0000_s1033" style="position:absolute;visibility:visible;mso-wrap-style:square" from="952,6858" to="21780,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" strokecolor="#5b9bd5" strokeweight=".5pt">
                  <v:stroke joinstyle="miter"/>
                </v:line>
                <v:line id="Sirgkonnektor 43" o:spid="_x0000_s1034" style="position:absolute;visibility:visible;mso-wrap-style:square" from="11176,762" to="12065,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" strokecolor="#5b9bd5" strokeweight=".5pt">
                  <v:stroke joinstyle="miter"/>
                </v:line>
                <v:line id="Sirgkonnektor 44" o:spid="_x0000_s1035" style="position:absolute;flip:y;visibility:visible;mso-wrap-style:square" from="1714,6223" to="21780,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" strokecolor="#5b9bd5" strokeweight=".5pt">
                  <v:stroke joinstyle="miter"/>
                </v:line>
                <v:shape id="Vooskeemikujund &quot;konnektor&quot; 46" o:spid="_x0000_s1036" type="#_x0000_t120" style="position:absolute;left:16510;top:15240;width:393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" filled="f" strokecolor="#1f4d78 [1604]" strokeweight="1pt">
                  <v:stroke joinstyle="miter"/>
                  <v:textbox>
                    <w:txbxContent>
                      <w:p w14:paraId="62C80C56" w14:textId="77777777" w:rsidR="00456678" w:rsidRPr="00A1785F" w:rsidRDefault="00456678" w:rsidP="00D67E10">
                        <w:pPr>
                          <w:rPr>
                            <w:b/>
                            <w:bCs/>
                          </w:rPr>
                        </w:pPr>
                        <w:r w:rsidRPr="00C416D9">
                          <w:rPr>
                            <w:color w:val="000000" w:themeColor="text1"/>
                            <w:sz w:val="12"/>
                            <w:szCs w:val="12"/>
                          </w:rPr>
                          <w:t>1</w:t>
                        </w:r>
                        <w:r>
                          <w:rPr>
                            <w:color w:val="000000" w:themeColor="text1"/>
                            <w:sz w:val="12"/>
                            <w:szCs w:val="12"/>
                          </w:rPr>
                          <w:t>5</w:t>
                        </w:r>
                        <w:r>
                          <w:rPr>
                            <w:b/>
                            <w:bCs/>
                          </w:rPr>
                          <w:t>mmm</w:t>
                        </w:r>
                      </w:p>
                    </w:txbxContent>
                  </v:textbox>
                </v:shape>
                <v:shape id="Vooskeemikujund &quot;konnektor&quot; 47" o:spid="_x0000_s1037" type="#_x0000_t120" style="position:absolute;left:18732;top:11938;width:393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" filled="f" strokecolor="#1f4d78 [1604]" strokeweight="1pt">
                  <v:stroke joinstyle="miter"/>
                  <v:textbox>
                    <w:txbxContent>
                      <w:p w14:paraId="2F8E35A1" w14:textId="77777777" w:rsidR="00456678" w:rsidRPr="00A1785F" w:rsidRDefault="00456678" w:rsidP="00D67E10">
                        <w:pPr>
                          <w:rPr>
                            <w:b/>
                            <w:bCs/>
                          </w:rPr>
                        </w:pPr>
                        <w:r w:rsidRPr="00C416D9">
                          <w:rPr>
                            <w:color w:val="000000" w:themeColor="text1"/>
                            <w:sz w:val="12"/>
                            <w:szCs w:val="12"/>
                          </w:rPr>
                          <w:t>1</w:t>
                        </w:r>
                        <w:r>
                          <w:rPr>
                            <w:color w:val="000000" w:themeColor="text1"/>
                            <w:sz w:val="12"/>
                            <w:szCs w:val="12"/>
                          </w:rPr>
                          <w:t>5</w:t>
                        </w:r>
                        <w:r>
                          <w:rPr>
                            <w:b/>
                            <w:bCs/>
                          </w:rPr>
                          <w:t>mmm</w:t>
                        </w:r>
                      </w:p>
                    </w:txbxContent>
                  </v:textbox>
                </v:shape>
                <v:shape id="Vooskeemikujund &quot;konnektor&quot; 48" o:spid="_x0000_s1038" type="#_x0000_t120" style="position:absolute;left:18732;top:7620;width:393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" filled="f" strokecolor="#1f4d78 [1604]" strokeweight="1pt">
                  <v:stroke joinstyle="miter"/>
                  <v:textbox>
                    <w:txbxContent>
                      <w:p w14:paraId="7DAC3B06" w14:textId="77777777" w:rsidR="00456678" w:rsidRPr="00A1785F" w:rsidRDefault="00456678" w:rsidP="00D67E10">
                        <w:pPr>
                          <w:rPr>
                            <w:b/>
                            <w:bCs/>
                          </w:rPr>
                        </w:pPr>
                        <w:r w:rsidRPr="00C416D9">
                          <w:rPr>
                            <w:color w:val="000000" w:themeColor="text1"/>
                            <w:sz w:val="12"/>
                            <w:szCs w:val="12"/>
                          </w:rPr>
                          <w:t>1</w:t>
                        </w:r>
                        <w:r>
                          <w:rPr>
                            <w:color w:val="000000" w:themeColor="text1"/>
                            <w:sz w:val="12"/>
                            <w:szCs w:val="12"/>
                          </w:rPr>
                          <w:t>5</w:t>
                        </w:r>
                        <w:r>
                          <w:rPr>
                            <w:b/>
                            <w:bCs/>
                          </w:rPr>
                          <w:t>mmm</w:t>
                        </w:r>
                      </w:p>
                    </w:txbxContent>
                  </v:textbox>
                </v:shape>
                <v:shape id="Vooskeemikujund &quot;konnektor&quot; 49" o:spid="_x0000_s1039" type="#_x0000_t120" style="position:absolute;left:16510;top:4318;width:393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" filled="f" strokecolor="#1f4d78 [1604]" strokeweight="1pt">
                  <v:stroke joinstyle="miter"/>
                  <v:textbox>
                    <w:txbxContent>
                      <w:p w14:paraId="536157B4" w14:textId="77777777" w:rsidR="00456678" w:rsidRPr="00A1785F" w:rsidRDefault="00456678" w:rsidP="00D67E10">
                        <w:pPr>
                          <w:rPr>
                            <w:b/>
                            <w:bCs/>
                          </w:rPr>
                        </w:pPr>
                        <w:r w:rsidRPr="00C416D9">
                          <w:rPr>
                            <w:color w:val="000000" w:themeColor="text1"/>
                            <w:sz w:val="12"/>
                            <w:szCs w:val="12"/>
                          </w:rPr>
                          <w:t>1</w:t>
                        </w:r>
                        <w:r>
                          <w:rPr>
                            <w:color w:val="000000" w:themeColor="text1"/>
                            <w:sz w:val="12"/>
                            <w:szCs w:val="12"/>
                          </w:rPr>
                          <w:t>5</w:t>
                        </w:r>
                        <w:r>
                          <w:rPr>
                            <w:b/>
                            <w:bCs/>
                          </w:rPr>
                          <w:t>mmm</w:t>
                        </w:r>
                      </w:p>
                    </w:txbxContent>
                  </v:textbox>
                </v:shape>
                <v:shape id="Vooskeemikujund &quot;konnektor&quot; 50" o:spid="_x0000_s1040" type="#_x0000_t120" style="position:absolute;top:6858;width:6985;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" filled="f" stroked="f" strokeweight="1pt">
                  <v:stroke joinstyle="miter"/>
                  <v:textbox>
                    <w:txbxContent>
                      <w:p w14:paraId="586E7E6A" w14:textId="77777777" w:rsidR="00456678" w:rsidRDefault="00456678" w:rsidP="00D67E10">
                        <w:pPr>
                          <w:rPr>
                            <w:color w:val="000000" w:themeColor="text1"/>
                            <w:sz w:val="16"/>
                            <w:szCs w:val="16"/>
                          </w:rPr>
                        </w:pPr>
                      </w:p>
                      <w:p w14:paraId="21F4832C" w14:textId="77777777" w:rsidR="00456678" w:rsidRPr="00A1785F" w:rsidRDefault="00456678" w:rsidP="00D67E10">
                        <w:pPr>
                          <w:rPr>
                            <w:b/>
                            <w:bCs/>
                          </w:rPr>
                        </w:pPr>
                        <w:r>
                          <w:rPr>
                            <w:color w:val="000000" w:themeColor="text1"/>
                            <w:sz w:val="16"/>
                            <w:szCs w:val="16"/>
                          </w:rPr>
                          <w:t>Reserv</w:t>
                        </w:r>
                        <w:r>
                          <w:rPr>
                            <w:b/>
                            <w:bCs/>
                          </w:rPr>
                          <w:t xml:space="preserve"> mm</w:t>
                        </w:r>
                      </w:p>
                    </w:txbxContent>
                  </v:textbox>
                </v:shape>
                <v:shape id="Vooskeemikujund &quot;konnektor&quot; 51" o:spid="_x0000_s1041" type="#_x0000_t120" style="position:absolute;left:1460;top:3111;width:6985;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" filled="f" stroked="f" strokeweight="1pt">
                  <v:stroke joinstyle="miter"/>
                  <v:textbox>
                    <w:txbxContent>
                      <w:p w14:paraId="3C590095" w14:textId="77777777" w:rsidR="00456678" w:rsidRDefault="00456678" w:rsidP="00D67E10">
                        <w:pPr>
                          <w:rPr>
                            <w:color w:val="000000" w:themeColor="text1"/>
                            <w:sz w:val="16"/>
                            <w:szCs w:val="16"/>
                          </w:rPr>
                        </w:pPr>
                      </w:p>
                      <w:p w14:paraId="3D78268D" w14:textId="77777777" w:rsidR="00456678" w:rsidRPr="00A1785F" w:rsidRDefault="00456678" w:rsidP="00D67E10">
                        <w:pPr>
                          <w:rPr>
                            <w:b/>
                            <w:bCs/>
                          </w:rPr>
                        </w:pPr>
                        <w:r>
                          <w:rPr>
                            <w:color w:val="000000" w:themeColor="text1"/>
                            <w:sz w:val="16"/>
                            <w:szCs w:val="16"/>
                          </w:rPr>
                          <w:t>Reserv</w:t>
                        </w:r>
                        <w:r>
                          <w:rPr>
                            <w:b/>
                            <w:bCs/>
                          </w:rPr>
                          <w:t xml:space="preserve"> mm</w:t>
                        </w:r>
                      </w:p>
                    </w:txbxContent>
                  </v:textbox>
                </v:shape>
                <v:shape id="Vooskeemikujund &quot;konnektor&quot; 52" o:spid="_x0000_s1042" type="#_x0000_t120" style="position:absolute;left:5905;top:762;width:6985;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" filled="f" stroked="f" strokeweight="1pt">
                  <v:stroke joinstyle="miter"/>
                  <v:textbox>
                    <w:txbxContent>
                      <w:p w14:paraId="456BC192" w14:textId="77777777" w:rsidR="00456678" w:rsidRDefault="00456678" w:rsidP="00D67E10">
                        <w:pPr>
                          <w:rPr>
                            <w:color w:val="000000" w:themeColor="text1"/>
                            <w:sz w:val="16"/>
                            <w:szCs w:val="16"/>
                          </w:rPr>
                        </w:pPr>
                      </w:p>
                      <w:p w14:paraId="51EDC96B" w14:textId="77777777" w:rsidR="00456678" w:rsidRPr="00A1785F" w:rsidRDefault="00456678" w:rsidP="00D67E10">
                        <w:pPr>
                          <w:rPr>
                            <w:b/>
                            <w:bCs/>
                          </w:rPr>
                        </w:pPr>
                        <w:r>
                          <w:rPr>
                            <w:color w:val="000000" w:themeColor="text1"/>
                            <w:sz w:val="16"/>
                            <w:szCs w:val="16"/>
                          </w:rPr>
                          <w:t>Reserv</w:t>
                        </w:r>
                        <w:r>
                          <w:rPr>
                            <w:b/>
                            <w:bCs/>
                          </w:rPr>
                          <w:t xml:space="preserve"> mm</w:t>
                        </w:r>
                      </w:p>
                    </w:txbxContent>
                  </v:textbox>
                </v:shape>
                <v:shape id="Vooskeemikujund &quot;konnektor&quot; 53" o:spid="_x0000_s1043" type="#_x0000_t120" style="position:absolute;left:11176;width:6985;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" filled="f" stroked="f" strokeweight="1pt">
                  <v:stroke joinstyle="miter"/>
                  <v:textbox>
                    <w:txbxContent>
                      <w:p w14:paraId="2A54DD5F" w14:textId="77777777" w:rsidR="00456678" w:rsidRDefault="00456678" w:rsidP="00D67E10">
                        <w:pPr>
                          <w:rPr>
                            <w:color w:val="000000" w:themeColor="text1"/>
                            <w:sz w:val="16"/>
                            <w:szCs w:val="16"/>
                          </w:rPr>
                        </w:pPr>
                      </w:p>
                      <w:p w14:paraId="14BD54A4" w14:textId="77777777" w:rsidR="00456678" w:rsidRPr="00A1785F" w:rsidRDefault="00456678" w:rsidP="00D67E10">
                        <w:pPr>
                          <w:rPr>
                            <w:b/>
                            <w:bCs/>
                          </w:rPr>
                        </w:pPr>
                        <w:r>
                          <w:rPr>
                            <w:color w:val="000000" w:themeColor="text1"/>
                            <w:sz w:val="16"/>
                            <w:szCs w:val="16"/>
                          </w:rPr>
                          <w:t>Reserv</w:t>
                        </w:r>
                        <w:r>
                          <w:rPr>
                            <w:b/>
                            <w:bCs/>
                          </w:rPr>
                          <w:t xml:space="preserve"> mm</w:t>
                        </w:r>
                      </w:p>
                    </w:txbxContent>
                  </v:textbox>
                </v:shape>
              </v:group>
            </w:pict>
          </mc:Fallback>
        </mc:AlternateContent>
      </w:r>
    </w:p>
    <w:p w14:paraId="328A16F0" w14:textId="77777777" w:rsidR="00D67E10" w:rsidRPr="00C50854" w:rsidRDefault="00D67E10" w:rsidP="00D67E10">
      <w:pPr>
        <w:suppressAutoHyphens w:val="0"/>
        <w:autoSpaceDE w:val="0"/>
        <w:autoSpaceDN w:val="0"/>
        <w:adjustRightInd w:val="0"/>
        <w:spacing w:before="120" w:after="120"/>
        <w:ind w:left="4956"/>
        <w:jc w:val="both"/>
        <w:rPr>
          <w:lang w:eastAsia="et-EE"/>
        </w:rPr>
      </w:pPr>
      <w:r w:rsidRPr="00C50854">
        <w:rPr>
          <w:noProof/>
          <w:lang w:eastAsia="et-EE"/>
        </w:rPr>
        <mc:AlternateContent>
          <mc:Choice Requires="wpg">
            <w:drawing>
              <wp:anchor distT="0" distB="0" distL="114300" distR="114300" simplePos="0" relativeHeight="251659264" behindDoc="0" locked="0" layoutInCell="1" allowOverlap="1" wp14:anchorId="566CC58D" wp14:editId="02CDFA8F">
                <wp:simplePos x="0" y="0"/>
                <wp:positionH relativeFrom="column">
                  <wp:posOffset>391160</wp:posOffset>
                </wp:positionH>
                <wp:positionV relativeFrom="paragraph">
                  <wp:posOffset>48895</wp:posOffset>
                </wp:positionV>
                <wp:extent cx="2330450" cy="2165350"/>
                <wp:effectExtent l="0" t="0" r="31750" b="25400"/>
                <wp:wrapNone/>
                <wp:docPr id="54" name="Rühm 54"/>
                <wp:cNvGraphicFramePr/>
                <a:graphic xmlns:a="http://schemas.openxmlformats.org/drawingml/2006/main">
                  <a:graphicData uri="http://schemas.microsoft.com/office/word/2010/wordprocessingGroup">
                    <wpg:wgp>
                      <wpg:cNvGrpSpPr/>
                      <wpg:grpSpPr>
                        <a:xfrm>
                          <a:off x="0" y="0"/>
                          <a:ext cx="2330450" cy="2165350"/>
                          <a:chOff x="0" y="0"/>
                          <a:chExt cx="2330450" cy="2165350"/>
                        </a:xfrm>
                      </wpg:grpSpPr>
                      <wps:wsp>
                        <wps:cNvPr id="55" name="Ovaal 55"/>
                        <wps:cNvSpPr/>
                        <wps:spPr>
                          <a:xfrm>
                            <a:off x="0" y="0"/>
                            <a:ext cx="2330450" cy="2165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irgkonnektor 56"/>
                        <wps:cNvCnPr/>
                        <wps:spPr>
                          <a:xfrm flipH="1">
                            <a:off x="546100" y="184150"/>
                            <a:ext cx="1276350" cy="1797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 name="Sirgkonnektor 57"/>
                        <wps:cNvCnPr/>
                        <wps:spPr>
                          <a:xfrm>
                            <a:off x="469900" y="203200"/>
                            <a:ext cx="1371600" cy="1733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 name="Vooskeemikujund &quot;konnektor&quot; 58"/>
                        <wps:cNvSpPr/>
                        <wps:spPr>
                          <a:xfrm>
                            <a:off x="101600" y="476250"/>
                            <a:ext cx="698500" cy="622300"/>
                          </a:xfrm>
                          <a:prstGeom prst="flowChartConnector">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4C3DC" w14:textId="77777777" w:rsidR="00456678" w:rsidRDefault="00456678" w:rsidP="00D67E10">
                              <w:pPr>
                                <w:rPr>
                                  <w:color w:val="000000" w:themeColor="text1"/>
                                  <w:sz w:val="16"/>
                                  <w:szCs w:val="16"/>
                                </w:rPr>
                              </w:pPr>
                            </w:p>
                            <w:p w14:paraId="3ABAB62C" w14:textId="77777777" w:rsidR="00456678" w:rsidRPr="00A1785F" w:rsidRDefault="00456678" w:rsidP="00D67E10">
                              <w:pPr>
                                <w:rPr>
                                  <w:b/>
                                  <w:bCs/>
                                </w:rPr>
                              </w:pPr>
                              <w:r>
                                <w:rPr>
                                  <w:color w:val="000000" w:themeColor="text1"/>
                                  <w:sz w:val="16"/>
                                  <w:szCs w:val="16"/>
                                </w:rPr>
                                <w:t>Reserv</w:t>
                              </w:r>
                              <w:r>
                                <w:rPr>
                                  <w:b/>
                                  <w:bCs/>
                                </w:rPr>
                                <w:t xml:space="preserve">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irgkonnektor 59"/>
                        <wps:cNvCnPr/>
                        <wps:spPr>
                          <a:xfrm>
                            <a:off x="0" y="1098550"/>
                            <a:ext cx="23304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Vooskeemikujund &quot;konnektor&quot; 60"/>
                        <wps:cNvSpPr/>
                        <wps:spPr>
                          <a:xfrm>
                            <a:off x="146050" y="1143000"/>
                            <a:ext cx="654050" cy="62230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EB9B5D" w14:textId="77777777" w:rsidR="00456678" w:rsidRDefault="00456678" w:rsidP="00D67E10">
                              <w:pPr>
                                <w:rPr>
                                  <w:color w:val="000000" w:themeColor="text1"/>
                                  <w:sz w:val="16"/>
                                  <w:szCs w:val="16"/>
                                </w:rPr>
                              </w:pPr>
                            </w:p>
                            <w:p w14:paraId="14B40F69" w14:textId="77777777" w:rsidR="00456678" w:rsidRPr="00A1785F" w:rsidRDefault="00456678" w:rsidP="00D67E10">
                              <w:pPr>
                                <w:rPr>
                                  <w:b/>
                                  <w:bCs/>
                                </w:rPr>
                              </w:pPr>
                              <w:r w:rsidRPr="00A1785F">
                                <w:rPr>
                                  <w:color w:val="000000" w:themeColor="text1"/>
                                  <w:sz w:val="16"/>
                                  <w:szCs w:val="16"/>
                                </w:rPr>
                                <w:t>30mm</w:t>
                              </w:r>
                              <w:r>
                                <w:rPr>
                                  <w:b/>
                                  <w:bCs/>
                                </w:rPr>
                                <w:t>0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Vooskeemikujund &quot;konnektor&quot; 61"/>
                        <wps:cNvSpPr/>
                        <wps:spPr>
                          <a:xfrm>
                            <a:off x="869950" y="1428750"/>
                            <a:ext cx="654050" cy="62230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ABFF3B4" w14:textId="77777777" w:rsidR="00456678" w:rsidRDefault="00456678" w:rsidP="00D67E10">
                              <w:pPr>
                                <w:rPr>
                                  <w:color w:val="000000" w:themeColor="text1"/>
                                  <w:sz w:val="16"/>
                                  <w:szCs w:val="16"/>
                                </w:rPr>
                              </w:pPr>
                            </w:p>
                            <w:p w14:paraId="10F521F3" w14:textId="77777777" w:rsidR="00456678" w:rsidRPr="00A1785F" w:rsidRDefault="00456678" w:rsidP="00D67E10">
                              <w:pPr>
                                <w:rPr>
                                  <w:b/>
                                  <w:bCs/>
                                </w:rPr>
                              </w:pPr>
                              <w:r w:rsidRPr="00A1785F">
                                <w:rPr>
                                  <w:color w:val="000000" w:themeColor="text1"/>
                                  <w:sz w:val="16"/>
                                  <w:szCs w:val="16"/>
                                </w:rPr>
                                <w:t>30mm</w:t>
                              </w:r>
                              <w:r>
                                <w:rPr>
                                  <w:b/>
                                  <w:bCs/>
                                </w:rPr>
                                <w:t>0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Vooskeemikujund &quot;konnektor&quot; 63"/>
                        <wps:cNvSpPr/>
                        <wps:spPr>
                          <a:xfrm>
                            <a:off x="1879600" y="698500"/>
                            <a:ext cx="393700" cy="36195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242DC9" w14:textId="77777777" w:rsidR="00456678" w:rsidRPr="00A1785F" w:rsidRDefault="00456678" w:rsidP="00D67E10">
                              <w:pPr>
                                <w:rPr>
                                  <w:b/>
                                  <w:bCs/>
                                </w:rPr>
                              </w:pPr>
                              <w:r w:rsidRPr="00C416D9">
                                <w:rPr>
                                  <w:color w:val="000000" w:themeColor="text1"/>
                                  <w:sz w:val="12"/>
                                  <w:szCs w:val="12"/>
                                </w:rPr>
                                <w:t>1</w:t>
                              </w:r>
                              <w:r>
                                <w:rPr>
                                  <w:color w:val="000000" w:themeColor="text1"/>
                                  <w:sz w:val="12"/>
                                  <w:szCs w:val="12"/>
                                </w:rPr>
                                <w:t>5</w:t>
                              </w:r>
                              <w:r>
                                <w:rPr>
                                  <w:b/>
                                  <w:bCs/>
                                </w:rPr>
                                <w:t>mmm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Vooskeemikujund &quot;konnektor&quot; 97"/>
                        <wps:cNvSpPr/>
                        <wps:spPr>
                          <a:xfrm>
                            <a:off x="800100" y="50800"/>
                            <a:ext cx="698500" cy="622300"/>
                          </a:xfrm>
                          <a:prstGeom prst="flowChartConnector">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A1BA3" w14:textId="77777777" w:rsidR="00456678" w:rsidRDefault="00456678" w:rsidP="00D67E10">
                              <w:pPr>
                                <w:rPr>
                                  <w:color w:val="000000" w:themeColor="text1"/>
                                  <w:sz w:val="16"/>
                                  <w:szCs w:val="16"/>
                                </w:rPr>
                              </w:pPr>
                            </w:p>
                            <w:p w14:paraId="2D931CE0" w14:textId="77777777" w:rsidR="00456678" w:rsidRPr="00A1785F" w:rsidRDefault="00456678" w:rsidP="00D67E10">
                              <w:pPr>
                                <w:rPr>
                                  <w:b/>
                                  <w:bCs/>
                                </w:rPr>
                              </w:pPr>
                              <w:r>
                                <w:rPr>
                                  <w:color w:val="000000" w:themeColor="text1"/>
                                  <w:sz w:val="16"/>
                                  <w:szCs w:val="16"/>
                                </w:rPr>
                                <w:t>Reserv</w:t>
                              </w:r>
                              <w:r>
                                <w:rPr>
                                  <w:b/>
                                  <w:bCs/>
                                </w:rPr>
                                <w:t xml:space="preserve">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Vooskeemikujund &quot;konnektor&quot; 103"/>
                        <wps:cNvSpPr/>
                        <wps:spPr>
                          <a:xfrm>
                            <a:off x="1682750" y="1428750"/>
                            <a:ext cx="393700" cy="36195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312D7EB" w14:textId="77777777" w:rsidR="00456678" w:rsidRPr="00A1785F" w:rsidRDefault="00456678" w:rsidP="00D67E10">
                              <w:pPr>
                                <w:rPr>
                                  <w:b/>
                                  <w:bCs/>
                                </w:rPr>
                              </w:pPr>
                              <w:r w:rsidRPr="00C416D9">
                                <w:rPr>
                                  <w:color w:val="000000" w:themeColor="text1"/>
                                  <w:sz w:val="12"/>
                                  <w:szCs w:val="12"/>
                                </w:rPr>
                                <w:t>1</w:t>
                              </w:r>
                              <w:r>
                                <w:rPr>
                                  <w:color w:val="000000" w:themeColor="text1"/>
                                  <w:sz w:val="12"/>
                                  <w:szCs w:val="12"/>
                                </w:rPr>
                                <w:t>5</w:t>
                              </w:r>
                              <w:r>
                                <w:rPr>
                                  <w:b/>
                                  <w:bCs/>
                                </w:rPr>
                                <w:t>mmm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6CC58D" id="Rühm 54" o:spid="_x0000_s1044" style="position:absolute;left:0;text-align:left;margin-left:30.8pt;margin-top:3.85pt;width:183.5pt;height:170.5pt;z-index:251659264;mso-width-relative:margin;mso-height-relative:margin" coordsize="23304,2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">
                <v:oval id="Ovaal 55" o:spid="_x0000_s1045" style="position:absolute;width:23304;height:2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" filled="f" strokecolor="#1f4d78 [1604]" strokeweight="1pt">
                  <v:stroke joinstyle="miter"/>
                </v:oval>
                <v:line id="Sirgkonnektor 56" o:spid="_x0000_s1046" style="position:absolute;flip:x;visibility:visible;mso-wrap-style:square" from="5461,1841" to="18224,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" strokecolor="#5b9bd5 [3204]" strokeweight=".5pt">
                  <v:stroke joinstyle="miter"/>
                </v:line>
                <v:line id="Sirgkonnektor 57" o:spid="_x0000_s1047" style="position:absolute;visibility:visible;mso-wrap-style:square" from="4699,2032" to="18415,1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" strokecolor="#5b9bd5 [3204]" strokeweight=".5pt">
                  <v:stroke joinstyle="miter"/>
                </v:line>
                <v:shape id="Vooskeemikujund &quot;konnektor&quot; 58" o:spid="_x0000_s1048" type="#_x0000_t120" style="position:absolute;left:1016;top:4762;width:6985;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" filled="f" stroked="f" strokeweight="1pt">
                  <v:stroke joinstyle="miter"/>
                  <v:textbox>
                    <w:txbxContent>
                      <w:p w14:paraId="3E64C3DC" w14:textId="77777777" w:rsidR="00456678" w:rsidRDefault="00456678" w:rsidP="00D67E10">
                        <w:pPr>
                          <w:rPr>
                            <w:color w:val="000000" w:themeColor="text1"/>
                            <w:sz w:val="16"/>
                            <w:szCs w:val="16"/>
                          </w:rPr>
                        </w:pPr>
                      </w:p>
                      <w:p w14:paraId="3ABAB62C" w14:textId="77777777" w:rsidR="00456678" w:rsidRPr="00A1785F" w:rsidRDefault="00456678" w:rsidP="00D67E10">
                        <w:pPr>
                          <w:rPr>
                            <w:b/>
                            <w:bCs/>
                          </w:rPr>
                        </w:pPr>
                        <w:r>
                          <w:rPr>
                            <w:color w:val="000000" w:themeColor="text1"/>
                            <w:sz w:val="16"/>
                            <w:szCs w:val="16"/>
                          </w:rPr>
                          <w:t>Reserv</w:t>
                        </w:r>
                        <w:r>
                          <w:rPr>
                            <w:b/>
                            <w:bCs/>
                          </w:rPr>
                          <w:t xml:space="preserve"> mm</w:t>
                        </w:r>
                      </w:p>
                    </w:txbxContent>
                  </v:textbox>
                </v:shape>
                <v:line id="Sirgkonnektor 59" o:spid="_x0000_s1049" style="position:absolute;visibility:visible;mso-wrap-style:square" from="0,10985" to="23304,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" strokecolor="#5b9bd5 [3204]" strokeweight=".5pt">
                  <v:stroke joinstyle="miter"/>
                </v:line>
                <v:shape id="Vooskeemikujund &quot;konnektor&quot; 60" o:spid="_x0000_s1050" type="#_x0000_t120" style="position:absolute;left:1460;top:11430;width:6541;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" filled="f" strokecolor="#1f4d78 [1604]" strokeweight="1pt">
                  <v:stroke joinstyle="miter"/>
                  <v:textbox>
                    <w:txbxContent>
                      <w:p w14:paraId="27EB9B5D" w14:textId="77777777" w:rsidR="00456678" w:rsidRDefault="00456678" w:rsidP="00D67E10">
                        <w:pPr>
                          <w:rPr>
                            <w:color w:val="000000" w:themeColor="text1"/>
                            <w:sz w:val="16"/>
                            <w:szCs w:val="16"/>
                          </w:rPr>
                        </w:pPr>
                      </w:p>
                      <w:p w14:paraId="14B40F69" w14:textId="77777777" w:rsidR="00456678" w:rsidRPr="00A1785F" w:rsidRDefault="00456678" w:rsidP="00D67E10">
                        <w:pPr>
                          <w:rPr>
                            <w:b/>
                            <w:bCs/>
                          </w:rPr>
                        </w:pPr>
                        <w:r w:rsidRPr="00A1785F">
                          <w:rPr>
                            <w:color w:val="000000" w:themeColor="text1"/>
                            <w:sz w:val="16"/>
                            <w:szCs w:val="16"/>
                          </w:rPr>
                          <w:t>30mm</w:t>
                        </w:r>
                        <w:r>
                          <w:rPr>
                            <w:b/>
                            <w:bCs/>
                          </w:rPr>
                          <w:t>0 mm</w:t>
                        </w:r>
                      </w:p>
                    </w:txbxContent>
                  </v:textbox>
                </v:shape>
                <v:shape id="Vooskeemikujund &quot;konnektor&quot; 61" o:spid="_x0000_s1051" type="#_x0000_t120" style="position:absolute;left:8699;top:14287;width:6541;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" filled="f" strokecolor="#1f4d78 [1604]" strokeweight="1pt">
                  <v:stroke joinstyle="miter"/>
                  <v:textbox>
                    <w:txbxContent>
                      <w:p w14:paraId="5ABFF3B4" w14:textId="77777777" w:rsidR="00456678" w:rsidRDefault="00456678" w:rsidP="00D67E10">
                        <w:pPr>
                          <w:rPr>
                            <w:color w:val="000000" w:themeColor="text1"/>
                            <w:sz w:val="16"/>
                            <w:szCs w:val="16"/>
                          </w:rPr>
                        </w:pPr>
                      </w:p>
                      <w:p w14:paraId="10F521F3" w14:textId="77777777" w:rsidR="00456678" w:rsidRPr="00A1785F" w:rsidRDefault="00456678" w:rsidP="00D67E10">
                        <w:pPr>
                          <w:rPr>
                            <w:b/>
                            <w:bCs/>
                          </w:rPr>
                        </w:pPr>
                        <w:r w:rsidRPr="00A1785F">
                          <w:rPr>
                            <w:color w:val="000000" w:themeColor="text1"/>
                            <w:sz w:val="16"/>
                            <w:szCs w:val="16"/>
                          </w:rPr>
                          <w:t>30mm</w:t>
                        </w:r>
                        <w:r>
                          <w:rPr>
                            <w:b/>
                            <w:bCs/>
                          </w:rPr>
                          <w:t>0 mm</w:t>
                        </w:r>
                      </w:p>
                    </w:txbxContent>
                  </v:textbox>
                </v:shape>
                <v:shape id="Vooskeemikujund &quot;konnektor&quot; 63" o:spid="_x0000_s1052" type="#_x0000_t120" style="position:absolute;left:18796;top:6985;width:393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" filled="f" strokecolor="#1f4d78 [1604]" strokeweight="1pt">
                  <v:stroke joinstyle="miter"/>
                  <v:textbox>
                    <w:txbxContent>
                      <w:p w14:paraId="27242DC9" w14:textId="77777777" w:rsidR="00456678" w:rsidRPr="00A1785F" w:rsidRDefault="00456678" w:rsidP="00D67E10">
                        <w:pPr>
                          <w:rPr>
                            <w:b/>
                            <w:bCs/>
                          </w:rPr>
                        </w:pPr>
                        <w:r w:rsidRPr="00C416D9">
                          <w:rPr>
                            <w:color w:val="000000" w:themeColor="text1"/>
                            <w:sz w:val="12"/>
                            <w:szCs w:val="12"/>
                          </w:rPr>
                          <w:t>1</w:t>
                        </w:r>
                        <w:r>
                          <w:rPr>
                            <w:color w:val="000000" w:themeColor="text1"/>
                            <w:sz w:val="12"/>
                            <w:szCs w:val="12"/>
                          </w:rPr>
                          <w:t>5</w:t>
                        </w:r>
                        <w:r>
                          <w:rPr>
                            <w:b/>
                            <w:bCs/>
                          </w:rPr>
                          <w:t>mmm</w:t>
                        </w:r>
                      </w:p>
                    </w:txbxContent>
                  </v:textbox>
                </v:shape>
                <v:shape id="Vooskeemikujund &quot;konnektor&quot; 97" o:spid="_x0000_s1053" type="#_x0000_t120" style="position:absolute;left:8001;top:508;width:6985;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" filled="f" stroked="f" strokeweight="1pt">
                  <v:stroke joinstyle="miter"/>
                  <v:textbox>
                    <w:txbxContent>
                      <w:p w14:paraId="5DCA1BA3" w14:textId="77777777" w:rsidR="00456678" w:rsidRDefault="00456678" w:rsidP="00D67E10">
                        <w:pPr>
                          <w:rPr>
                            <w:color w:val="000000" w:themeColor="text1"/>
                            <w:sz w:val="16"/>
                            <w:szCs w:val="16"/>
                          </w:rPr>
                        </w:pPr>
                      </w:p>
                      <w:p w14:paraId="2D931CE0" w14:textId="77777777" w:rsidR="00456678" w:rsidRPr="00A1785F" w:rsidRDefault="00456678" w:rsidP="00D67E10">
                        <w:pPr>
                          <w:rPr>
                            <w:b/>
                            <w:bCs/>
                          </w:rPr>
                        </w:pPr>
                        <w:r>
                          <w:rPr>
                            <w:color w:val="000000" w:themeColor="text1"/>
                            <w:sz w:val="16"/>
                            <w:szCs w:val="16"/>
                          </w:rPr>
                          <w:t>Reserv</w:t>
                        </w:r>
                        <w:r>
                          <w:rPr>
                            <w:b/>
                            <w:bCs/>
                          </w:rPr>
                          <w:t xml:space="preserve"> mm</w:t>
                        </w:r>
                      </w:p>
                    </w:txbxContent>
                  </v:textbox>
                </v:shape>
                <v:shape id="Vooskeemikujund &quot;konnektor&quot; 103" o:spid="_x0000_s1054" type="#_x0000_t120" style="position:absolute;left:16827;top:14287;width:393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" filled="f" strokecolor="#1f4d78 [1604]" strokeweight="1pt">
                  <v:stroke joinstyle="miter"/>
                  <v:textbox>
                    <w:txbxContent>
                      <w:p w14:paraId="2312D7EB" w14:textId="77777777" w:rsidR="00456678" w:rsidRPr="00A1785F" w:rsidRDefault="00456678" w:rsidP="00D67E10">
                        <w:pPr>
                          <w:rPr>
                            <w:b/>
                            <w:bCs/>
                          </w:rPr>
                        </w:pPr>
                        <w:r w:rsidRPr="00C416D9">
                          <w:rPr>
                            <w:color w:val="000000" w:themeColor="text1"/>
                            <w:sz w:val="12"/>
                            <w:szCs w:val="12"/>
                          </w:rPr>
                          <w:t>1</w:t>
                        </w:r>
                        <w:r>
                          <w:rPr>
                            <w:color w:val="000000" w:themeColor="text1"/>
                            <w:sz w:val="12"/>
                            <w:szCs w:val="12"/>
                          </w:rPr>
                          <w:t>5</w:t>
                        </w:r>
                        <w:r>
                          <w:rPr>
                            <w:b/>
                            <w:bCs/>
                          </w:rPr>
                          <w:t>mmm</w:t>
                        </w:r>
                      </w:p>
                    </w:txbxContent>
                  </v:textbox>
                </v:shape>
              </v:group>
            </w:pict>
          </mc:Fallback>
        </mc:AlternateContent>
      </w:r>
    </w:p>
    <w:p w14:paraId="769EC3EF" w14:textId="77777777" w:rsidR="00D67E10" w:rsidRPr="00C50854" w:rsidRDefault="00D67E10" w:rsidP="00D67E10">
      <w:pPr>
        <w:suppressAutoHyphens w:val="0"/>
        <w:autoSpaceDE w:val="0"/>
        <w:autoSpaceDN w:val="0"/>
        <w:adjustRightInd w:val="0"/>
        <w:spacing w:before="120" w:after="120"/>
        <w:jc w:val="both"/>
        <w:rPr>
          <w:lang w:eastAsia="et-EE"/>
        </w:rPr>
      </w:pPr>
    </w:p>
    <w:p w14:paraId="43CFA45B" w14:textId="77777777" w:rsidR="00D67E10" w:rsidRPr="00C50854" w:rsidRDefault="00D67E10" w:rsidP="00D67E10">
      <w:pPr>
        <w:suppressAutoHyphens w:val="0"/>
        <w:autoSpaceDE w:val="0"/>
        <w:autoSpaceDN w:val="0"/>
        <w:adjustRightInd w:val="0"/>
        <w:spacing w:before="120" w:after="120"/>
        <w:jc w:val="both"/>
        <w:rPr>
          <w:lang w:eastAsia="et-EE"/>
        </w:rPr>
      </w:pPr>
    </w:p>
    <w:p w14:paraId="0FE10CB4" w14:textId="77777777" w:rsidR="00D67E10" w:rsidRPr="00C50854" w:rsidRDefault="00D67E10" w:rsidP="00D67E10">
      <w:pPr>
        <w:suppressAutoHyphens w:val="0"/>
        <w:autoSpaceDE w:val="0"/>
        <w:autoSpaceDN w:val="0"/>
        <w:adjustRightInd w:val="0"/>
        <w:spacing w:before="120" w:after="120"/>
        <w:jc w:val="both"/>
        <w:rPr>
          <w:lang w:eastAsia="et-EE"/>
        </w:rPr>
      </w:pPr>
    </w:p>
    <w:p w14:paraId="47B12078" w14:textId="77777777" w:rsidR="00D67E10" w:rsidRPr="00C50854" w:rsidRDefault="00D67E10" w:rsidP="00D67E10">
      <w:pPr>
        <w:suppressAutoHyphens w:val="0"/>
        <w:autoSpaceDE w:val="0"/>
        <w:autoSpaceDN w:val="0"/>
        <w:adjustRightInd w:val="0"/>
        <w:spacing w:before="120" w:after="120"/>
        <w:jc w:val="both"/>
        <w:rPr>
          <w:lang w:eastAsia="et-EE"/>
        </w:rPr>
      </w:pPr>
    </w:p>
    <w:p w14:paraId="71377594" w14:textId="77777777" w:rsidR="00D67E10" w:rsidRPr="00C50854" w:rsidRDefault="00D67E10" w:rsidP="00D67E10">
      <w:pPr>
        <w:suppressAutoHyphens w:val="0"/>
        <w:autoSpaceDE w:val="0"/>
        <w:autoSpaceDN w:val="0"/>
        <w:adjustRightInd w:val="0"/>
        <w:spacing w:before="120" w:after="120"/>
        <w:jc w:val="both"/>
        <w:rPr>
          <w:lang w:eastAsia="et-EE"/>
        </w:rPr>
      </w:pPr>
    </w:p>
    <w:p w14:paraId="77A6B4BC" w14:textId="77777777" w:rsidR="00D67E10" w:rsidRPr="00C50854" w:rsidRDefault="00D67E10" w:rsidP="00D67E10">
      <w:pPr>
        <w:suppressAutoHyphens w:val="0"/>
        <w:autoSpaceDE w:val="0"/>
        <w:autoSpaceDN w:val="0"/>
        <w:adjustRightInd w:val="0"/>
        <w:spacing w:before="120" w:after="120"/>
        <w:jc w:val="both"/>
        <w:rPr>
          <w:lang w:eastAsia="et-EE"/>
        </w:rPr>
      </w:pPr>
    </w:p>
    <w:p w14:paraId="517087CF" w14:textId="77777777" w:rsidR="00D67E10" w:rsidRPr="00C50854" w:rsidRDefault="00D67E10" w:rsidP="00D67E10">
      <w:pPr>
        <w:suppressAutoHyphens w:val="0"/>
        <w:autoSpaceDE w:val="0"/>
        <w:autoSpaceDN w:val="0"/>
        <w:adjustRightInd w:val="0"/>
        <w:spacing w:before="120" w:after="120"/>
        <w:jc w:val="both"/>
        <w:rPr>
          <w:lang w:eastAsia="et-EE"/>
        </w:rPr>
      </w:pPr>
    </w:p>
    <w:p w14:paraId="6516DF3F"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397F65EE" w14:textId="3151E00B" w:rsidR="00D67E10" w:rsidRPr="00C50854" w:rsidRDefault="00F95D90" w:rsidP="00F95D90">
      <w:pPr>
        <w:pStyle w:val="Pealdis"/>
        <w:rPr>
          <w:b w:val="0"/>
          <w:bCs w:val="0"/>
          <w:lang w:eastAsia="et-EE"/>
        </w:rPr>
      </w:pPr>
      <w:bookmarkStart w:id="338" w:name="_Ref40784861"/>
      <w:r w:rsidRPr="00C50854">
        <w:t xml:space="preserve">Joonis </w:t>
      </w:r>
      <w:fldSimple w:instr=" SEQ Joonis \* ARABIC ">
        <w:r w:rsidR="00C9460F" w:rsidRPr="00C50854">
          <w:rPr>
            <w:noProof/>
          </w:rPr>
          <w:t>9</w:t>
        </w:r>
      </w:fldSimple>
      <w:bookmarkEnd w:id="338"/>
      <w:r w:rsidRPr="00C50854">
        <w:t xml:space="preserve">. </w:t>
      </w:r>
      <w:r w:rsidR="00495C78" w:rsidRPr="00C50854">
        <w:rPr>
          <w:b w:val="0"/>
          <w:bCs w:val="0"/>
        </w:rPr>
        <w:t>Kaablikanalisatsiooni võrdlus 6 ja 12 paigalduskoha korral</w:t>
      </w:r>
    </w:p>
    <w:p w14:paraId="67762078"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Kui jaotada 100 mm läbimõõduga toru 12-ks paigalduskohaks, siis võimaldaks see suurendada valguskaablite paigaldamist ca 2 korda. Praegu võib igasse paigalduskohta paigaldada kuni 30 mm läbimõõduga kaabli. Seega näiteks 12 mm läbimõõduga valguskaabli kiikrite korral saab ühte torusse paigaldada ainult 4 valguskaabli kiikrit ja ühe paigalduskoha mahust jääb üle 50% kasutamata. Kaablikanalisatsiooni jaotamisel 12 paigalduskohaks saaks ühte torusse paigaldada aga 8 valguskaabli kiikrit  ja ühest paigalduskoha mahust jääks kasutamata ainult 20%.</w:t>
      </w:r>
    </w:p>
    <w:p w14:paraId="39C88099"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Seega mida väiksem on üks paigalduskoht, seda efektiivsemalt on see kasutatud ja seda rohkem on torus paigalduskohti ning suurem on ka sideettevõtjate arv, kellel on võimalik sinna kaableid, kiireid või </w:t>
      </w:r>
      <w:proofErr w:type="spellStart"/>
      <w:r w:rsidRPr="00C50854">
        <w:rPr>
          <w:lang w:eastAsia="et-EE"/>
        </w:rPr>
        <w:t>multitorusid</w:t>
      </w:r>
      <w:proofErr w:type="spellEnd"/>
      <w:r w:rsidRPr="00C50854">
        <w:rPr>
          <w:lang w:eastAsia="et-EE"/>
        </w:rPr>
        <w:t xml:space="preserve"> paigaldada. Mida suurem on paigalduskoht seda ebaefektiivsemalt on see kasutatud ja seda vähem on toru paigalduskohti ning väiksem ka sideettevõtjate arv, kellel on võimalik sinna kaableid, kiikreid või </w:t>
      </w:r>
      <w:proofErr w:type="spellStart"/>
      <w:r w:rsidRPr="00C50854">
        <w:rPr>
          <w:lang w:eastAsia="et-EE"/>
        </w:rPr>
        <w:t>multitorusid</w:t>
      </w:r>
      <w:proofErr w:type="spellEnd"/>
      <w:r w:rsidRPr="00C50854">
        <w:rPr>
          <w:lang w:eastAsia="et-EE"/>
        </w:rPr>
        <w:t xml:space="preserve"> paigaldada.</w:t>
      </w:r>
    </w:p>
    <w:p w14:paraId="5BFA41BA" w14:textId="46D1EEA9"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Tegelikkuses vajuvad kaablid, kiikrid ja </w:t>
      </w:r>
      <w:proofErr w:type="spellStart"/>
      <w:r w:rsidRPr="00C50854">
        <w:rPr>
          <w:lang w:eastAsia="et-EE"/>
        </w:rPr>
        <w:t>multitorud</w:t>
      </w:r>
      <w:proofErr w:type="spellEnd"/>
      <w:r w:rsidRPr="00C50854">
        <w:rPr>
          <w:lang w:eastAsia="et-EE"/>
        </w:rPr>
        <w:t xml:space="preserve"> pärast paigaldamist üldjuhul toru põhja. Mida rohkem on kaablikanalisatsioonis kaableid, kiikreid ja </w:t>
      </w:r>
      <w:proofErr w:type="spellStart"/>
      <w:r w:rsidRPr="00C50854">
        <w:rPr>
          <w:lang w:eastAsia="et-EE"/>
        </w:rPr>
        <w:t>multitorusid</w:t>
      </w:r>
      <w:proofErr w:type="spellEnd"/>
      <w:r w:rsidRPr="00C50854">
        <w:rPr>
          <w:lang w:eastAsia="et-EE"/>
        </w:rPr>
        <w:t xml:space="preserve"> seda suuremaks muutub hõõrdejõud kaablite vahel ja kasvab kaablite käitlemisel nende vigastuste oht. </w:t>
      </w:r>
      <w:r w:rsidR="001159F8" w:rsidRPr="00C50854">
        <w:rPr>
          <w:lang w:eastAsia="et-EE"/>
        </w:rPr>
        <w:t xml:space="preserve">Järgnevalt hinnatakse kaablite vigastuse riski seoses paigalduskohtade arvu kasvuga. </w:t>
      </w:r>
    </w:p>
    <w:p w14:paraId="2AB855BD" w14:textId="4676E2E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Kaablikanalisatsiooni jagamisel 12-ks paigalduskohaks jääb kasutusse ainult 8 paigalduskohta ja 4 paigalduskohta jääb tehnilisse reservi. Kui kõikidesse kaheksasse paigalduskohta paigaldada maksimaalse läbimõõduga ehk 15 mm läbimõõduga kaabel, kiiker või </w:t>
      </w:r>
      <w:proofErr w:type="spellStart"/>
      <w:r w:rsidRPr="00C50854">
        <w:rPr>
          <w:lang w:eastAsia="et-EE"/>
        </w:rPr>
        <w:t>multitoru</w:t>
      </w:r>
      <w:proofErr w:type="spellEnd"/>
      <w:r w:rsidRPr="00C50854">
        <w:rPr>
          <w:lang w:eastAsia="et-EE"/>
        </w:rPr>
        <w:t>, siis oleks 100 mm läbimõõduga torust kasutatud</w:t>
      </w:r>
      <w:r w:rsidRPr="00C50854">
        <w:rPr>
          <w:rStyle w:val="Allmrkuseviide"/>
          <w:lang w:eastAsia="et-EE"/>
        </w:rPr>
        <w:footnoteReference w:id="78"/>
      </w:r>
      <w:r w:rsidRPr="00C50854">
        <w:rPr>
          <w:lang w:eastAsia="et-EE"/>
        </w:rPr>
        <w:t xml:space="preserve"> ainult (3,14x7,5</w:t>
      </w:r>
      <w:r w:rsidRPr="00C50854">
        <w:rPr>
          <w:vertAlign w:val="superscript"/>
          <w:lang w:eastAsia="et-EE"/>
        </w:rPr>
        <w:t>2</w:t>
      </w:r>
      <w:r w:rsidRPr="00C50854">
        <w:rPr>
          <w:lang w:eastAsia="et-EE"/>
        </w:rPr>
        <w:t>x8) / (3,14x50</w:t>
      </w:r>
      <w:r w:rsidRPr="00C50854">
        <w:rPr>
          <w:vertAlign w:val="superscript"/>
          <w:lang w:eastAsia="et-EE"/>
        </w:rPr>
        <w:t>2</w:t>
      </w:r>
      <w:r w:rsidRPr="00C50854">
        <w:rPr>
          <w:lang w:eastAsia="et-EE"/>
        </w:rPr>
        <w:t xml:space="preserve">) = 18% (vt </w:t>
      </w:r>
      <w:r w:rsidR="00F95D90" w:rsidRPr="00C50854">
        <w:rPr>
          <w:lang w:eastAsia="et-EE"/>
        </w:rPr>
        <w:fldChar w:fldCharType="begin"/>
      </w:r>
      <w:r w:rsidR="00F95D90" w:rsidRPr="00C50854">
        <w:rPr>
          <w:lang w:eastAsia="et-EE"/>
        </w:rPr>
        <w:instrText xml:space="preserve"> REF _Ref40784861 \h </w:instrText>
      </w:r>
      <w:r w:rsidR="00C50854">
        <w:rPr>
          <w:lang w:eastAsia="et-EE"/>
        </w:rPr>
        <w:instrText xml:space="preserve"> \* MERGEFORMAT </w:instrText>
      </w:r>
      <w:r w:rsidR="00F95D90" w:rsidRPr="00C50854">
        <w:rPr>
          <w:lang w:eastAsia="et-EE"/>
        </w:rPr>
      </w:r>
      <w:r w:rsidR="00F95D90" w:rsidRPr="00C50854">
        <w:rPr>
          <w:lang w:eastAsia="et-EE"/>
        </w:rPr>
        <w:fldChar w:fldCharType="separate"/>
      </w:r>
      <w:r w:rsidR="00C9460F" w:rsidRPr="00C50854">
        <w:t xml:space="preserve">Joonis </w:t>
      </w:r>
      <w:r w:rsidR="00C9460F" w:rsidRPr="00C50854">
        <w:rPr>
          <w:noProof/>
        </w:rPr>
        <w:t>9</w:t>
      </w:r>
      <w:r w:rsidR="00F95D90" w:rsidRPr="00C50854">
        <w:rPr>
          <w:lang w:eastAsia="et-EE"/>
        </w:rPr>
        <w:fldChar w:fldCharType="end"/>
      </w:r>
      <w:r w:rsidRPr="00C50854">
        <w:rPr>
          <w:lang w:eastAsia="et-EE"/>
        </w:rPr>
        <w:t xml:space="preserve">). Praegu on kaablikanalisatsioon jagatud 6-ks paigalduskohaks, millest 4 on kasutuses ja 2 tehnilises reservis. Kui kõikidesse nelja paigalduskohta paigaldada maksimaalse läbimõõduga ehk 30 mm läbimõõduga kaabel, kiiker või </w:t>
      </w:r>
      <w:proofErr w:type="spellStart"/>
      <w:r w:rsidRPr="00C50854">
        <w:rPr>
          <w:lang w:eastAsia="et-EE"/>
        </w:rPr>
        <w:t>multitorud</w:t>
      </w:r>
      <w:proofErr w:type="spellEnd"/>
      <w:r w:rsidRPr="00C50854">
        <w:rPr>
          <w:lang w:eastAsia="et-EE"/>
        </w:rPr>
        <w:t>, siis oleks 100 mm läbimõõduga torus kasutatud (3,14x15</w:t>
      </w:r>
      <w:r w:rsidRPr="00C50854">
        <w:rPr>
          <w:vertAlign w:val="superscript"/>
          <w:lang w:eastAsia="et-EE"/>
        </w:rPr>
        <w:t>2</w:t>
      </w:r>
      <w:r w:rsidRPr="00C50854">
        <w:rPr>
          <w:lang w:eastAsia="et-EE"/>
        </w:rPr>
        <w:t>x4) / (3,14x50</w:t>
      </w:r>
      <w:r w:rsidRPr="00C50854">
        <w:rPr>
          <w:vertAlign w:val="superscript"/>
          <w:lang w:eastAsia="et-EE"/>
        </w:rPr>
        <w:t>2</w:t>
      </w:r>
      <w:r w:rsidRPr="00C50854">
        <w:rPr>
          <w:lang w:eastAsia="et-EE"/>
        </w:rPr>
        <w:t xml:space="preserve">) = 36%. Seega paigalduskohtade suuruse vähendamisega kasvab peale kõigi lubatud maksimaalse suurusega kaablite, kiikrite või </w:t>
      </w:r>
      <w:proofErr w:type="spellStart"/>
      <w:r w:rsidRPr="00C50854">
        <w:rPr>
          <w:lang w:eastAsia="et-EE"/>
        </w:rPr>
        <w:t>multitorude</w:t>
      </w:r>
      <w:proofErr w:type="spellEnd"/>
      <w:r w:rsidRPr="00C50854">
        <w:rPr>
          <w:lang w:eastAsia="et-EE"/>
        </w:rPr>
        <w:t xml:space="preserve"> paigaldamist kaablikanalisatsiooni alles jääva vaba mahu suurus 36 – 18 = 18% ning kogu kaablikanalisatsiooni vaba maht oleks 100 – 18 = 82%. Lisaks paigaldatakse kaablikanalisatsiooni spetsiaalseks selleks valmistatud kaableid, kiikreid ja </w:t>
      </w:r>
      <w:proofErr w:type="spellStart"/>
      <w:r w:rsidRPr="00C50854">
        <w:rPr>
          <w:lang w:eastAsia="et-EE"/>
        </w:rPr>
        <w:t>multitorusid</w:t>
      </w:r>
      <w:proofErr w:type="spellEnd"/>
      <w:r w:rsidRPr="00C50854">
        <w:rPr>
          <w:lang w:eastAsia="et-EE"/>
        </w:rPr>
        <w:t xml:space="preserve">, mille valmistamisel on kasutatud materjale ja tehnoloogiaid, mis vähendavad hõõrdumisest tulenevat vigastuste ohtu. </w:t>
      </w:r>
      <w:bookmarkStart w:id="339" w:name="_Hlk39042293"/>
    </w:p>
    <w:p w14:paraId="7CBDECFA"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542D5292" w14:textId="3623338A" w:rsidR="00F95D90" w:rsidRPr="00C50854" w:rsidRDefault="00D67E10" w:rsidP="00F95D90">
      <w:pPr>
        <w:keepNext/>
        <w:suppressAutoHyphens w:val="0"/>
        <w:autoSpaceDE w:val="0"/>
        <w:autoSpaceDN w:val="0"/>
        <w:adjustRightInd w:val="0"/>
        <w:spacing w:before="120" w:after="120"/>
        <w:ind w:left="360"/>
        <w:jc w:val="both"/>
      </w:pPr>
      <w:r w:rsidRPr="00C50854">
        <w:rPr>
          <w:noProof/>
        </w:rPr>
        <w:lastRenderedPageBreak/>
        <w:drawing>
          <wp:inline distT="0" distB="0" distL="0" distR="0" wp14:anchorId="24EE7A15" wp14:editId="6BCE3D03">
            <wp:extent cx="5760720" cy="3970020"/>
            <wp:effectExtent l="0" t="0" r="0" b="0"/>
            <wp:docPr id="176" name="Pilt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970020"/>
                    </a:xfrm>
                    <a:prstGeom prst="rect">
                      <a:avLst/>
                    </a:prstGeom>
                    <a:noFill/>
                    <a:ln>
                      <a:noFill/>
                    </a:ln>
                  </pic:spPr>
                </pic:pic>
              </a:graphicData>
            </a:graphic>
          </wp:inline>
        </w:drawing>
      </w:r>
      <w:r w:rsidRPr="00C50854">
        <w:rPr>
          <w:lang w:eastAsia="et-EE"/>
        </w:rPr>
        <w:t xml:space="preserve"> </w:t>
      </w:r>
    </w:p>
    <w:p w14:paraId="1D39314D" w14:textId="77F2C65C" w:rsidR="00D67E10" w:rsidRPr="00C50854" w:rsidRDefault="00F95D90" w:rsidP="00F95D90">
      <w:pPr>
        <w:pStyle w:val="Pealdis"/>
        <w:jc w:val="both"/>
        <w:rPr>
          <w:lang w:eastAsia="et-EE"/>
        </w:rPr>
      </w:pPr>
      <w:r w:rsidRPr="00C50854">
        <w:t xml:space="preserve">Joonis </w:t>
      </w:r>
      <w:fldSimple w:instr=" SEQ Joonis \* ARABIC ">
        <w:r w:rsidR="00697B2B" w:rsidRPr="00C50854">
          <w:rPr>
            <w:noProof/>
          </w:rPr>
          <w:t>10</w:t>
        </w:r>
      </w:fldSimple>
      <w:r w:rsidRPr="00C50854">
        <w:t xml:space="preserve">. </w:t>
      </w:r>
      <w:r w:rsidR="00D67E10" w:rsidRPr="00C50854">
        <w:rPr>
          <w:b w:val="0"/>
          <w:lang w:eastAsia="et-EE"/>
        </w:rPr>
        <w:t>Kaablikanalisatsiooni täituvuse võrdlus 6 ja 12 paigalduskoha korral</w:t>
      </w:r>
    </w:p>
    <w:bookmarkEnd w:id="339"/>
    <w:p w14:paraId="362521D4"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498F8719"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Eeltootust tulenevalt ei ole TTJA hinnangul kaablikanalisatsiooni jagamisel 12-ks paigalduskohaks praeguse 6 paigalduskoha asemel paigaldatavate kaablite, kiikrite ja </w:t>
      </w:r>
      <w:proofErr w:type="spellStart"/>
      <w:r w:rsidRPr="00C50854">
        <w:rPr>
          <w:lang w:eastAsia="et-EE"/>
        </w:rPr>
        <w:t>multitorude</w:t>
      </w:r>
      <w:proofErr w:type="spellEnd"/>
      <w:r w:rsidRPr="00C50854">
        <w:rPr>
          <w:lang w:eastAsia="et-EE"/>
        </w:rPr>
        <w:t xml:space="preserve"> vigastuse riski oluline suurenemine tõenäoline. Arvestades paigaldatavate kaablite, kiikrite ja </w:t>
      </w:r>
      <w:proofErr w:type="spellStart"/>
      <w:r w:rsidRPr="00C50854">
        <w:rPr>
          <w:lang w:eastAsia="et-EE"/>
        </w:rPr>
        <w:t>multitorude</w:t>
      </w:r>
      <w:proofErr w:type="spellEnd"/>
      <w:r w:rsidRPr="00C50854">
        <w:rPr>
          <w:lang w:eastAsia="et-EE"/>
        </w:rPr>
        <w:t xml:space="preserve"> arvu kasvust tulenevat positiivset mõju konkurentsile on sellise riski võtmine põhjendatud. Lisaks viiakse üldjuhul iga kaabli, kiikri ja </w:t>
      </w:r>
      <w:proofErr w:type="spellStart"/>
      <w:r w:rsidRPr="00C50854">
        <w:rPr>
          <w:lang w:eastAsia="et-EE"/>
        </w:rPr>
        <w:t>multitoru</w:t>
      </w:r>
      <w:proofErr w:type="spellEnd"/>
      <w:r w:rsidRPr="00C50854">
        <w:rPr>
          <w:lang w:eastAsia="et-EE"/>
        </w:rPr>
        <w:t xml:space="preserve"> paigaldamise eel läbi toru </w:t>
      </w:r>
      <w:proofErr w:type="spellStart"/>
      <w:r w:rsidRPr="00C50854">
        <w:rPr>
          <w:lang w:eastAsia="et-EE"/>
        </w:rPr>
        <w:t>läbitavuse</w:t>
      </w:r>
      <w:proofErr w:type="spellEnd"/>
      <w:r w:rsidRPr="00C50854">
        <w:rPr>
          <w:lang w:eastAsia="et-EE"/>
        </w:rPr>
        <w:t xml:space="preserve"> kontroll, mille raames selgitatakse välja suuremad riskid ja kui torus esineb tingimusi, mis takistavad uue kaabli, kiikri või </w:t>
      </w:r>
      <w:proofErr w:type="spellStart"/>
      <w:r w:rsidRPr="00C50854">
        <w:rPr>
          <w:lang w:eastAsia="et-EE"/>
        </w:rPr>
        <w:t>multitoru</w:t>
      </w:r>
      <w:proofErr w:type="spellEnd"/>
      <w:r w:rsidRPr="00C50854">
        <w:rPr>
          <w:lang w:eastAsia="et-EE"/>
        </w:rPr>
        <w:t xml:space="preserve"> lisamist ilma olemasolevaid kaableid vigastamata, siis uut kaablit, kiikrit või </w:t>
      </w:r>
      <w:proofErr w:type="spellStart"/>
      <w:r w:rsidRPr="00C50854">
        <w:rPr>
          <w:lang w:eastAsia="et-EE"/>
        </w:rPr>
        <w:t>multitoru</w:t>
      </w:r>
      <w:proofErr w:type="spellEnd"/>
      <w:r w:rsidRPr="00C50854">
        <w:rPr>
          <w:lang w:eastAsia="et-EE"/>
        </w:rPr>
        <w:t xml:space="preserve"> ei lisata.</w:t>
      </w:r>
    </w:p>
    <w:p w14:paraId="223EB60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Kaablikanalisatsioonile ava jaotamine 12-ks paigalduskohaks praeguse 6 paigalduskoha asemel mõjutab kaablikanalisatsioonile juurdepääsu kuutasusid järgnevalt. Kogu kaablikanalisatsiooni tasude arvestamisel jaotatakse kaablikanalisatsiooni kogukulud kasutuses olevate paigalduskohtade mahuga. Kui paigalduskohtade läbimõõt väheneb kaks korda 30 </w:t>
      </w:r>
      <w:proofErr w:type="spellStart"/>
      <w:r w:rsidRPr="00C50854">
        <w:rPr>
          <w:lang w:eastAsia="et-EE"/>
        </w:rPr>
        <w:t>mm-lt</w:t>
      </w:r>
      <w:proofErr w:type="spellEnd"/>
      <w:r w:rsidRPr="00C50854">
        <w:rPr>
          <w:lang w:eastAsia="et-EE"/>
        </w:rPr>
        <w:t xml:space="preserve"> 15 </w:t>
      </w:r>
      <w:proofErr w:type="spellStart"/>
      <w:r w:rsidRPr="00C50854">
        <w:rPr>
          <w:lang w:eastAsia="et-EE"/>
        </w:rPr>
        <w:t>mm-le</w:t>
      </w:r>
      <w:proofErr w:type="spellEnd"/>
      <w:r w:rsidRPr="00C50854">
        <w:rPr>
          <w:lang w:eastAsia="et-EE"/>
        </w:rPr>
        <w:t xml:space="preserve">, siis kasutuses olevate paigalduskohtade maht suureneb kaks korda ja seeläbi väheneb ka ühe paigalduskoha tasu kaks korda. Seega need alternatiivsed sideettevõtja, kes enne omasid ühte 30 </w:t>
      </w:r>
      <w:proofErr w:type="spellStart"/>
      <w:r w:rsidRPr="00C50854">
        <w:rPr>
          <w:lang w:eastAsia="et-EE"/>
        </w:rPr>
        <w:t>mm-st</w:t>
      </w:r>
      <w:proofErr w:type="spellEnd"/>
      <w:r w:rsidRPr="00C50854">
        <w:rPr>
          <w:lang w:eastAsia="et-EE"/>
        </w:rPr>
        <w:t xml:space="preserve"> läbimõõduga paigalduskohta, tasuvad nüüd kahe 15 mm läbimõõduga paigalduskoha eest, mille hind on poole väiksem, kui 30 mm läbimõõduga paigalduskohal ehk kuutasu ühe 30mm läbimõõduga paigalduskoha eest ei muutu.</w:t>
      </w:r>
    </w:p>
    <w:p w14:paraId="5ADB071C"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Samas nõuab kaablikanalisatsioonile ava jaotamine 12-ks paigalduskohaks praeguse 6 paigalduskoha asemel Telialt täiendavaid tegevusi ja kulusid seoses paigalduskohtade mahtude ümberhindamisega ja arveldusandmete muutmisega. Nimetatud kulud võib Telia lisada kaablikanalisatsiooni kogukuludele ja teenida need tagasi vastavate kuutasude alusel.</w:t>
      </w:r>
    </w:p>
    <w:p w14:paraId="1FAC96B7" w14:textId="01123739"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TTJA-l puudub ülevaade paigalduskohtade mahtude ümberhindamisega ja arveldusandmete muutmisega seotud kuludest. Nimetatud kulusid oskab hinnata kõige paremini Telia ise. Seetõttu eksisteerib risk, et Telia poolt arvestatud paigalduskohtade </w:t>
      </w:r>
      <w:r w:rsidRPr="00C50854">
        <w:rPr>
          <w:lang w:eastAsia="et-EE"/>
        </w:rPr>
        <w:lastRenderedPageBreak/>
        <w:t>mahtude ümberhindamisega ja arveldusandmete muutmisega seotud kulud ja hinnad on sedavõrd kõrged, et välistavad antud juurdepääsuteenuse mõistliku ja otstarbeka kasutamise. Selle riski maandamiseks peab Telia enne kaablikanalisatsiooni ava jaotamist 12-ks paigalduskohaks esitama vastavad kulud ja hinnad TTJA-</w:t>
      </w:r>
      <w:proofErr w:type="spellStart"/>
      <w:r w:rsidRPr="00C50854">
        <w:rPr>
          <w:lang w:eastAsia="et-EE"/>
        </w:rPr>
        <w:t>le</w:t>
      </w:r>
      <w:proofErr w:type="spellEnd"/>
      <w:r w:rsidRPr="00C50854">
        <w:rPr>
          <w:lang w:eastAsia="et-EE"/>
        </w:rPr>
        <w:t xml:space="preserve"> üle vaatamiseks. TTJA hindab esitatud kulude ning hindade arvestuse vastavust hinnakohustuse peatükis 6.5.4 sätestatud meetodile. Põhjendatud vajadusel võib TTJA nõuda kulude ja hinna arvestuse muutmist. Telia võib kaablikanalisatsiooni ava jaotada 12-ks paigalduskohaks alles pärast TTJA poolset vastavate kulude ja hindade üle vaatamist ning heakskiitu. </w:t>
      </w:r>
    </w:p>
    <w:p w14:paraId="3B1EA048" w14:textId="215BDC40"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340" w:name="_Hlk38625545"/>
      <w:bookmarkStart w:id="341" w:name="_Hlk38625905"/>
      <w:r w:rsidRPr="00C50854">
        <w:rPr>
          <w:lang w:eastAsia="et-EE"/>
        </w:rPr>
        <w:t>TTJA hinnangul ei ole eelkirjeldatud kaablikanalisatsioonile ava jaotamine 12-ks paigalduskohaks praeguse 6 paigalduskoha asemel ning sellest tulenev</w:t>
      </w:r>
      <w:r w:rsidRPr="00C50854">
        <w:t xml:space="preserve"> </w:t>
      </w:r>
      <w:r w:rsidRPr="00C50854">
        <w:rPr>
          <w:lang w:eastAsia="et-EE"/>
        </w:rPr>
        <w:t xml:space="preserve">paigalduskohtade mahtude ümberhindamine ja arveldusandmete muutmine Teliale ebamõistlikult koormav, kuna sellega seotud kulud omistatakse kaablikanalisatsiooni kogukuludele, mida tasuvad </w:t>
      </w:r>
      <w:r w:rsidR="00AF3E4B" w:rsidRPr="00C50854">
        <w:rPr>
          <w:lang w:eastAsia="et-EE"/>
        </w:rPr>
        <w:t>...*</w:t>
      </w:r>
      <w:r w:rsidRPr="00C50854">
        <w:rPr>
          <w:lang w:eastAsia="et-EE"/>
        </w:rPr>
        <w:t>% ulatuses vastava kuutasu alusel alternatiivsed sideettevõtjad ning kaablikanalisatsioonile ava jaotamisel 12-ks paigalduskohaks tekkivat vaba mahtu on võimalik kasutada kaablite paigaldamiseks kõigil sideettevõtjatel, kaasa arvatud Telial endal</w:t>
      </w:r>
      <w:bookmarkEnd w:id="340"/>
      <w:r w:rsidRPr="00C50854">
        <w:rPr>
          <w:lang w:eastAsia="et-EE"/>
        </w:rPr>
        <w:t>.</w:t>
      </w:r>
    </w:p>
    <w:bookmarkEnd w:id="341"/>
    <w:p w14:paraId="20F7ADAB" w14:textId="77777777" w:rsidR="00D67E10" w:rsidRPr="00C50854" w:rsidRDefault="00D67E10" w:rsidP="00D67E10">
      <w:pPr>
        <w:suppressAutoHyphens w:val="0"/>
        <w:autoSpaceDE w:val="0"/>
        <w:autoSpaceDN w:val="0"/>
        <w:adjustRightInd w:val="0"/>
        <w:spacing w:before="120" w:after="120"/>
        <w:jc w:val="both"/>
        <w:rPr>
          <w:lang w:eastAsia="et-EE"/>
        </w:rPr>
      </w:pPr>
    </w:p>
    <w:p w14:paraId="58CE45D9" w14:textId="77777777" w:rsidR="00D67E10" w:rsidRPr="00C50854" w:rsidRDefault="00D67E10" w:rsidP="00D67E10">
      <w:pPr>
        <w:suppressAutoHyphens w:val="0"/>
        <w:autoSpaceDE w:val="0"/>
        <w:autoSpaceDN w:val="0"/>
        <w:adjustRightInd w:val="0"/>
        <w:spacing w:before="120" w:after="120"/>
        <w:jc w:val="both"/>
        <w:rPr>
          <w:lang w:eastAsia="et-EE"/>
        </w:rPr>
      </w:pPr>
      <w:bookmarkStart w:id="342" w:name="_Hlk38619339"/>
      <w:r w:rsidRPr="00C50854">
        <w:rPr>
          <w:lang w:eastAsia="et-EE"/>
        </w:rPr>
        <w:t>Kavandatav kohustus</w:t>
      </w:r>
    </w:p>
    <w:p w14:paraId="7C5A6FAB"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Vastavalt ESS § 50 lõike 5 alusel võib Tarbijakaitse ja Tehnilise Järelevalve Amet sideettevõtja suhtes, kes on tunnistatud märkimisväärse turujõuga ettevõtjaks, kehtestada vastaval turul kohustuse rahuldada teise sideettevõtja mõistlik taotlus juurdepääsuks konkreetsetele võrguelementidele ja võrguga seotud vahenditele ja võimaldada nende kasutamine vastavalt käesoleva seaduse §-le 51, kui juurdepääsust keeldumine või juurdepääs ebamõistlikel tingimustel takistab konkurentsi arengut jaemüügi tasandil või on lõppkasutajate huve kahjustav.</w:t>
      </w:r>
    </w:p>
    <w:p w14:paraId="347AEB28"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Vastavalt ESS § 51 lõike 1 punktile 1 võib Tarbijakaitse ja Tehnilise Järelevalve Amet märkimisväärse turujõuga ettevõtjalt muu hulgas nõuda sideettevõtjatele juurdepääsu võimaldamist konkreetsetele võrguelementidele või -vahenditele.</w:t>
      </w:r>
    </w:p>
    <w:p w14:paraId="6A9C3711"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Vastavalt ESS § 51 lõikele 3 võib Tarbijakaitse ja Tehnilise Järelevalve Amet ESS § 51 lõikes 1 nimetatud kohustuse kehtestamisel täpsustada kohustuse täitmise viisi.</w:t>
      </w:r>
    </w:p>
    <w:p w14:paraId="05F989B4"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343" w:name="_Hlk38619728"/>
      <w:bookmarkStart w:id="344" w:name="_Hlk38973044"/>
      <w:bookmarkEnd w:id="342"/>
      <w:r w:rsidRPr="00C50854">
        <w:rPr>
          <w:lang w:eastAsia="et-EE"/>
        </w:rPr>
        <w:t xml:space="preserve">Eelnimetatud paragrahvide alusel kavandab TTJA kohustada Teliat </w:t>
      </w:r>
      <w:bookmarkEnd w:id="343"/>
      <w:r w:rsidRPr="00C50854">
        <w:rPr>
          <w:lang w:eastAsia="et-EE"/>
        </w:rPr>
        <w:t xml:space="preserve">100mm läbimõõduga kaablikanalisatsioonile juurdepääsu osutamisel jaotama kaablikanalisatsiooni ava 12-ks paigalduskohaks. </w:t>
      </w:r>
    </w:p>
    <w:p w14:paraId="512481E6" w14:textId="3AF5B905"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Telia peab enne </w:t>
      </w:r>
      <w:bookmarkStart w:id="345" w:name="_Hlk38609946"/>
      <w:r w:rsidRPr="00C50854">
        <w:rPr>
          <w:lang w:eastAsia="et-EE"/>
        </w:rPr>
        <w:t xml:space="preserve">kaablikanalisatsiooni ava 12-ks paigalduskohaks </w:t>
      </w:r>
      <w:bookmarkEnd w:id="345"/>
      <w:r w:rsidRPr="00C50854">
        <w:rPr>
          <w:lang w:eastAsia="et-EE"/>
        </w:rPr>
        <w:t>jaotamist esitama vastavad paigalduskohtade mahtude ümberhindamisega ja arveldusandmete muutmisega seotud kulud ja hinnad TTJA-</w:t>
      </w:r>
      <w:proofErr w:type="spellStart"/>
      <w:r w:rsidRPr="00C50854">
        <w:rPr>
          <w:lang w:eastAsia="et-EE"/>
        </w:rPr>
        <w:t>le</w:t>
      </w:r>
      <w:proofErr w:type="spellEnd"/>
      <w:r w:rsidRPr="00C50854">
        <w:rPr>
          <w:lang w:eastAsia="et-EE"/>
        </w:rPr>
        <w:t xml:space="preserve"> analüüsimiseks hiljemalt 2 kuud pärast käesoleva otsuse jõustumist. Telia võib kaablikanalisatsiooni ava 12-ks paigalduskohaks jaotada alles pärast TTJA poolset kulude ja hindade analüüsi ning otsust. Kui TTJA analüüsi tulemusel jõuab otsusele, et arvestatud paigalduskohtade mahtude ümberhindamisega ja arveldusandmete muutmise kulud ja hinnad on sedavõrd kõrged, et välistavad juurdepääsuteenuste mõistliku ja otstarbeka kasutamise, siis vastavat juurdepääsu kohustust täitma ei pea. </w:t>
      </w:r>
      <w:bookmarkStart w:id="346" w:name="_Hlk41034839"/>
      <w:r w:rsidRPr="00C50854">
        <w:rPr>
          <w:lang w:eastAsia="et-EE"/>
        </w:rPr>
        <w:t>TTJA rakendab otsuse osas ESS § 152 sätestatud konsulteerimiskohustust.</w:t>
      </w:r>
      <w:bookmarkEnd w:id="346"/>
      <w:r w:rsidRPr="00C50854">
        <w:rPr>
          <w:lang w:eastAsia="et-EE"/>
        </w:rPr>
        <w:t xml:space="preserve"> Kui TTJA analüüsi tulemus näitab, et Telia arvestatud kulud ja hinnad ei ole arvestatud vastavalt hinnakohustuse peatükis 6.5.4 sätestatud meetodile, siis võib TTJA teha vastava ettekirjutuse kulude ja hinna arvestuse muutmiseks. Telia peab kaablikanalisatsiooni ava 12-ks paigalduskohaks jaotama hiljemalt 4</w:t>
      </w:r>
      <w:r w:rsidR="005847B0" w:rsidRPr="00C50854">
        <w:rPr>
          <w:lang w:eastAsia="et-EE"/>
        </w:rPr>
        <w:t> </w:t>
      </w:r>
      <w:r w:rsidRPr="00C50854">
        <w:rPr>
          <w:lang w:eastAsia="et-EE"/>
        </w:rPr>
        <w:t>kuud pärast TTJA otsust, et sidevõrgu digitaalsele alusplaanile juurdepääsu liidese loomise ja opereerimise kulud ja hinnad tagavad juurdepääsuteenuste mõistliku ja otstarbeka kasutamise</w:t>
      </w:r>
      <w:bookmarkEnd w:id="344"/>
      <w:r w:rsidRPr="00C50854">
        <w:rPr>
          <w:lang w:eastAsia="et-EE"/>
        </w:rPr>
        <w:t>.</w:t>
      </w:r>
    </w:p>
    <w:p w14:paraId="009847A6" w14:textId="77777777" w:rsidR="00D67E10" w:rsidRPr="00C50854" w:rsidRDefault="00D67E10" w:rsidP="00D67E10">
      <w:pPr>
        <w:suppressAutoHyphens w:val="0"/>
        <w:autoSpaceDE w:val="0"/>
        <w:autoSpaceDN w:val="0"/>
        <w:adjustRightInd w:val="0"/>
        <w:spacing w:before="120" w:after="120"/>
        <w:jc w:val="both"/>
        <w:rPr>
          <w:lang w:eastAsia="et-EE"/>
        </w:rPr>
      </w:pPr>
    </w:p>
    <w:p w14:paraId="6D015EC7" w14:textId="77777777" w:rsidR="00D67E10" w:rsidRPr="00C50854" w:rsidRDefault="00D67E10" w:rsidP="00D67E10">
      <w:pPr>
        <w:pStyle w:val="Pealkiri3"/>
        <w:rPr>
          <w:i/>
          <w:lang w:eastAsia="et-EE"/>
        </w:rPr>
      </w:pPr>
      <w:r w:rsidRPr="00C50854">
        <w:rPr>
          <w:i/>
          <w:lang w:eastAsia="et-EE"/>
        </w:rPr>
        <w:lastRenderedPageBreak/>
        <w:t xml:space="preserve"> </w:t>
      </w:r>
    </w:p>
    <w:p w14:paraId="689DF054" w14:textId="77777777" w:rsidR="00D67E10" w:rsidRPr="00C50854" w:rsidRDefault="00D67E10" w:rsidP="009A75FA">
      <w:pPr>
        <w:pStyle w:val="Pealkiri3"/>
        <w:rPr>
          <w:b w:val="0"/>
          <w:bCs w:val="0"/>
          <w:i/>
          <w:iCs/>
        </w:rPr>
      </w:pPr>
      <w:bookmarkStart w:id="347" w:name="_Toc39125672"/>
      <w:bookmarkStart w:id="348" w:name="_Toc42072459"/>
      <w:r w:rsidRPr="00C50854">
        <w:rPr>
          <w:b w:val="0"/>
          <w:bCs w:val="0"/>
          <w:i/>
          <w:iCs/>
        </w:rPr>
        <w:t>6.2.3.3 Juurdepääs amortiseerunud kaablikanalisatsioonile</w:t>
      </w:r>
      <w:bookmarkEnd w:id="347"/>
      <w:bookmarkEnd w:id="348"/>
    </w:p>
    <w:p w14:paraId="0E19AB73" w14:textId="77777777" w:rsidR="00D67E10" w:rsidRPr="00C50854" w:rsidRDefault="00D67E10" w:rsidP="00D67E10">
      <w:pPr>
        <w:suppressAutoHyphens w:val="0"/>
        <w:autoSpaceDE w:val="0"/>
        <w:autoSpaceDN w:val="0"/>
        <w:adjustRightInd w:val="0"/>
        <w:spacing w:before="120" w:after="120"/>
        <w:jc w:val="both"/>
        <w:rPr>
          <w:lang w:eastAsia="et-EE"/>
        </w:rPr>
      </w:pPr>
    </w:p>
    <w:p w14:paraId="09D30198"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Olukorra kirjeldus</w:t>
      </w:r>
    </w:p>
    <w:p w14:paraId="7EF0DB23"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Telia kaabelkanalisatsioon on kohati rajatud kaua aega tagasi ja seetõttu eksisteerib kaablikanalisatsiooni lõike, mis on amortiseerunud. Näiteks esineb lõike, milles tehniliste tingimuste alusel on vabad paigalduskohad küll olemas, kuid toru </w:t>
      </w:r>
      <w:proofErr w:type="spellStart"/>
      <w:r w:rsidRPr="00C50854">
        <w:rPr>
          <w:lang w:eastAsia="et-EE"/>
        </w:rPr>
        <w:t>läbitavuse</w:t>
      </w:r>
      <w:proofErr w:type="spellEnd"/>
      <w:r w:rsidRPr="00C50854">
        <w:rPr>
          <w:lang w:eastAsia="et-EE"/>
        </w:rPr>
        <w:t xml:space="preserve"> kontrollimisel selgub, et toru on sisse vajunud, mistõttu ei ole võimalik sinna täiendavaid kaableid, kiikreid või </w:t>
      </w:r>
      <w:proofErr w:type="spellStart"/>
      <w:r w:rsidRPr="00C50854">
        <w:rPr>
          <w:lang w:eastAsia="et-EE"/>
        </w:rPr>
        <w:t>multitorusid</w:t>
      </w:r>
      <w:proofErr w:type="spellEnd"/>
      <w:r w:rsidRPr="00C50854">
        <w:rPr>
          <w:lang w:eastAsia="et-EE"/>
        </w:rPr>
        <w:t xml:space="preserve"> paigaldada.</w:t>
      </w:r>
    </w:p>
    <w:p w14:paraId="7913D362"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Turuanalüüsi küsimustiku vastustes tõid alternatiivsed sideettevõtjad ühe võimaliku konkurentsiprobleemina esile, et Telia teatud juhtudel keeldub alternatiivsete sideettevõtjate taotlusel amortiseerunud kaablikanalisatsiooni lõike taastamast, kui Telial endal puudub selleks piisav ärihuvi. Lisaks esineb ka olukordi, kus Telia on küll nõus alternatiivse sideettevõtja taotlusel amortiseerunud kaablikanalisatsiooni taastama, kuid nõuab sellega seotud kulude hüvitamist vastava taotluse esitajalt.</w:t>
      </w:r>
    </w:p>
    <w:p w14:paraId="08A1589B" w14:textId="77777777" w:rsidR="00D67E10" w:rsidRPr="00C50854" w:rsidRDefault="00D67E10" w:rsidP="00D67E10">
      <w:pPr>
        <w:suppressAutoHyphens w:val="0"/>
        <w:autoSpaceDE w:val="0"/>
        <w:autoSpaceDN w:val="0"/>
        <w:adjustRightInd w:val="0"/>
        <w:spacing w:before="120" w:after="120"/>
        <w:jc w:val="both"/>
        <w:rPr>
          <w:lang w:eastAsia="et-EE"/>
        </w:rPr>
      </w:pPr>
    </w:p>
    <w:p w14:paraId="30D0EB7B"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tuvastamine</w:t>
      </w:r>
    </w:p>
    <w:p w14:paraId="59E697DD"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TTJA leiab, et kaablikanalisatsiooni vabale mahule juurdepääs on alternatiivsetele sideettevõtjatele oluline vahend arendamaks oma lõppkasutajatele sideteenuseid ja suurendades seeläbi sideteenuste konkurentsi jaetasandil. Kui kaablikanalisatsiooni vaba maht on piiratud kaablikanalisatsiooni amortiseeritusse tõttu, siis tekitab see juurdepääsuga seotud konkurentsiprobleeme, mis kahjustab konkurentsi jaetasandil.</w:t>
      </w:r>
    </w:p>
    <w:p w14:paraId="7E5CCC61"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Eeltoodust tulenevalt on oluline, et amortiseerunud kaablikanalisatsioonid taastataks Telia poolt mitte ainult Telia ärihuvide alusel, vaid ka alternatiivsete sideettevõtjate taotlustel. Amortiseerunud kaablikanalisatsioonide taastamine ainult Telia ärihuvidest lähtudes saab kahjustada sideteenuste konkurents jaetasandil, kuna üldjuhul ei ole Telia ärihuvides võimaldada kaablikanalisatsiooni kaudu juurdepääsu hoonetele või piirkondadele, kus Telia ise juba pakub jaetasandi sideteenuseid.</w:t>
      </w:r>
    </w:p>
    <w:p w14:paraId="49198FF0" w14:textId="6E3EE026"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Vastavalt ESS §</w:t>
      </w:r>
      <w:r w:rsidR="009235D8" w:rsidRPr="00C50854">
        <w:rPr>
          <w:lang w:eastAsia="et-EE"/>
        </w:rPr>
        <w:t xml:space="preserve"> </w:t>
      </w:r>
      <w:r w:rsidRPr="00C50854">
        <w:rPr>
          <w:lang w:eastAsia="et-EE"/>
        </w:rPr>
        <w:t>87 lõike 1 punktile 1 peavad sideettevõtjad sideteenuse osutamisel juhinduma järgmistest põhimõtetest ja eesmärkidest:</w:t>
      </w:r>
      <w:r w:rsidRPr="00C50854">
        <w:t xml:space="preserve"> </w:t>
      </w:r>
      <w:r w:rsidRPr="00C50854">
        <w:rPr>
          <w:lang w:eastAsia="et-EE"/>
        </w:rPr>
        <w:t>sidevõrgu toimimise turvalisuse tagamine; sidevõrgu terviklikkuse säilitamine; sidevõrkude ja -teenuste koostalitlusvõime tagamine.</w:t>
      </w:r>
    </w:p>
    <w:p w14:paraId="74B3B6D6" w14:textId="4268587A"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Amortiseerunud kaablikanalisatsiooni lõigus ei ole kanalisatsioonis olevaid kaableid avarii korral võimalik üldjuhul kiirest välja vahetada, kuna puudub tehniline reserv (see on sisse vajanud). See seab ohtu lõppkasutajate sideteenuste turvalisuse, </w:t>
      </w:r>
      <w:r w:rsidR="009235D8" w:rsidRPr="00C50854">
        <w:rPr>
          <w:lang w:eastAsia="et-EE"/>
        </w:rPr>
        <w:t xml:space="preserve">toimepidevuse </w:t>
      </w:r>
      <w:r w:rsidRPr="00C50854">
        <w:rPr>
          <w:lang w:eastAsia="et-EE"/>
        </w:rPr>
        <w:t xml:space="preserve">ja koostalitlusvõime. Mistõttu on oluline, et Telia ei lähtuks amortiseerunud kaablikanalisatsiooni taastamise valikul ainult sellest, kas Telial on vastava torus enda kaableid lõppkasutajatele jaeteenuste osutamiseks (ehk enda ärihuvist), vaid tagab ka alternatiivsete sideettevõtjate kaablite vahendusel lõppkasutajatele sideteenuste turvalisuse, </w:t>
      </w:r>
      <w:r w:rsidR="009235D8" w:rsidRPr="00C50854">
        <w:rPr>
          <w:lang w:eastAsia="et-EE"/>
        </w:rPr>
        <w:t xml:space="preserve">toimepidevuse </w:t>
      </w:r>
      <w:r w:rsidRPr="00C50854">
        <w:rPr>
          <w:lang w:eastAsia="et-EE"/>
        </w:rPr>
        <w:t>ja koostalitusvõime. Selleks peab Telia ka alternatiivsete sideettevõtjate taotlusel taastama amortiseerunud kaablikanalisatsiooni, et tagada juurdepääs kaablikanalisatsiooni vabadele paigalduskohtadele ja tehniline reserv avarii korral kiire kaabli vahetamise võimaldamiseks.</w:t>
      </w:r>
    </w:p>
    <w:p w14:paraId="2D7A28FA" w14:textId="35B4FC23" w:rsidR="00D67E10" w:rsidRDefault="00D67E10" w:rsidP="00D67E10">
      <w:pPr>
        <w:suppressAutoHyphens w:val="0"/>
        <w:autoSpaceDE w:val="0"/>
        <w:autoSpaceDN w:val="0"/>
        <w:adjustRightInd w:val="0"/>
        <w:spacing w:before="120" w:after="120"/>
        <w:jc w:val="both"/>
        <w:rPr>
          <w:lang w:eastAsia="et-EE"/>
        </w:rPr>
      </w:pPr>
    </w:p>
    <w:p w14:paraId="7B399650" w14:textId="6B4885D4" w:rsidR="00456678" w:rsidRDefault="00456678" w:rsidP="00D67E10">
      <w:pPr>
        <w:suppressAutoHyphens w:val="0"/>
        <w:autoSpaceDE w:val="0"/>
        <w:autoSpaceDN w:val="0"/>
        <w:adjustRightInd w:val="0"/>
        <w:spacing w:before="120" w:after="120"/>
        <w:jc w:val="both"/>
        <w:rPr>
          <w:lang w:eastAsia="et-EE"/>
        </w:rPr>
      </w:pPr>
    </w:p>
    <w:p w14:paraId="5842FF24" w14:textId="77777777" w:rsidR="00456678" w:rsidRPr="00C50854" w:rsidRDefault="00456678" w:rsidP="00D67E10">
      <w:pPr>
        <w:suppressAutoHyphens w:val="0"/>
        <w:autoSpaceDE w:val="0"/>
        <w:autoSpaceDN w:val="0"/>
        <w:adjustRightInd w:val="0"/>
        <w:spacing w:before="120" w:after="120"/>
        <w:jc w:val="both"/>
        <w:rPr>
          <w:lang w:eastAsia="et-EE"/>
        </w:rPr>
      </w:pPr>
    </w:p>
    <w:p w14:paraId="4282D4C3"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lastRenderedPageBreak/>
        <w:t>Konkurentsiprobleemi lahendamise valikud</w:t>
      </w:r>
    </w:p>
    <w:p w14:paraId="302923CB" w14:textId="381716DD"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TTJA hinnangul saab leevendada eeltoodud konkurentsiprobleemi, kui kohustada Teliat taastama amortiseerunud kaablikanalisatsiooni lõike ka huvitatud sideettevõtja taotlusel. Vastava lõigu taastamine tuleb Telia poolt läbi viia üldises järjekorras ehk tuleb järgida </w:t>
      </w:r>
      <w:proofErr w:type="spellStart"/>
      <w:r w:rsidRPr="00C50854">
        <w:rPr>
          <w:lang w:eastAsia="et-EE"/>
        </w:rPr>
        <w:t>mittediskrimineerimiskohustuse</w:t>
      </w:r>
      <w:proofErr w:type="spellEnd"/>
      <w:r w:rsidRPr="00C50854">
        <w:rPr>
          <w:lang w:eastAsia="et-EE"/>
        </w:rPr>
        <w:t xml:space="preserve"> nõudeid peatükkis 6.3.4 .</w:t>
      </w:r>
    </w:p>
    <w:p w14:paraId="354EEC40"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349" w:name="_Hlk39127240"/>
      <w:r w:rsidRPr="00C50854">
        <w:rPr>
          <w:lang w:eastAsia="et-EE"/>
        </w:rPr>
        <w:t>Selleks, et tagada amortiseerunud kaablikanalisatsiooni taastamise taotluste põhjendatus võib Telia nõuda, et taotlev taastamisest huvitatud sideettevõtja sõlmiks kaablikanalisatsiooni kasutamise eellepingu kuni järgmise 3 aasta peale</w:t>
      </w:r>
      <w:bookmarkEnd w:id="349"/>
      <w:r w:rsidRPr="00C50854">
        <w:rPr>
          <w:lang w:eastAsia="et-EE"/>
        </w:rPr>
        <w:t>.</w:t>
      </w:r>
    </w:p>
    <w:p w14:paraId="2FCA345C" w14:textId="77777777" w:rsidR="00D67E10" w:rsidRPr="00C50854" w:rsidRDefault="00D67E10" w:rsidP="00311E1F">
      <w:pPr>
        <w:pStyle w:val="Loendilik"/>
        <w:numPr>
          <w:ilvl w:val="0"/>
          <w:numId w:val="13"/>
        </w:numPr>
        <w:rPr>
          <w:lang w:eastAsia="et-EE"/>
        </w:rPr>
      </w:pPr>
      <w:r w:rsidRPr="00C50854">
        <w:rPr>
          <w:lang w:eastAsia="et-EE"/>
        </w:rPr>
        <w:t>Amortiseerunud kaablikanalisatsiooni taastamise kulud tasub esialgu Telia ja omistab need seejärel kaablikanalisatsiooni kogukuludele, mille alusel arvestatakse kaablikanalisatsioonile juurdepääsu kuutasud. TTJA hinnangul ei mõjuta nimetatud kulude omistamine kaablikanalisatsiooni kuutasule märkimisväärselt kaablikanalisatsiooni kuutasu suurust, kuna selliste juhtumite/paigalduskohtade maht on suure tõenäosusega võrreldes Telia kogu kaablikanalisatsiooni paigalduskohtade mahuga väike.</w:t>
      </w:r>
    </w:p>
    <w:p w14:paraId="7B47707B" w14:textId="6C6999F5"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350" w:name="_Hlk38954133"/>
      <w:r w:rsidRPr="00C50854">
        <w:rPr>
          <w:lang w:eastAsia="et-EE"/>
        </w:rPr>
        <w:t xml:space="preserve">TTJA hinnangul ei ole eelkirjeldatud amortiseerunud kaablikanalisatsiooni taastamine huvitatud sideettevõtja taotlusel Teliale ebamõistlikult koormav, kuna selliste juhtumite arv on võrreldes Telia kogu kaablikanalisatsioonile juurdepääsu taotluste arvuga väike ning sellega seotud kulud omistatakse kaablikanalisatsiooni kogukuludele, mida tasuvad </w:t>
      </w:r>
      <w:r w:rsidR="00AF3E4B" w:rsidRPr="00C50854">
        <w:rPr>
          <w:lang w:eastAsia="et-EE"/>
        </w:rPr>
        <w:t>...*</w:t>
      </w:r>
      <w:r w:rsidRPr="00C50854">
        <w:rPr>
          <w:lang w:eastAsia="et-EE"/>
        </w:rPr>
        <w:t>% ulatuses vastava kuutasu alusel alternatiivsed sideettevõtjad ning kaablikanalisatsiooni taastamisest tekkivat vaba mahtu on võimalik kasutada kaablite paigaldamiseks kõigil sideettevõtjatel, kaasa arvatud Telial endal</w:t>
      </w:r>
      <w:bookmarkEnd w:id="350"/>
      <w:r w:rsidRPr="00C50854">
        <w:rPr>
          <w:lang w:eastAsia="et-EE"/>
        </w:rPr>
        <w:t>.</w:t>
      </w:r>
    </w:p>
    <w:p w14:paraId="0EF50D48" w14:textId="77777777" w:rsidR="006F64F6" w:rsidRPr="00C50854" w:rsidRDefault="006F64F6" w:rsidP="006F64F6">
      <w:pPr>
        <w:pStyle w:val="Loendilik"/>
        <w:suppressAutoHyphens w:val="0"/>
        <w:autoSpaceDE w:val="0"/>
        <w:autoSpaceDN w:val="0"/>
        <w:adjustRightInd w:val="0"/>
        <w:spacing w:before="120" w:after="120"/>
        <w:ind w:left="360"/>
        <w:jc w:val="both"/>
        <w:rPr>
          <w:lang w:eastAsia="et-EE"/>
        </w:rPr>
      </w:pPr>
      <w:r w:rsidRPr="00C50854">
        <w:rPr>
          <w:lang w:eastAsia="et-EE"/>
        </w:rPr>
        <w:t>Kavandatav kohustus</w:t>
      </w:r>
    </w:p>
    <w:p w14:paraId="6A0B3FFF" w14:textId="4FD2444D" w:rsidR="006F64F6" w:rsidRPr="00C50854" w:rsidRDefault="006F64F6" w:rsidP="006F64F6">
      <w:pPr>
        <w:pStyle w:val="Loendilik"/>
        <w:numPr>
          <w:ilvl w:val="0"/>
          <w:numId w:val="13"/>
        </w:numPr>
        <w:suppressAutoHyphens w:val="0"/>
        <w:autoSpaceDE w:val="0"/>
        <w:autoSpaceDN w:val="0"/>
        <w:adjustRightInd w:val="0"/>
        <w:spacing w:before="120" w:after="120"/>
        <w:jc w:val="both"/>
        <w:rPr>
          <w:lang w:eastAsia="et-EE"/>
        </w:rPr>
      </w:pPr>
      <w:bookmarkStart w:id="351" w:name="_Hlk38868214"/>
      <w:r w:rsidRPr="00C50854">
        <w:rPr>
          <w:lang w:eastAsia="et-EE"/>
        </w:rPr>
        <w:t>Vastavalt ESS § 50 lõike 5 alusel võib Tarbijakaitse ja Tehnilise Järelevalve Amet sideettevõtja suhtes, kes on tunnistatud märkimisväärse turujõuga ettevõtjaks, kehtestada vastaval turul kohustuse rahuldada teise sideettevõtja mõistlik taotlus juurdepääsuks konkreetsetele võrguelementidele ja võrguga seotud vahenditele ja võimaldada nende kasutamine vastavalt käesoleva seaduse §-le 51, kui juurdepääsust keeldumine või juurdepääs ebamõistlikel tingimustel takistab konkurentsi arengut jaemüügi tasandil või on lõppkasutajate huve kahjustav.</w:t>
      </w:r>
      <w:bookmarkEnd w:id="351"/>
    </w:p>
    <w:p w14:paraId="4CA3065B" w14:textId="2118C205" w:rsidR="006F64F6" w:rsidRPr="00C50854" w:rsidRDefault="006F64F6" w:rsidP="006F64F6">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 xml:space="preserve">Vastavalt ESS </w:t>
      </w:r>
      <w:bookmarkStart w:id="352" w:name="_Hlk38974681"/>
      <w:r w:rsidRPr="00C50854">
        <w:rPr>
          <w:lang w:eastAsia="et-EE"/>
        </w:rPr>
        <w:t xml:space="preserve">§ 51 lõike 1 punktile 7 </w:t>
      </w:r>
      <w:bookmarkEnd w:id="352"/>
      <w:r w:rsidRPr="00C50854">
        <w:rPr>
          <w:lang w:eastAsia="et-EE"/>
        </w:rPr>
        <w:t>võib Tarbijakaitse ja Tehnilise Järelevalve Amet märkimisväärse turujõuga ettevõtjalt muu hulgas nõuda lõppkasutajatele läbivühendatavusel põhinevate teenuste koostalitlusvõime tagamiseks vajalike teenuste pakkumist.</w:t>
      </w:r>
    </w:p>
    <w:p w14:paraId="2537C067" w14:textId="5D7E90D9" w:rsidR="006F64F6" w:rsidRPr="00C50854" w:rsidRDefault="006F64F6" w:rsidP="006F64F6">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Vastavalt ESS § 51 lõikele 3 võib Tarbijakaitse ja Tehnilise Järelevalve Amet ESS § 51 lõikes 1 nimetatud kohustuse kehtestamisel täpsustada kohustuse täitmise viisi.</w:t>
      </w:r>
    </w:p>
    <w:p w14:paraId="66DD061C" w14:textId="3BB2BB70" w:rsidR="006F64F6" w:rsidRPr="00C50854" w:rsidRDefault="006F64F6" w:rsidP="006F64F6">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Eelnimetatud paragrahvide alusel kavandab TTJA kohustada Teliat huvitatud sideettevõtja taotluse alusel pakkuda amortiseerunud kaablikanalisatsiooni taastamise teenust. Amortiseerunud kaablikanalisatsiooni taastamise kulud tasub Telia ja Telia omistab need kaablikanalisatsiooni kogukuludele, mille alusel arvestatakse kaablikanalisatsioonile juurdepääsu kuutasud. Selleks, et tagada amortiseerunud kaablikanalisatsiooni taastamise taotluste põhjendatus võib Telia nõuda, et taotlev taastamisest huvitatud sideettevõtja sõlmiks kaablikanalisatsiooni kasutamise eellepingu kuni järgmise 3 aasta peale.</w:t>
      </w:r>
    </w:p>
    <w:p w14:paraId="5ADBF776" w14:textId="40CFEA3D" w:rsidR="00D67E10" w:rsidRPr="00C50854" w:rsidRDefault="00D67E10" w:rsidP="00D67E10">
      <w:pPr>
        <w:suppressAutoHyphens w:val="0"/>
        <w:autoSpaceDE w:val="0"/>
        <w:autoSpaceDN w:val="0"/>
        <w:adjustRightInd w:val="0"/>
        <w:spacing w:before="120" w:after="120"/>
        <w:jc w:val="both"/>
        <w:rPr>
          <w:lang w:eastAsia="et-EE"/>
        </w:rPr>
      </w:pPr>
    </w:p>
    <w:p w14:paraId="43B13E3D" w14:textId="77777777" w:rsidR="00D67E10" w:rsidRPr="00C50854" w:rsidRDefault="00D67E10" w:rsidP="009A75FA">
      <w:pPr>
        <w:pStyle w:val="Pealkiri3"/>
        <w:rPr>
          <w:b w:val="0"/>
          <w:bCs w:val="0"/>
          <w:i/>
          <w:iCs/>
        </w:rPr>
      </w:pPr>
      <w:bookmarkStart w:id="353" w:name="_Toc39125673"/>
      <w:bookmarkStart w:id="354" w:name="_Toc42072460"/>
      <w:r w:rsidRPr="00C50854">
        <w:rPr>
          <w:b w:val="0"/>
          <w:bCs w:val="0"/>
          <w:i/>
          <w:iCs/>
        </w:rPr>
        <w:t>6.2.3.4 Kaablikanalisatsiooni paigalduskoha allrent</w:t>
      </w:r>
      <w:bookmarkEnd w:id="353"/>
      <w:bookmarkEnd w:id="354"/>
    </w:p>
    <w:p w14:paraId="01AD71DF"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Olukorra kirjeldus</w:t>
      </w:r>
    </w:p>
    <w:p w14:paraId="75F624F7"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Telia kaablikanalisatsiooni rendi eeskirja punktis 2.4.5 on sätestatud: </w:t>
      </w:r>
      <w:r w:rsidRPr="00C50854">
        <w:rPr>
          <w:i/>
          <w:iCs/>
          <w:lang w:eastAsia="et-EE"/>
        </w:rPr>
        <w:t>Kliendil ei ole õigust anda tema poolt Kaablikanalisatsioonis renditavaid Paigalduskohti allrendile ega tasuta kasutamiseks kolmandatele isikutele.</w:t>
      </w:r>
    </w:p>
    <w:p w14:paraId="7EF51755"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Eeltoodud punkti osas on esinenud arutelusid, kas see võib kahjustada konkurentsi ja tekitada konkurentsiprobleeme.</w:t>
      </w:r>
    </w:p>
    <w:p w14:paraId="1B8D1589" w14:textId="77777777" w:rsidR="00D67E10" w:rsidRPr="00C50854" w:rsidRDefault="00D67E10" w:rsidP="00D67E10">
      <w:pPr>
        <w:suppressAutoHyphens w:val="0"/>
        <w:autoSpaceDE w:val="0"/>
        <w:autoSpaceDN w:val="0"/>
        <w:adjustRightInd w:val="0"/>
        <w:spacing w:before="120" w:after="120"/>
        <w:jc w:val="both"/>
        <w:rPr>
          <w:lang w:eastAsia="et-EE"/>
        </w:rPr>
      </w:pPr>
    </w:p>
    <w:p w14:paraId="0E7FF3C7"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tuvastamine</w:t>
      </w:r>
    </w:p>
    <w:p w14:paraId="5DB7C5F3"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TTJA leiab, et konkurentsi edendamiseks on oluline, et kaablikanalisatsiooni mahtu kasutatakse efektiivselt. See tähendab, et võimalikult paljudel sideettevõtjatel oleks võimalik kasutada Telia kaablikanalisatsiooni oma sideteenuste arendamiseks ja osutamiseks. Seetõttu on oluline, et kaablikanalisatsiooni kasutamata mahtu ei hoitaks kinni eesmärgiga takistada teiste sideettevõtjate sideteenuste arendamist ja osutamist. </w:t>
      </w:r>
    </w:p>
    <w:p w14:paraId="6E31DF01"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TTJA analüüsis eelnimetatud punkti mõju konkurentsiolukorrale ja leiab, et kaablikanalisatsiooni paigalduskohade allrendi keelamine ei kahjusta konkurentsiolukorda sideteenuste jaeteenuste osas, kui paigalduskohta rentival sideettevõtjal on võimalus allrentida paigalduskohta paigaldatud kaableid, kiikreid ja </w:t>
      </w:r>
      <w:proofErr w:type="spellStart"/>
      <w:r w:rsidRPr="00C50854">
        <w:rPr>
          <w:lang w:eastAsia="et-EE"/>
        </w:rPr>
        <w:t>multitorusid</w:t>
      </w:r>
      <w:proofErr w:type="spellEnd"/>
      <w:r w:rsidRPr="00C50854">
        <w:rPr>
          <w:lang w:eastAsia="et-EE"/>
        </w:rPr>
        <w:t xml:space="preserve">. Näiteks paigaldades paigalduskohta piisavalt suure mahtuvusega kiikri või </w:t>
      </w:r>
      <w:proofErr w:type="spellStart"/>
      <w:r w:rsidRPr="00C50854">
        <w:rPr>
          <w:lang w:eastAsia="et-EE"/>
        </w:rPr>
        <w:t>multitoru</w:t>
      </w:r>
      <w:proofErr w:type="spellEnd"/>
      <w:r w:rsidRPr="00C50854">
        <w:rPr>
          <w:lang w:eastAsia="et-EE"/>
        </w:rPr>
        <w:t xml:space="preserve"> on sinna võimalik hiljem lisada optilisi kaableid, mida saab vajadusel ja soovi korral teistele sideettevõtjatele rentida. Seega saab kaablikanalisatsiooni paigalduskoha allrenti vajadusel asendada paigaldatud kiikri mahu, </w:t>
      </w:r>
      <w:proofErr w:type="spellStart"/>
      <w:r w:rsidRPr="00C50854">
        <w:rPr>
          <w:lang w:eastAsia="et-EE"/>
        </w:rPr>
        <w:t>multitoru</w:t>
      </w:r>
      <w:proofErr w:type="spellEnd"/>
      <w:r w:rsidRPr="00C50854">
        <w:rPr>
          <w:lang w:eastAsia="et-EE"/>
        </w:rPr>
        <w:t xml:space="preserve"> mahu või kaabli rentimisega teistele sideettevõtjatele. TTJA ei tuvastanud Telia kaablikanalisatsioonile juurdepääsu tingimustes ühtegi punkti, mis keelaks kaablikanalisatsiooni paigaldatud kaablit, kiikrit või </w:t>
      </w:r>
      <w:proofErr w:type="spellStart"/>
      <w:r w:rsidRPr="00C50854">
        <w:rPr>
          <w:lang w:eastAsia="et-EE"/>
        </w:rPr>
        <w:t>multitoru</w:t>
      </w:r>
      <w:proofErr w:type="spellEnd"/>
      <w:r w:rsidRPr="00C50854">
        <w:rPr>
          <w:lang w:eastAsia="et-EE"/>
        </w:rPr>
        <w:t xml:space="preserve"> anda allrendile või tasuta kasutamiseks kolmandatele isikutele.</w:t>
      </w:r>
    </w:p>
    <w:p w14:paraId="0A452081"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TTJA leiab, et kaablikanalisatsiooni paigalduskoha allrent kolmandatele isikutele võib tekitada  konkurentsiprobleeme, kuna nimetatud kolmandate isikute suhtes ei kehti samad kohustused nagu Teliale on kehtestatud kohalikul juurdepääsu hulgiturul. Seetõttu on TTJA-l kolmandate isikute tegevust oluliselt keerulisem kontrollida ja seeläbi võimalikke konkurentsiprobleeme (näiteks sideettevõtjate ebavõrdne kohtlemine või ülemäära kõrge paigalduskoha rendi hind) vältida.</w:t>
      </w:r>
    </w:p>
    <w:p w14:paraId="18FCA126"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Eeltoodust tulenevalt ei tuvastanud TTJA seoses Telia kaablikanalisatsiooni paigalduskoha allrendi keeluga konkurentsiprobleeme.</w:t>
      </w:r>
    </w:p>
    <w:p w14:paraId="2EBEEFB2" w14:textId="77777777" w:rsidR="00D67E10" w:rsidRPr="00C50854" w:rsidRDefault="00D67E10" w:rsidP="00D67E10">
      <w:pPr>
        <w:suppressAutoHyphens w:val="0"/>
        <w:autoSpaceDE w:val="0"/>
        <w:autoSpaceDN w:val="0"/>
        <w:adjustRightInd w:val="0"/>
        <w:spacing w:before="120" w:after="120"/>
        <w:jc w:val="both"/>
        <w:rPr>
          <w:lang w:eastAsia="et-EE"/>
        </w:rPr>
      </w:pPr>
    </w:p>
    <w:p w14:paraId="6DFE3EAD" w14:textId="77777777" w:rsidR="00D67E10" w:rsidRPr="00C50854" w:rsidRDefault="00D67E10" w:rsidP="009A75FA">
      <w:pPr>
        <w:pStyle w:val="Pealkiri3"/>
        <w:rPr>
          <w:b w:val="0"/>
          <w:bCs w:val="0"/>
          <w:i/>
          <w:iCs/>
        </w:rPr>
      </w:pPr>
      <w:bookmarkStart w:id="355" w:name="_Toc39125674"/>
      <w:bookmarkStart w:id="356" w:name="_Toc42072461"/>
      <w:r w:rsidRPr="00C50854">
        <w:rPr>
          <w:b w:val="0"/>
          <w:bCs w:val="0"/>
          <w:i/>
          <w:iCs/>
        </w:rPr>
        <w:t>6.2.3.5 Nõuded Teliale kaablikanalisatsiooni rajamisel</w:t>
      </w:r>
      <w:bookmarkEnd w:id="355"/>
      <w:bookmarkEnd w:id="356"/>
      <w:r w:rsidRPr="00C50854">
        <w:rPr>
          <w:b w:val="0"/>
          <w:bCs w:val="0"/>
          <w:i/>
          <w:iCs/>
        </w:rPr>
        <w:t xml:space="preserve"> </w:t>
      </w:r>
    </w:p>
    <w:p w14:paraId="4DB769D5" w14:textId="77777777" w:rsidR="00D67E10" w:rsidRPr="00C50854" w:rsidRDefault="00D67E10" w:rsidP="00D67E10">
      <w:pPr>
        <w:suppressAutoHyphens w:val="0"/>
        <w:autoSpaceDE w:val="0"/>
        <w:autoSpaceDN w:val="0"/>
        <w:adjustRightInd w:val="0"/>
        <w:spacing w:before="120" w:after="120"/>
        <w:jc w:val="both"/>
        <w:rPr>
          <w:lang w:eastAsia="et-EE"/>
        </w:rPr>
      </w:pPr>
    </w:p>
    <w:p w14:paraId="1063FB4E"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Olukorra kirjeldus</w:t>
      </w:r>
    </w:p>
    <w:p w14:paraId="66AC9A87"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Kaablikanalisatsioon on oluline vahend sideteenuste arendamiseks ja osutamiseks jaetasandil. </w:t>
      </w:r>
    </w:p>
    <w:p w14:paraId="06B119EB"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On esinenud arutelusid, kas olukord, kus Telia paigaldab kaablikanalisatsiooni diameetriga, mis võimaldab paigaldada ainult Telia enda kaableid, kiikreid või </w:t>
      </w:r>
      <w:proofErr w:type="spellStart"/>
      <w:r w:rsidRPr="00C50854">
        <w:rPr>
          <w:lang w:eastAsia="et-EE"/>
        </w:rPr>
        <w:t>multitorusid</w:t>
      </w:r>
      <w:proofErr w:type="spellEnd"/>
      <w:r w:rsidRPr="00C50854">
        <w:rPr>
          <w:lang w:eastAsia="et-EE"/>
        </w:rPr>
        <w:t xml:space="preserve"> võib kahjustada konkurentsi ja tekitada konkurentsiprobleeme.</w:t>
      </w:r>
    </w:p>
    <w:p w14:paraId="533BFCEC" w14:textId="4F97C609" w:rsidR="00D67E10" w:rsidRPr="00C50854" w:rsidRDefault="00D67E10" w:rsidP="00D67E10">
      <w:pPr>
        <w:suppressAutoHyphens w:val="0"/>
        <w:autoSpaceDE w:val="0"/>
        <w:autoSpaceDN w:val="0"/>
        <w:adjustRightInd w:val="0"/>
        <w:spacing w:before="120" w:after="120"/>
        <w:jc w:val="both"/>
        <w:rPr>
          <w:lang w:eastAsia="et-EE"/>
        </w:rPr>
      </w:pPr>
    </w:p>
    <w:p w14:paraId="3F62DE8C"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tuvastamine</w:t>
      </w:r>
    </w:p>
    <w:p w14:paraId="4F008184"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Paljudes piirkondades  (eriti tiheasustatud linnades) ei ole paralleelse kaablikanalisatsiooni rajamine sageli võimalik või on see raskendatud </w:t>
      </w:r>
      <w:bookmarkStart w:id="357" w:name="_Hlk38885597"/>
      <w:r w:rsidRPr="00C50854">
        <w:rPr>
          <w:lang w:eastAsia="et-EE"/>
        </w:rPr>
        <w:t>keskkonnakaitse-, planeerimis- ning ehitusnõuetest tulenevate piirangute tõttu</w:t>
      </w:r>
      <w:bookmarkEnd w:id="357"/>
      <w:r w:rsidRPr="00C50854">
        <w:rPr>
          <w:lang w:eastAsia="et-EE"/>
        </w:rPr>
        <w:t xml:space="preserve">. Samuti </w:t>
      </w:r>
      <w:bookmarkStart w:id="358" w:name="_Hlk38884002"/>
      <w:r w:rsidRPr="00C50854">
        <w:rPr>
          <w:lang w:eastAsia="et-EE"/>
        </w:rPr>
        <w:t>koormab ja takistab paralleelse kaablikanalisatsiooni ülemääraselt liiklust (tänava mitme kordne üles kaevamine) ja tõstab lõppkasutaja sideteenuste tasusid</w:t>
      </w:r>
      <w:bookmarkEnd w:id="358"/>
      <w:r w:rsidRPr="00C50854">
        <w:rPr>
          <w:lang w:eastAsia="et-EE"/>
        </w:rPr>
        <w:t xml:space="preserve">, kelle jaeteenuste tasudes sisalduvad ka kaablikanalisatsiooni rajamise kulud. Kaablikanalisatsiooni paigaldamisel on suurimate kuludega just toru </w:t>
      </w:r>
      <w:r w:rsidRPr="00C50854">
        <w:rPr>
          <w:lang w:eastAsia="et-EE"/>
        </w:rPr>
        <w:lastRenderedPageBreak/>
        <w:t xml:space="preserve">paigaldamisega seotud tööd ehk kaevamine ja projektide koostamine, mitte materjal ehk toru ise. Seetõttu oleks sideteenuste jaetasandi kulude vähendamise seisukohast kasulik kui sideettevõtja, kes paigaldab kaablikanalisatsiooni, rajaks selle piisava vaba mahuga ja võimaldaks sellele juurdepääsu ka teistel sideettevõtjatel. Samas on keeruline hinnata ja prognoosida kaablite, kiikrite ja </w:t>
      </w:r>
      <w:proofErr w:type="spellStart"/>
      <w:r w:rsidRPr="00C50854">
        <w:rPr>
          <w:lang w:eastAsia="et-EE"/>
        </w:rPr>
        <w:t>multitorude</w:t>
      </w:r>
      <w:proofErr w:type="spellEnd"/>
      <w:r w:rsidRPr="00C50854">
        <w:rPr>
          <w:lang w:eastAsia="et-EE"/>
        </w:rPr>
        <w:t xml:space="preserve"> tuleviku vajadusi ehk rajatava kaablikanalisatsiooni piisavat vaba mahu reservi.</w:t>
      </w:r>
    </w:p>
    <w:p w14:paraId="61758AE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Eeltoodust tulenevalt leiab TTJA, et olukord, kus Telia paigaldab kaablikanalisatsiooni diameetriga, mis võimaldab paigaldada ainult Telia enda kaableid, kiikreid või </w:t>
      </w:r>
      <w:proofErr w:type="spellStart"/>
      <w:r w:rsidRPr="00C50854">
        <w:rPr>
          <w:lang w:eastAsia="et-EE"/>
        </w:rPr>
        <w:t>multitorusid</w:t>
      </w:r>
      <w:proofErr w:type="spellEnd"/>
      <w:r w:rsidRPr="00C50854">
        <w:rPr>
          <w:lang w:eastAsia="et-EE"/>
        </w:rPr>
        <w:t xml:space="preserve"> võib kahjustada konkurentsi ja tekitada konkurentsiprobleeme: </w:t>
      </w:r>
    </w:p>
    <w:p w14:paraId="755FAE77" w14:textId="77777777" w:rsidR="00D67E10" w:rsidRPr="00C50854" w:rsidRDefault="00D67E10" w:rsidP="00D67E10">
      <w:pPr>
        <w:suppressAutoHyphens w:val="0"/>
        <w:autoSpaceDE w:val="0"/>
        <w:autoSpaceDN w:val="0"/>
        <w:adjustRightInd w:val="0"/>
        <w:spacing w:before="120" w:after="120"/>
        <w:ind w:left="360"/>
        <w:jc w:val="both"/>
        <w:rPr>
          <w:lang w:eastAsia="et-EE"/>
        </w:rPr>
      </w:pPr>
      <w:r w:rsidRPr="00C50854">
        <w:rPr>
          <w:lang w:eastAsia="et-EE"/>
        </w:rPr>
        <w:t>1) kui seeläbi ei saa teised sideettevõtjad keskkonnakaitse-, planeerimis- ning ehitusnõuetest tulenevate piirangute tõttu rajada paralleelset kaablikanalisatsiooni ning ei saa seega juurdepääsu mõne piirkonnale või hoonele, mistõttu saavad seal lõppkasutajad tarbida ainult Telia jaeteenuseid;</w:t>
      </w:r>
    </w:p>
    <w:p w14:paraId="72B4FB8C" w14:textId="77777777" w:rsidR="00D67E10" w:rsidRPr="00C50854" w:rsidRDefault="00D67E10" w:rsidP="00D67E10">
      <w:pPr>
        <w:suppressAutoHyphens w:val="0"/>
        <w:autoSpaceDE w:val="0"/>
        <w:autoSpaceDN w:val="0"/>
        <w:adjustRightInd w:val="0"/>
        <w:spacing w:before="120" w:after="120"/>
        <w:ind w:left="360"/>
        <w:jc w:val="both"/>
        <w:rPr>
          <w:lang w:eastAsia="et-EE"/>
        </w:rPr>
      </w:pPr>
      <w:r w:rsidRPr="00C50854">
        <w:rPr>
          <w:lang w:eastAsia="et-EE"/>
        </w:rPr>
        <w:t>2) kui mõnes piirkonnas või hoones on potentsiaalseid lõppkasutajaid niivõrd vähe, et paralleelse kaablikanalisatsiooni rajamine tõstab lõppkasutajate jaeteenuste tasud ülemäära kõrgele ja ei ole seetõttu majanduslikult teostatav, mistõttu saavad seal lõppkasutajad tarbida ainult Telia jaeteenuseid.</w:t>
      </w:r>
    </w:p>
    <w:p w14:paraId="24230E7D" w14:textId="77777777" w:rsidR="00D67E10" w:rsidRPr="00C50854" w:rsidRDefault="00D67E10" w:rsidP="00D67E10">
      <w:pPr>
        <w:suppressAutoHyphens w:val="0"/>
        <w:autoSpaceDE w:val="0"/>
        <w:autoSpaceDN w:val="0"/>
        <w:adjustRightInd w:val="0"/>
        <w:spacing w:before="120" w:after="120"/>
        <w:jc w:val="both"/>
        <w:rPr>
          <w:lang w:eastAsia="et-EE"/>
        </w:rPr>
      </w:pPr>
    </w:p>
    <w:p w14:paraId="6FEFA926"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lahendamise valikud</w:t>
      </w:r>
    </w:p>
    <w:p w14:paraId="58390B8B"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TTJA hinnangul ei ole nimetatud konkurentsiprobleemi lahendamine kohaliku juurdepääsu hulgituru juurdepääsu kohustuste raames võimalik, kuna selle raames saab kehtestada märkimisväärse turujõuga ettevõtjale juurdepääsu tingimusi olemasolevale kaablikanalisatsioonile, kuid puuduvad õiguslikud alused kehtestada nõudeid rajatava kaablikanalisatsiooni parameetritele.</w:t>
      </w:r>
    </w:p>
    <w:p w14:paraId="1F7CAD56"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TTJA hinnangul oleks eelnimetatud konkurentsiprobleemi lahendamisel kõige efektiivsem kui rajatava kaablikanalisatsiooni parameetrit kehtestatakse ehitust reguleerivate seaduste või määruste alusel. </w:t>
      </w:r>
    </w:p>
    <w:p w14:paraId="0D128DEB" w14:textId="77777777" w:rsidR="00D67E10" w:rsidRPr="00C50854" w:rsidRDefault="00D67E10" w:rsidP="00D67E10">
      <w:pPr>
        <w:suppressAutoHyphens w:val="0"/>
        <w:autoSpaceDE w:val="0"/>
        <w:autoSpaceDN w:val="0"/>
        <w:adjustRightInd w:val="0"/>
        <w:spacing w:before="120" w:after="120"/>
        <w:jc w:val="both"/>
        <w:rPr>
          <w:lang w:eastAsia="et-EE"/>
        </w:rPr>
      </w:pPr>
    </w:p>
    <w:p w14:paraId="1BDB2366" w14:textId="77777777" w:rsidR="00D67E10" w:rsidRPr="00C50854" w:rsidRDefault="00D67E10" w:rsidP="009A75FA">
      <w:pPr>
        <w:pStyle w:val="Pealkiri3"/>
        <w:rPr>
          <w:b w:val="0"/>
          <w:bCs w:val="0"/>
          <w:i/>
          <w:iCs/>
        </w:rPr>
      </w:pPr>
      <w:bookmarkStart w:id="359" w:name="_Toc39125675"/>
      <w:bookmarkStart w:id="360" w:name="_Toc42072462"/>
      <w:r w:rsidRPr="00C50854">
        <w:rPr>
          <w:b w:val="0"/>
          <w:bCs w:val="0"/>
          <w:i/>
          <w:iCs/>
        </w:rPr>
        <w:t>6.2.3.6 Telia kliendiliinile juurdepääs lõpp-punktile lähimast jaotussõlmest</w:t>
      </w:r>
      <w:bookmarkEnd w:id="359"/>
      <w:bookmarkEnd w:id="360"/>
      <w:r w:rsidRPr="00C50854">
        <w:rPr>
          <w:b w:val="0"/>
          <w:bCs w:val="0"/>
          <w:i/>
          <w:iCs/>
        </w:rPr>
        <w:t xml:space="preserve"> </w:t>
      </w:r>
    </w:p>
    <w:p w14:paraId="40E9CE48" w14:textId="77777777" w:rsidR="00D67E10" w:rsidRPr="00C50854" w:rsidRDefault="00D67E10" w:rsidP="00D67E10">
      <w:pPr>
        <w:suppressAutoHyphens w:val="0"/>
        <w:autoSpaceDE w:val="0"/>
        <w:autoSpaceDN w:val="0"/>
        <w:adjustRightInd w:val="0"/>
        <w:spacing w:before="120" w:after="120"/>
        <w:jc w:val="both"/>
        <w:rPr>
          <w:lang w:eastAsia="et-EE"/>
        </w:rPr>
      </w:pPr>
    </w:p>
    <w:p w14:paraId="649B6BE8"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Olukorra kirjeldus</w:t>
      </w:r>
    </w:p>
    <w:p w14:paraId="3987959F" w14:textId="42E2D075"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Telia võimaldab juurdepääsu oma kliendiliinidele (vaskpaar- ja valguskaabel ühendused) üldjuhul lähimast </w:t>
      </w:r>
      <w:proofErr w:type="spellStart"/>
      <w:r w:rsidRPr="00C50854">
        <w:rPr>
          <w:lang w:eastAsia="et-EE"/>
        </w:rPr>
        <w:t>peajaotajast</w:t>
      </w:r>
      <w:proofErr w:type="spellEnd"/>
      <w:r w:rsidRPr="00C50854">
        <w:rPr>
          <w:lang w:eastAsia="et-EE"/>
        </w:rPr>
        <w:t xml:space="preserve"> (vt </w:t>
      </w:r>
      <w:r w:rsidR="001213D1" w:rsidRPr="00C50854">
        <w:rPr>
          <w:lang w:eastAsia="et-EE"/>
        </w:rPr>
        <w:fldChar w:fldCharType="begin"/>
      </w:r>
      <w:r w:rsidR="001213D1" w:rsidRPr="00C50854">
        <w:rPr>
          <w:lang w:eastAsia="et-EE"/>
        </w:rPr>
        <w:instrText xml:space="preserve"> REF _Ref40785246 \h </w:instrText>
      </w:r>
      <w:r w:rsidR="00495C78" w:rsidRPr="00C50854">
        <w:rPr>
          <w:lang w:eastAsia="et-EE"/>
        </w:rPr>
        <w:instrText xml:space="preserve"> \* MERGEFORMAT </w:instrText>
      </w:r>
      <w:r w:rsidR="001213D1" w:rsidRPr="00C50854">
        <w:rPr>
          <w:lang w:eastAsia="et-EE"/>
        </w:rPr>
      </w:r>
      <w:r w:rsidR="001213D1" w:rsidRPr="00C50854">
        <w:rPr>
          <w:lang w:eastAsia="et-EE"/>
        </w:rPr>
        <w:fldChar w:fldCharType="separate"/>
      </w:r>
      <w:r w:rsidR="00697B2B" w:rsidRPr="00C50854">
        <w:t xml:space="preserve">Joonis </w:t>
      </w:r>
      <w:r w:rsidR="00697B2B" w:rsidRPr="00C50854">
        <w:rPr>
          <w:noProof/>
        </w:rPr>
        <w:t>6</w:t>
      </w:r>
      <w:r w:rsidR="001213D1" w:rsidRPr="00C50854">
        <w:rPr>
          <w:lang w:eastAsia="et-EE"/>
        </w:rPr>
        <w:fldChar w:fldCharType="end"/>
      </w:r>
      <w:r w:rsidRPr="00C50854">
        <w:rPr>
          <w:lang w:eastAsia="et-EE"/>
        </w:rPr>
        <w:t xml:space="preserve">). </w:t>
      </w:r>
    </w:p>
    <w:p w14:paraId="2183D5A5"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Turuanalüüsi küsimustike vastustes avaldasid alternatiivsed sideettevõtjad soovi, et Telia pakuks juurdepääsu ka alamkliendiliinile mõnes alama taseme vahejaotuspunktist (üldjuhul tänaval asuv jaotuskapp).</w:t>
      </w:r>
    </w:p>
    <w:p w14:paraId="59A7EF76"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Praegu kehtiva kohaliku juurdepääsu hulgituru kohustuste alusel on Telia kohustus osutada juurdepääsu ka vaskpaarist alamkliendiliinile (vt otsuse</w:t>
      </w:r>
      <w:r w:rsidRPr="00C50854">
        <w:rPr>
          <w:rStyle w:val="Allmrkuseviide"/>
          <w:lang w:eastAsia="et-EE"/>
        </w:rPr>
        <w:footnoteReference w:id="79"/>
      </w:r>
      <w:r w:rsidRPr="00C50854">
        <w:rPr>
          <w:lang w:eastAsia="et-EE"/>
        </w:rPr>
        <w:t xml:space="preserve"> punkti 260 lg 2).  Valguskaabli osas praegused kohustused ei täpsusta, kas juurdepääsu tuleb osutada kliendiliinile või ka alamkliendiliinile. </w:t>
      </w:r>
    </w:p>
    <w:p w14:paraId="1A9A5783"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Siiani puudus TTJA-l teave, et alternatiivsetel sideettevõtjatel on huvi saada juurdepääsu ka alamkliendiliinidele.</w:t>
      </w:r>
    </w:p>
    <w:p w14:paraId="2E1C07AB"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045F051D"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tuvastamine</w:t>
      </w:r>
    </w:p>
    <w:p w14:paraId="4C53E2C8"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TTJA hinnangul on oluline, et alternatiivne sideettevõtja saaks juurdepääsu ka Telia alamkliendiliinile nii vaskpaar-, kui ka valguskaabel ühenduse korral, kuna see võimaldab pakkuda lõppkasutajale kvaliteetsemaid jaeteenuseid. Mida lühem on kliendiliin seda suurem on üldjuhul kaabli läbilaskevõime, eelkõige vaskpaar kaablite korral. Seega juhul, kui Telia ei võimalda juurdepääsu alamkliendiliinile, siis on tegemist konkurentsiprobleemiga, kuna lõppkasutajate sideteenuste valik ja kvaliteet väheneb.</w:t>
      </w:r>
    </w:p>
    <w:p w14:paraId="492FE3CE" w14:textId="77777777" w:rsidR="00D67E10" w:rsidRPr="00C50854" w:rsidRDefault="00D67E10" w:rsidP="00D67E10">
      <w:pPr>
        <w:suppressAutoHyphens w:val="0"/>
        <w:autoSpaceDE w:val="0"/>
        <w:autoSpaceDN w:val="0"/>
        <w:adjustRightInd w:val="0"/>
        <w:spacing w:before="120" w:after="120"/>
        <w:jc w:val="both"/>
        <w:rPr>
          <w:lang w:eastAsia="et-EE"/>
        </w:rPr>
      </w:pPr>
    </w:p>
    <w:p w14:paraId="4D4324CF"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lahendamise valikud</w:t>
      </w:r>
    </w:p>
    <w:p w14:paraId="23E80446"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Arvestades Telia kliendiliinide madalat keskmist pikkust, siis üldjuhul puudub alternatiivsetel sideettevõtjatel alamkliendiliinile juurdepääsu vajadus. Samas juhtudel, kus alternatiivne sideettevõtja peab alamkliendiliinile juurdepääsu vajalikuks peab Telia seda ka pakkuma.</w:t>
      </w:r>
    </w:p>
    <w:p w14:paraId="16F8BA90"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TTJA hinnangul ei ole proportsionaalne kehtestada Teliale kohustust töötada välja ja rakendada üle Eesti kõikidele alamkliendiliinidele juurdepääsu osutamise tingimused. Piisab, kui Telia pakub alamkliendiliinidele juurdepääsu konkreetsetes taotletud kohtades sealsete tehniliste võimaluste alusel. </w:t>
      </w:r>
    </w:p>
    <w:p w14:paraId="5F19E494"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Eeltoodust tulenevalt leiab TTJA, et on mõistlik ja otstarbekas kehtivate juurdepääsukohustuste täiendamine punktiga, et Telia on kohustatud arendama ja pakkuma huvitatud sideettevõtja taotluse alusel ning tehniliste tingimuste olemasolul juurdepääsu vaskpaar- ja valguskaabel alamkliendiliinile kuni 1 kuu jooksul alates taotluse esitamisest. Koos tehniliste tingimustega tuleb esitada ka vastavale alamkliendiliinile juurdepääsu tasude suurus.</w:t>
      </w:r>
    </w:p>
    <w:p w14:paraId="7F62D96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Samuti on TTJA hinnangul Telia ja huvitatud sideettevõtjate vaheliste läbirääkimiste kiirendamiseks otstarbekaks täiendada läbipaistvuse kohustust </w:t>
      </w:r>
      <w:proofErr w:type="spellStart"/>
      <w:r w:rsidRPr="00C50854">
        <w:rPr>
          <w:lang w:eastAsia="et-EE"/>
        </w:rPr>
        <w:t>ptk</w:t>
      </w:r>
      <w:proofErr w:type="spellEnd"/>
      <w:r w:rsidRPr="00C50854">
        <w:rPr>
          <w:lang w:eastAsia="et-EE"/>
        </w:rPr>
        <w:t xml:space="preserve"> 6.4.4 sättega, et Telia peab avaldama huvitatud sideettevõtja taotlusel otsuse peatükis 6.2.4. "Juurdepääsu kohustuste kehtestamine“  kirjeldatud teenustega seotud andmed kuluarvestuse, tehniliste tingimuste, võrgu omaduste, teenuse osutamise tingimuste ja tasude kohta, välja arvatud juhul, kui tegemist on Telia ärisaladusega. </w:t>
      </w:r>
    </w:p>
    <w:p w14:paraId="0E3C3EBC"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TTJA hinnangul ei ole eelkirjeldatud vaskpaar- ja valguskaablile juurdepääsu osutamine huvitatud sideettevõtja taotlusel ja tehniliste tingimuste olemasolul Teliale ebamõistlikult koormav, kuna selliste taotluste arv on võrreldes Telia kogu kliendiliinile juurdepääsu taotluste arvuga väike ning sellega seotud kulud omistatakse kliendiliinile juurdepääsu kogukuludele, mida tasuvad 100% ulatuses alternatiivsed sideettevõtjad.</w:t>
      </w:r>
    </w:p>
    <w:p w14:paraId="383F69D2"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Kavandatav kohustus</w:t>
      </w:r>
    </w:p>
    <w:p w14:paraId="73CB679D" w14:textId="77777777" w:rsidR="00D67E10" w:rsidRPr="00C50854" w:rsidRDefault="00D67E10" w:rsidP="00311E1F">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Vastavalt ESS § 50 lõike 5 alusel võib TTJA sideettevõtja suhtes, kes on tunnistatud märkimisväärse turujõuga ettevõtjaks, kehtestada vastaval turul kohustuse rahuldada teise sideettevõtja mõistlik taotlus juurdepääsuks konkreetsetele võrguelementidele ja võrguga seotud vahenditele ja võimaldada nende kasutamine vastavalt käesoleva seaduse §-le 51, kui juurdepääsust keeldumine või juurdepääs ebamõistlikel tingimustel takistab konkurentsi arengut jaemüügi tasandil või on lõppkasutajate huve kahjustav.</w:t>
      </w:r>
    </w:p>
    <w:p w14:paraId="5D52F96E" w14:textId="77777777" w:rsidR="00D67E10" w:rsidRPr="00C50854" w:rsidRDefault="00D67E10" w:rsidP="00311E1F">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Vastavalt ESS § 51 lõike 1 punktile 1 võib TTJA märkimisväärse turujõuga ettevõtjalt muu hulgas nõuda sideettevõtjatele juurdepääsu võimaldamist konkreetsetele võrguelementidele või -vahenditele</w:t>
      </w:r>
    </w:p>
    <w:p w14:paraId="5337D37E" w14:textId="77777777" w:rsidR="00D67E10" w:rsidRPr="00C50854" w:rsidRDefault="00D67E10" w:rsidP="00311E1F">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Vastavalt ESS § 51 lõike 1 punktile 2 võib TTJA märkimisväärse turujõuga ettevõtjalt muu hulgas nõuda heas usus läbirääkimist sideettevõtjatega, kes nõuavad juurdepääsu.</w:t>
      </w:r>
    </w:p>
    <w:p w14:paraId="1FB95D25" w14:textId="77777777" w:rsidR="00D67E10" w:rsidRPr="00C50854" w:rsidRDefault="00D67E10" w:rsidP="00311E1F">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Vastavalt ESS § 51 lõikele 3 võib TTJA ESS § 51 lõikes 1 nimetatud kohustuse kehtestamisel täpsustada kohustuse täitmise viisi.</w:t>
      </w:r>
    </w:p>
    <w:p w14:paraId="25371C26" w14:textId="77777777" w:rsidR="00D67E10" w:rsidRPr="00C50854" w:rsidRDefault="00D67E10" w:rsidP="00311E1F">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Vastavalt ESS § 64 lõikele 1 kui TTJA on kehtestanud sideettevõtjale juurdepääsu või sidumise kohustuse kooskõlas käesoleva seaduse § 50 lõike 1 punktiga 5, on vastav sideettevõtja kohustatud sõlmima juurdepääsulepingu ja võimaldama juurdepääsu võrkudele, seadmetele või teenustele TTJA poolt antud mõistliku tähtaja jooksul, arvestades, et juurdepääsuks kohustatud sideettevõtjal võib olla vaja luua juurdepääsuks tehnilised tingimused, sealhulgas paigaldada seadmed.</w:t>
      </w:r>
    </w:p>
    <w:p w14:paraId="4E3FB120"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Eelnimetatud paragrahvide alusel kavandab TTJA kohustada Teliat pidama heas usus ja lühima võimaliku aja jooksul  läbirääkimisi huvitatud sideettevõtjatega, kes taotlevad juurdepääsu vaskpaar- ja/või valguskaabel alamkliendiliinile ning tehniliste tingimuste olemasolul osutada juurdepääsu vaskpaar- ja valguskaabel alamkliendiliinile kuni 1 kuu jooksul alates taotluse esitamisest. </w:t>
      </w:r>
      <w:bookmarkStart w:id="361" w:name="_Hlk38959117"/>
      <w:r w:rsidRPr="00C50854">
        <w:rPr>
          <w:lang w:eastAsia="et-EE"/>
        </w:rPr>
        <w:t>Koos tehniliste tingimustega tuleb esitada ka vastavale alamkliendiliinile juurdepääsu tasu suurus.</w:t>
      </w:r>
      <w:bookmarkEnd w:id="361"/>
    </w:p>
    <w:p w14:paraId="1EF47856" w14:textId="6002F808" w:rsidR="00D67E10" w:rsidRPr="00C50854" w:rsidRDefault="00D67E10" w:rsidP="009A75FA">
      <w:pPr>
        <w:pStyle w:val="Pealkiri3"/>
        <w:rPr>
          <w:b w:val="0"/>
          <w:bCs w:val="0"/>
          <w:i/>
          <w:iCs/>
        </w:rPr>
      </w:pPr>
      <w:bookmarkStart w:id="362" w:name="_Toc39125676"/>
      <w:bookmarkStart w:id="363" w:name="_Toc42072463"/>
      <w:bookmarkStart w:id="364" w:name="_Hlk39130311"/>
      <w:r w:rsidRPr="00C50854">
        <w:rPr>
          <w:b w:val="0"/>
          <w:bCs w:val="0"/>
          <w:i/>
          <w:iCs/>
        </w:rPr>
        <w:t xml:space="preserve">6.2.3.7 Kliendiliinile juurdepääsu hulgiteenuse </w:t>
      </w:r>
      <w:r w:rsidR="00F80AB2" w:rsidRPr="00C50854">
        <w:rPr>
          <w:b w:val="0"/>
          <w:bCs w:val="0"/>
          <w:i/>
          <w:iCs/>
        </w:rPr>
        <w:t xml:space="preserve">tehnoloogia </w:t>
      </w:r>
      <w:r w:rsidRPr="00C50854">
        <w:rPr>
          <w:b w:val="0"/>
          <w:bCs w:val="0"/>
          <w:i/>
          <w:iCs/>
        </w:rPr>
        <w:t>muutmi</w:t>
      </w:r>
      <w:r w:rsidR="00F80AB2" w:rsidRPr="00C50854">
        <w:rPr>
          <w:b w:val="0"/>
          <w:bCs w:val="0"/>
          <w:i/>
          <w:iCs/>
        </w:rPr>
        <w:t>n</w:t>
      </w:r>
      <w:r w:rsidRPr="00C50854">
        <w:rPr>
          <w:b w:val="0"/>
          <w:bCs w:val="0"/>
          <w:i/>
          <w:iCs/>
        </w:rPr>
        <w:t>e ja/või lõpetami</w:t>
      </w:r>
      <w:r w:rsidR="00F80AB2" w:rsidRPr="00C50854">
        <w:rPr>
          <w:b w:val="0"/>
          <w:bCs w:val="0"/>
          <w:i/>
          <w:iCs/>
        </w:rPr>
        <w:t>n</w:t>
      </w:r>
      <w:r w:rsidRPr="00C50854">
        <w:rPr>
          <w:b w:val="0"/>
          <w:bCs w:val="0"/>
          <w:i/>
          <w:iCs/>
        </w:rPr>
        <w:t>e</w:t>
      </w:r>
      <w:bookmarkEnd w:id="362"/>
      <w:bookmarkEnd w:id="363"/>
      <w:r w:rsidRPr="00C50854">
        <w:rPr>
          <w:b w:val="0"/>
          <w:bCs w:val="0"/>
          <w:i/>
          <w:iCs/>
        </w:rPr>
        <w:t xml:space="preserve"> </w:t>
      </w:r>
    </w:p>
    <w:bookmarkEnd w:id="364"/>
    <w:p w14:paraId="23B92E0C" w14:textId="77777777" w:rsidR="00D67E10" w:rsidRPr="00C50854" w:rsidRDefault="00D67E10" w:rsidP="00D67E10">
      <w:pPr>
        <w:suppressAutoHyphens w:val="0"/>
        <w:autoSpaceDE w:val="0"/>
        <w:autoSpaceDN w:val="0"/>
        <w:adjustRightInd w:val="0"/>
        <w:spacing w:before="120" w:after="120"/>
        <w:jc w:val="both"/>
        <w:rPr>
          <w:lang w:eastAsia="et-EE"/>
        </w:rPr>
      </w:pPr>
    </w:p>
    <w:p w14:paraId="12283BAF"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Olukorra kirjeldus</w:t>
      </w:r>
    </w:p>
    <w:p w14:paraId="2C865A54" w14:textId="24D3D2E2"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Turuanalüüsi küsimustiku vastustes tõid alternatiivsed sideettevõtjad ühe võimaliku konkurentsiprobleemina esile kliendiliinile juurdepääsu tehnoloogiliste tingimuste muutmisest ja/või lõpetamisest ette teatamise liiga lühikest tähtaja. Liiga lühike tähtaeg võib takistada sobiva asendusteenuste õigeaegse tellimise ja rakendamise, eelkõige tulenevalt </w:t>
      </w:r>
      <w:bookmarkStart w:id="365" w:name="_Hlk38273567"/>
      <w:r w:rsidRPr="00C50854">
        <w:rPr>
          <w:lang w:eastAsia="et-EE"/>
        </w:rPr>
        <w:t>Telia poolt võimaldatavate sidevõrgule juurdepääsu asendusteenuste tehniliste tingimuste väljastamise tähtaegade ja asendusteenuste ülemineku protseduuride pikkusest</w:t>
      </w:r>
      <w:bookmarkEnd w:id="365"/>
      <w:r w:rsidRPr="00C50854">
        <w:rPr>
          <w:lang w:eastAsia="et-EE"/>
        </w:rPr>
        <w:t>.</w:t>
      </w:r>
    </w:p>
    <w:p w14:paraId="3944135F"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Praegu kehtivas TTJA otsuses</w:t>
      </w:r>
      <w:r w:rsidRPr="00C50854">
        <w:rPr>
          <w:rStyle w:val="Allmrkuseviide"/>
          <w:lang w:eastAsia="et-EE"/>
        </w:rPr>
        <w:footnoteReference w:id="80"/>
      </w:r>
      <w:r w:rsidRPr="00C50854">
        <w:rPr>
          <w:lang w:eastAsia="et-EE"/>
        </w:rPr>
        <w:t xml:space="preserve"> on Teliale kehtestatud kohaliku juurdepääsu hulgiturul kliendiliini arendamise osas järgmised juurdepääsu ja läbipaistvuse kohustused:</w:t>
      </w:r>
    </w:p>
    <w:p w14:paraId="03A7E89A" w14:textId="77777777" w:rsidR="00D67E10" w:rsidRPr="00C50854" w:rsidRDefault="00D67E10" w:rsidP="00D67E10">
      <w:pPr>
        <w:pStyle w:val="Loendilik"/>
        <w:numPr>
          <w:ilvl w:val="0"/>
          <w:numId w:val="27"/>
        </w:numPr>
        <w:suppressAutoHyphens w:val="0"/>
        <w:autoSpaceDE w:val="0"/>
        <w:autoSpaceDN w:val="0"/>
        <w:adjustRightInd w:val="0"/>
        <w:spacing w:before="120" w:after="120"/>
        <w:jc w:val="both"/>
        <w:rPr>
          <w:lang w:eastAsia="et-EE"/>
        </w:rPr>
      </w:pPr>
      <w:r w:rsidRPr="00C50854">
        <w:rPr>
          <w:lang w:eastAsia="et-EE"/>
        </w:rPr>
        <w:t xml:space="preserve">TTJA otsuse punktis 260 (9):  </w:t>
      </w:r>
      <w:r w:rsidRPr="00C50854">
        <w:rPr>
          <w:i/>
          <w:lang w:eastAsia="et-EE"/>
        </w:rPr>
        <w:t>kui Telia vahetab vaskpaaril põhineva juurdepääsuvõrgu välja valguskaablil põhineva juurdepääsuvõrgu vastu, on Telia kohustatud pakkuma teistele sideettevõtjatele juurdepääsu väljavahetatud valguskaablil põhinevale sidevõrgule või juurdepääsu kaablikanalisatsioonile välja vahetatud vaskpaaride asemele vajalike kliendiliinide paigaldamiseks</w:t>
      </w:r>
      <w:r w:rsidRPr="00C50854">
        <w:rPr>
          <w:lang w:eastAsia="et-EE"/>
        </w:rPr>
        <w:t>;</w:t>
      </w:r>
    </w:p>
    <w:p w14:paraId="5B92FB30" w14:textId="77777777" w:rsidR="00D67E10" w:rsidRPr="00C50854" w:rsidRDefault="00D67E10" w:rsidP="00D67E10">
      <w:pPr>
        <w:pStyle w:val="Loendilik"/>
        <w:numPr>
          <w:ilvl w:val="0"/>
          <w:numId w:val="27"/>
        </w:numPr>
        <w:suppressAutoHyphens w:val="0"/>
        <w:autoSpaceDE w:val="0"/>
        <w:autoSpaceDN w:val="0"/>
        <w:adjustRightInd w:val="0"/>
        <w:spacing w:before="120" w:after="120"/>
        <w:jc w:val="both"/>
        <w:rPr>
          <w:lang w:eastAsia="et-EE"/>
        </w:rPr>
      </w:pPr>
      <w:r w:rsidRPr="00C50854">
        <w:rPr>
          <w:lang w:eastAsia="et-EE"/>
        </w:rPr>
        <w:t xml:space="preserve">TTJA otsuse punktis 285 (4): </w:t>
      </w:r>
      <w:r w:rsidRPr="00C50854">
        <w:rPr>
          <w:i/>
          <w:lang w:eastAsia="et-EE"/>
        </w:rPr>
        <w:t>kui Telia vahetab vaskpaaril põhineva juurdepääsuvõrgu välja valguskaablil põhineva juurdepääsuvõrgu vastu, on Telia kohustatud teavitama sellest teisi vastavat vaskpaaril põhinevat juurdepääsuvõrku kasutavaid sideettevõtjaid vähemalt 6 kuud ette.</w:t>
      </w:r>
    </w:p>
    <w:p w14:paraId="30BB56D3"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Telia alustas 2018 aastal oma vaskpaar kliendiliinide tehnoloogia arendamist VDSL </w:t>
      </w:r>
      <w:proofErr w:type="spellStart"/>
      <w:r w:rsidRPr="00C50854">
        <w:rPr>
          <w:i/>
          <w:iCs/>
          <w:lang w:eastAsia="et-EE"/>
        </w:rPr>
        <w:t>vectoring</w:t>
      </w:r>
      <w:proofErr w:type="spellEnd"/>
      <w:r w:rsidRPr="00C50854">
        <w:rPr>
          <w:lang w:eastAsia="et-EE"/>
        </w:rPr>
        <w:t xml:space="preserve"> tehnoloogiale. Sellega seoses pidi Telia lõpetama kliendiliinidele juurdepääsu osutamise hulgitasandil kui kliendiliinidel osutatakse andmesideteenuseid, kuna igasugune teistsuguse andmesideteenuse tehnoloogia (nt. ADSL, ADSL2) paralleelne kasutamine ei võimalda  VDSL </w:t>
      </w:r>
      <w:proofErr w:type="spellStart"/>
      <w:r w:rsidRPr="00C50854">
        <w:rPr>
          <w:i/>
          <w:iCs/>
          <w:lang w:eastAsia="et-EE"/>
        </w:rPr>
        <w:t>vectoring</w:t>
      </w:r>
      <w:proofErr w:type="spellEnd"/>
      <w:r w:rsidRPr="00C50854">
        <w:rPr>
          <w:lang w:eastAsia="et-EE"/>
        </w:rPr>
        <w:t xml:space="preserve"> tehnoloogia rakendamist. Nimetatud protsessi raames väitis sideettevõtja, kellele lõpetati kliendiliinile juurdepääsu teenuse osutamine, et kehtestatud kliendiliinile juurdepääsu teenuse lõpetamise etteteatamise tähtaeg 6 kuud on liiga lühike, et sideettevõtja leiaks endale sobivaima asendusteenuse. Samuti toodi esile ühe võimaliku konkurentsiprobleemine olukord, kus Telia lõpetab hulgitasandil kliendiliinile juurdepääsu </w:t>
      </w:r>
      <w:r w:rsidRPr="00C50854">
        <w:rPr>
          <w:lang w:eastAsia="et-EE"/>
        </w:rPr>
        <w:lastRenderedPageBreak/>
        <w:t>teenus märkimisväärselt varem, kui Telia lõpetab jaetasandil samas piirkonnas sama tehnoloogia alusel sideteenuste osutamise oma lõppkasutajatele.</w:t>
      </w:r>
    </w:p>
    <w:p w14:paraId="1DFEB632"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5475343D"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tuvastamine</w:t>
      </w:r>
    </w:p>
    <w:p w14:paraId="2F61FB40" w14:textId="6B9B9639"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Hetkel kehtiv regulatsioon kehtestab üldsõnalise kohustuse, et kui Telia vahetab vaskpaaridel põhineva juurdepääsuvõrgu valguskaablil põhineva juurdepääsuvõrgu vastu, siis peab Telia teavitama sellest vaskpaaridele juurdepääsu hulgiteenust kasutavaid sideettevõtjaid vähemalt 6 kuud ette ja pakkuma asenduseks hulgitasandi juurdepääsu valguskaablile või kaablikanalisatsioonile. TTJA analüüsis 6 kuulist etteteatamise tähtaega ja võrdles seda Telia poolt võimaldatavate sidevõrgule juurdepääsu asendusteenuste tehniliste tingimuste väljastamise tähtaegade ja asendusteenuste ülemineku protseduuride pikkusega. Üldjuhule saab vaskpaarile juurdepääsu sobivaks asendusjuurdepääsuteenuseks olla Telia pakutavad valguskaablile juurdepääs, kaablikanalisatsioonile juurdepääs või lairibale juurdepääs. Valguskaablile juurdepääsu sobivaks asendusjuurdepääsuteenuseks võib üldjuhul olla kaablikanalisatsioonile juurdepääs või lairibale juurdepääs. Nimetatud asendusteenuste tellimiste ajakava on toodud alltoodud tabelis nr </w:t>
      </w:r>
      <w:r w:rsidR="00295865" w:rsidRPr="00C50854">
        <w:rPr>
          <w:lang w:eastAsia="et-EE"/>
        </w:rPr>
        <w:fldChar w:fldCharType="begin"/>
      </w:r>
      <w:r w:rsidR="00295865" w:rsidRPr="00C50854">
        <w:rPr>
          <w:lang w:eastAsia="et-EE"/>
        </w:rPr>
        <w:instrText xml:space="preserve"> REF _Ref40785589 \h </w:instrText>
      </w:r>
      <w:r w:rsidR="00495C78" w:rsidRPr="00C50854">
        <w:rPr>
          <w:lang w:eastAsia="et-EE"/>
        </w:rPr>
        <w:instrText xml:space="preserve"> \* MERGEFORMAT </w:instrText>
      </w:r>
      <w:r w:rsidR="00295865" w:rsidRPr="00C50854">
        <w:rPr>
          <w:lang w:eastAsia="et-EE"/>
        </w:rPr>
      </w:r>
      <w:r w:rsidR="00295865" w:rsidRPr="00C50854">
        <w:rPr>
          <w:lang w:eastAsia="et-EE"/>
        </w:rPr>
        <w:fldChar w:fldCharType="separate"/>
      </w:r>
      <w:r w:rsidR="00976AEB" w:rsidRPr="00C50854">
        <w:t xml:space="preserve">Tabel </w:t>
      </w:r>
      <w:r w:rsidR="00976AEB" w:rsidRPr="00C50854">
        <w:rPr>
          <w:noProof/>
        </w:rPr>
        <w:t>24</w:t>
      </w:r>
      <w:r w:rsidR="00295865" w:rsidRPr="00C50854">
        <w:rPr>
          <w:lang w:eastAsia="et-EE"/>
        </w:rPr>
        <w:fldChar w:fldCharType="end"/>
      </w:r>
      <w:r w:rsidRPr="00C50854">
        <w:t xml:space="preserve"> ja see </w:t>
      </w:r>
      <w:r w:rsidRPr="00C50854">
        <w:rPr>
          <w:lang w:eastAsia="et-EE"/>
        </w:rPr>
        <w:t>põhineb Telia juurdepääsu teenuste eeskirjades sätestatud tehniliste tingimuste väljastamise tähtaegadel  ja alternatiivse sideettevõtja tellimise protsesside tavapärastel tähtaegadel.</w:t>
      </w:r>
    </w:p>
    <w:p w14:paraId="5CF0A016" w14:textId="77777777" w:rsidR="00D67E10" w:rsidRPr="00C50854" w:rsidRDefault="00D67E10" w:rsidP="00D67E10">
      <w:pPr>
        <w:suppressAutoHyphens w:val="0"/>
        <w:autoSpaceDE w:val="0"/>
        <w:autoSpaceDN w:val="0"/>
        <w:adjustRightInd w:val="0"/>
        <w:spacing w:before="120" w:after="120"/>
        <w:ind w:left="360"/>
        <w:jc w:val="both"/>
        <w:rPr>
          <w:lang w:eastAsia="et-EE"/>
        </w:rPr>
      </w:pPr>
      <w:r w:rsidRPr="00C50854">
        <w:rPr>
          <w:noProof/>
        </w:rPr>
        <w:drawing>
          <wp:inline distT="0" distB="0" distL="0" distR="0" wp14:anchorId="62077D92" wp14:editId="54693004">
            <wp:extent cx="5934710" cy="5749925"/>
            <wp:effectExtent l="0" t="0" r="8890" b="3175"/>
            <wp:docPr id="108" name="Pil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710" cy="5749925"/>
                    </a:xfrm>
                    <a:prstGeom prst="rect">
                      <a:avLst/>
                    </a:prstGeom>
                    <a:noFill/>
                    <a:ln>
                      <a:noFill/>
                    </a:ln>
                  </pic:spPr>
                </pic:pic>
              </a:graphicData>
            </a:graphic>
          </wp:inline>
        </w:drawing>
      </w:r>
    </w:p>
    <w:p w14:paraId="163A6408" w14:textId="748B2B83" w:rsidR="00D67E10" w:rsidRPr="00C50854" w:rsidRDefault="00D24389" w:rsidP="00D24389">
      <w:pPr>
        <w:pStyle w:val="Pealdis"/>
        <w:rPr>
          <w:b w:val="0"/>
          <w:lang w:eastAsia="et-EE"/>
        </w:rPr>
      </w:pPr>
      <w:bookmarkStart w:id="366" w:name="_Ref40785589"/>
      <w:r w:rsidRPr="00C50854">
        <w:lastRenderedPageBreak/>
        <w:t xml:space="preserve">Tabel </w:t>
      </w:r>
      <w:fldSimple w:instr=" SEQ Tabel \* ARABIC ">
        <w:r w:rsidR="00976AEB" w:rsidRPr="00C50854">
          <w:rPr>
            <w:noProof/>
          </w:rPr>
          <w:t>24</w:t>
        </w:r>
      </w:fldSimple>
      <w:bookmarkEnd w:id="366"/>
      <w:r w:rsidRPr="00C50854">
        <w:t xml:space="preserve">. </w:t>
      </w:r>
      <w:r w:rsidR="0040093D" w:rsidRPr="00C50854">
        <w:rPr>
          <w:b w:val="0"/>
          <w:bCs w:val="0"/>
        </w:rPr>
        <w:t>Sidevõrgule juurdepääsu a</w:t>
      </w:r>
      <w:r w:rsidRPr="00C50854">
        <w:rPr>
          <w:b w:val="0"/>
          <w:bCs w:val="0"/>
          <w:lang w:eastAsia="et-EE"/>
        </w:rPr>
        <w:t>sendusteenuste</w:t>
      </w:r>
      <w:r w:rsidRPr="00C50854">
        <w:rPr>
          <w:b w:val="0"/>
          <w:lang w:eastAsia="et-EE"/>
        </w:rPr>
        <w:t xml:space="preserve"> tellimiste ajakava</w:t>
      </w:r>
    </w:p>
    <w:p w14:paraId="591C39E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Vaskpaarile juurdepääsu võimaliku asendusteenuse välja selgitamise ja loomise aega on kõige pikem ja seda mõjutavad järgmised tegevuste läbi viimise ajad:</w:t>
      </w:r>
    </w:p>
    <w:p w14:paraId="2AE7540D" w14:textId="77777777" w:rsidR="00D67E10" w:rsidRPr="00C50854" w:rsidRDefault="00D67E10" w:rsidP="00D67E10">
      <w:pPr>
        <w:pStyle w:val="Loendilik"/>
        <w:numPr>
          <w:ilvl w:val="0"/>
          <w:numId w:val="31"/>
        </w:numPr>
        <w:suppressAutoHyphens w:val="0"/>
        <w:autoSpaceDE w:val="0"/>
        <w:autoSpaceDN w:val="0"/>
        <w:adjustRightInd w:val="0"/>
        <w:spacing w:before="120" w:after="120"/>
        <w:jc w:val="both"/>
        <w:rPr>
          <w:lang w:eastAsia="et-EE"/>
        </w:rPr>
      </w:pPr>
      <w:r w:rsidRPr="00C50854">
        <w:rPr>
          <w:lang w:eastAsia="et-EE"/>
        </w:rPr>
        <w:t>Alternatiivse sideettevõtja poolt oma lõppkasutaja soovide ja oma sidevõrgu tehniliste võimaluste selgitamise aeg, mille pikkus võib olla kuni 21 päeva.</w:t>
      </w:r>
    </w:p>
    <w:p w14:paraId="0790427B" w14:textId="77777777" w:rsidR="00D67E10" w:rsidRPr="00C50854" w:rsidRDefault="00D67E10" w:rsidP="00D67E10">
      <w:pPr>
        <w:pStyle w:val="Loendilik"/>
        <w:numPr>
          <w:ilvl w:val="0"/>
          <w:numId w:val="31"/>
        </w:numPr>
        <w:suppressAutoHyphens w:val="0"/>
        <w:autoSpaceDE w:val="0"/>
        <w:autoSpaceDN w:val="0"/>
        <w:adjustRightInd w:val="0"/>
        <w:spacing w:before="120" w:after="120"/>
        <w:jc w:val="both"/>
        <w:rPr>
          <w:lang w:eastAsia="et-EE"/>
        </w:rPr>
      </w:pPr>
      <w:r w:rsidRPr="00C50854">
        <w:rPr>
          <w:lang w:eastAsia="et-EE"/>
        </w:rPr>
        <w:t>Üldjuhul soovib sideettevõtja kõigepealt teada, kas Telia vaskpaarile juurdepääsu oleks võimalik asendada Telia valguskaablile juurdepääsuga. Selle juurdepääsuteenuse võimaluse välja selgitamine võib võtta aega 7 + 18 = 25 päeva ja juurdepääsu loomine 14+14 = 28 päeva. Kui selgub, et valguskaablile juurdepääs ei ole võimalik (nt vaba mahu puudumise tõttu) peab alternatiivne sideettevõtja otsima järgmisi võimalusi.</w:t>
      </w:r>
    </w:p>
    <w:p w14:paraId="44530E4C" w14:textId="77777777" w:rsidR="00D67E10" w:rsidRPr="00C50854" w:rsidRDefault="00D67E10" w:rsidP="00D67E10">
      <w:pPr>
        <w:pStyle w:val="Loendilik"/>
        <w:numPr>
          <w:ilvl w:val="0"/>
          <w:numId w:val="31"/>
        </w:numPr>
        <w:rPr>
          <w:lang w:eastAsia="et-EE"/>
        </w:rPr>
      </w:pPr>
      <w:r w:rsidRPr="00C50854">
        <w:rPr>
          <w:lang w:eastAsia="et-EE"/>
        </w:rPr>
        <w:t xml:space="preserve">Kui eeltoodud valguskaablile juurdepääs ei ole võimalik (nt vaba mahu puudumise tõttu), siis oleks järgmiseks võimalikuks asendusteenuseks Telia kaablikanalisatsioonile juurdepääs.  Selle juurdepääsuteenuse võimaluse välja selgitamine võib võtta aega 7 + 30 + 7 + 30 + 7 = 81 päeva ja juurdepääsu loomine 7+21+30+14+14 = 86 päeva. Kui selgub, et kaablikanalisatsioonile juurdepääs ei ole võimalik (nt vaba mahu puudumise tõttu) peab alternatiivne sideettevõtja otsima järgmisi võimalusi. </w:t>
      </w:r>
    </w:p>
    <w:p w14:paraId="41585A7E" w14:textId="77777777" w:rsidR="00D67E10" w:rsidRPr="00C50854" w:rsidRDefault="00D67E10" w:rsidP="00D67E10">
      <w:pPr>
        <w:pStyle w:val="Loendilik"/>
        <w:numPr>
          <w:ilvl w:val="0"/>
          <w:numId w:val="31"/>
        </w:numPr>
        <w:suppressAutoHyphens w:val="0"/>
        <w:autoSpaceDE w:val="0"/>
        <w:autoSpaceDN w:val="0"/>
        <w:adjustRightInd w:val="0"/>
        <w:spacing w:before="120" w:after="120"/>
        <w:jc w:val="both"/>
        <w:rPr>
          <w:lang w:eastAsia="et-EE"/>
        </w:rPr>
      </w:pPr>
      <w:r w:rsidRPr="00C50854">
        <w:rPr>
          <w:lang w:eastAsia="et-EE"/>
        </w:rPr>
        <w:t>Kui eeltoodud valguskaablile ja kaablikanalisatsioonile juurdepääs ei ole võimalik (nt vaba mahu puudumise tõttu), siis oleks järgmiseks võimalikuks asendusteenuseks Telia lairibale juurdepääs.</w:t>
      </w:r>
      <w:r w:rsidRPr="00C50854">
        <w:t xml:space="preserve"> </w:t>
      </w:r>
      <w:r w:rsidRPr="00C50854">
        <w:rPr>
          <w:lang w:eastAsia="et-EE"/>
        </w:rPr>
        <w:t>Selle juurdepääsuteenuse võimaluse välja selgitamine ja ühenduse loomine võib võtta maksimaalselt aega 72.</w:t>
      </w:r>
    </w:p>
    <w:p w14:paraId="7594684A" w14:textId="77777777" w:rsidR="00D67E10" w:rsidRPr="00C50854" w:rsidRDefault="00D67E10" w:rsidP="00D67E10">
      <w:pPr>
        <w:pStyle w:val="Loendilik"/>
        <w:numPr>
          <w:ilvl w:val="0"/>
          <w:numId w:val="31"/>
        </w:numPr>
        <w:suppressAutoHyphens w:val="0"/>
        <w:autoSpaceDE w:val="0"/>
        <w:autoSpaceDN w:val="0"/>
        <w:adjustRightInd w:val="0"/>
        <w:spacing w:before="120" w:after="120"/>
        <w:jc w:val="both"/>
        <w:rPr>
          <w:lang w:eastAsia="et-EE"/>
        </w:rPr>
      </w:pPr>
      <w:r w:rsidRPr="00C50854">
        <w:rPr>
          <w:lang w:eastAsia="et-EE"/>
        </w:rPr>
        <w:t>Kui sobiv asendusjuurdepääsuteenus on leitud ja loodud, siis peab alternatiivne sideettevõtja sellest teavitama ka oma lõppkasutajat ja vastava jaeteenuse aktiveerima, mis võib võtta aega 30+14 = 44 päeva.</w:t>
      </w:r>
    </w:p>
    <w:p w14:paraId="5971DAE3"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Eeltoodust tuleneb, et vaskpaarile juurdepääsu asendusteenuse välja selgitamine ja loomine võib võtta aega maksimaalselt 21+25+81+86+44 = 257 päeva ehk ca 8,5 kuud. Valguskaablile juurdepääsu asendusteenuse välja selgitamise ja loomine võib võtta aega kuni 21+167+44= 232 päeva eh ca 7,7 kuud. </w:t>
      </w:r>
    </w:p>
    <w:p w14:paraId="7FE727FA" w14:textId="27143B19"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Seega praegune 6 kuuline ette teatamise tähtaeg ei ole piisav, kuna jätab alternatiivsele sideettevõtjale vaskpaarile juurdepääsu teenuse </w:t>
      </w:r>
      <w:r w:rsidR="00F80AB2" w:rsidRPr="00C50854">
        <w:rPr>
          <w:lang w:eastAsia="et-EE"/>
        </w:rPr>
        <w:t xml:space="preserve">tehnoloogia muutmisel ja/või </w:t>
      </w:r>
      <w:r w:rsidRPr="00C50854">
        <w:rPr>
          <w:lang w:eastAsia="et-EE"/>
        </w:rPr>
        <w:t>osutami</w:t>
      </w:r>
      <w:r w:rsidR="00F80AB2" w:rsidRPr="00C50854">
        <w:rPr>
          <w:lang w:eastAsia="et-EE"/>
        </w:rPr>
        <w:t>s</w:t>
      </w:r>
      <w:r w:rsidRPr="00C50854">
        <w:rPr>
          <w:lang w:eastAsia="et-EE"/>
        </w:rPr>
        <w:t xml:space="preserve">e lõpetamisel ca 2,5 kuud ja valguskaablile juurdepääsu teenuse </w:t>
      </w:r>
      <w:r w:rsidR="00F80AB2" w:rsidRPr="00C50854">
        <w:rPr>
          <w:lang w:eastAsia="et-EE"/>
        </w:rPr>
        <w:t xml:space="preserve">tehnoloogia muutmisel ja/või </w:t>
      </w:r>
      <w:r w:rsidRPr="00C50854">
        <w:rPr>
          <w:lang w:eastAsia="et-EE"/>
        </w:rPr>
        <w:t>osutamise</w:t>
      </w:r>
      <w:r w:rsidR="00F80AB2" w:rsidRPr="00C50854">
        <w:rPr>
          <w:lang w:eastAsia="et-EE"/>
        </w:rPr>
        <w:t xml:space="preserve"> </w:t>
      </w:r>
      <w:r w:rsidRPr="00C50854">
        <w:rPr>
          <w:lang w:eastAsia="et-EE"/>
        </w:rPr>
        <w:t>l</w:t>
      </w:r>
      <w:r w:rsidR="00F80AB2" w:rsidRPr="00C50854">
        <w:rPr>
          <w:lang w:eastAsia="et-EE"/>
        </w:rPr>
        <w:t>õpetamisel</w:t>
      </w:r>
      <w:r w:rsidRPr="00C50854">
        <w:rPr>
          <w:lang w:eastAsia="et-EE"/>
        </w:rPr>
        <w:t xml:space="preserve"> ca 1,7 kuud  vähem aega oma lõppkasutajani uue ühenduse tehnilise lahenduse välja selgitamiseks ja loomiseks, kui Telia ja alternatiivse sideettevõtja vastavatele tegevustele tegelikkuses võib kuluda (8,5 kuud ja 7,7 kuud). </w:t>
      </w:r>
    </w:p>
    <w:p w14:paraId="61F5A924"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Liiga väike ette teatamise tähtaeg võib viia teiste sideettevõtjate turult välja tõrjumiseni, kuna liialt lühikese aja tõttu ei ole teised sideettevõtjad võimelised leidma hulgitasandil majanduslikult mõistliku ja otstarbekat tehnilist lahendust lõppkasutajale sideteenuse jätkamiseks. Kui teised sideettevõtjad seetõttu lõppkasutajale sideteenuste osutamisest loobuvad, saab üldjuhul lõppkasutajale uueks sideteenuse pakkujaks Telia, kes ainukesena omab antud piirkonnas sidevõrku. See aga vähendab konkurentsi sideteenuste jaeturul.</w:t>
      </w:r>
    </w:p>
    <w:p w14:paraId="2866A5B8"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Tegemist on peamiselt juurdepääsuga seotud konkurentsiprobleemiga, kuna tehnilise lahenduse välja selgitamiseks jäetud lühikese tähtaja kaudu piiratakse hulgitasandil alternatiivsete sideettevõtjate juurdepääsu Telia sidevõrgule.</w:t>
      </w:r>
    </w:p>
    <w:p w14:paraId="04F03CF1" w14:textId="7052C412"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367" w:name="_Hlk39049170"/>
      <w:bookmarkStart w:id="368" w:name="_Hlk39049723"/>
      <w:r w:rsidRPr="00C50854">
        <w:rPr>
          <w:lang w:eastAsia="et-EE"/>
        </w:rPr>
        <w:t xml:space="preserve">Samas võib kliendiliinile juurdepääsu lõpetamisel esineda ka diskrimineerimisega seotud konkurentsiprobleeme. Näiteks kui Telia muudab mõnes piirkonnas oma kliendiliinide tehnoloogiat ja/või lõpetab kliendiliinide pakkumise ning teeb seda hulgitasandil alternatiivsetele sideettevõtjatele märkimisväärselt varem kui oma lõppkasutajatele. See tõstab teiste sideettevõtjate </w:t>
      </w:r>
      <w:proofErr w:type="spellStart"/>
      <w:r w:rsidRPr="00C50854">
        <w:rPr>
          <w:lang w:eastAsia="et-EE"/>
        </w:rPr>
        <w:t>hulgikulusid</w:t>
      </w:r>
      <w:proofErr w:type="spellEnd"/>
      <w:r w:rsidRPr="00C50854">
        <w:rPr>
          <w:lang w:eastAsia="et-EE"/>
        </w:rPr>
        <w:t xml:space="preserve"> võrreldes Teliaga, sest nad peavad hakkama tasuma uuel tehnoloogial põhineva asendusteenuse põhiseid </w:t>
      </w:r>
      <w:proofErr w:type="spellStart"/>
      <w:r w:rsidRPr="00C50854">
        <w:rPr>
          <w:lang w:eastAsia="et-EE"/>
        </w:rPr>
        <w:t>hulgikulusid</w:t>
      </w:r>
      <w:proofErr w:type="spellEnd"/>
      <w:r w:rsidRPr="00C50854">
        <w:rPr>
          <w:lang w:eastAsia="et-EE"/>
        </w:rPr>
        <w:t xml:space="preserve"> ehk kuutasusid (mis on üldjuhul </w:t>
      </w:r>
      <w:r w:rsidRPr="00C50854">
        <w:rPr>
          <w:lang w:eastAsia="et-EE"/>
        </w:rPr>
        <w:lastRenderedPageBreak/>
        <w:t xml:space="preserve">kõrgemad, kui olemasoleva tehnoloogia vastavad tasud) varem, kui Telia ise. Täpsemalt käsitletakse seda diskrimineerimisega soetud konkurentsiprobleemide peatükkis </w:t>
      </w:r>
      <w:bookmarkEnd w:id="367"/>
      <w:r w:rsidRPr="00C50854">
        <w:rPr>
          <w:lang w:eastAsia="et-EE"/>
        </w:rPr>
        <w:t xml:space="preserve">6.3.3.1 </w:t>
      </w:r>
      <w:bookmarkEnd w:id="368"/>
      <w:r w:rsidRPr="00C50854">
        <w:rPr>
          <w:lang w:eastAsia="et-EE"/>
        </w:rPr>
        <w:t xml:space="preserve">. </w:t>
      </w:r>
    </w:p>
    <w:p w14:paraId="0F5EACC4" w14:textId="77777777" w:rsidR="00D67E10" w:rsidRPr="00C50854" w:rsidRDefault="00D67E10" w:rsidP="00D67E10">
      <w:pPr>
        <w:suppressAutoHyphens w:val="0"/>
        <w:autoSpaceDE w:val="0"/>
        <w:autoSpaceDN w:val="0"/>
        <w:adjustRightInd w:val="0"/>
        <w:spacing w:before="120" w:after="120"/>
        <w:jc w:val="both"/>
        <w:rPr>
          <w:lang w:eastAsia="et-EE"/>
        </w:rPr>
      </w:pPr>
    </w:p>
    <w:p w14:paraId="3E168C0F" w14:textId="77777777" w:rsidR="00D67E10" w:rsidRPr="00C50854" w:rsidRDefault="00D67E10" w:rsidP="00D67E10">
      <w:pPr>
        <w:suppressAutoHyphens w:val="0"/>
        <w:autoSpaceDE w:val="0"/>
        <w:autoSpaceDN w:val="0"/>
        <w:adjustRightInd w:val="0"/>
        <w:spacing w:before="120" w:after="120"/>
        <w:jc w:val="both"/>
        <w:rPr>
          <w:lang w:eastAsia="et-EE"/>
        </w:rPr>
      </w:pPr>
    </w:p>
    <w:p w14:paraId="0207DF6A"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lahendamise valikud</w:t>
      </w:r>
    </w:p>
    <w:p w14:paraId="03128F52"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Selleks, et tagada teiste sideettevõtjatele võimalused jaetasandi sideteenuste jätkamiseks pärast Telia sidevõrgu arenguga kaasneva hulgitasandil kliendiliinile juurdepääsu teenuste tingimuste muutmist ja/või lõpetamist, tuleks muuta praegust kliendiliinile juurdepääsu tingimuste muutmise ja lõpetamise etteteatamise tähtaega pikemaks.</w:t>
      </w:r>
    </w:p>
    <w:p w14:paraId="7A10FDE7" w14:textId="5499B429" w:rsidR="00D67E10" w:rsidRPr="00C50854" w:rsidRDefault="00B93C65" w:rsidP="00311E1F">
      <w:pPr>
        <w:numPr>
          <w:ilvl w:val="0"/>
          <w:numId w:val="13"/>
        </w:numPr>
        <w:suppressAutoHyphens w:val="0"/>
        <w:autoSpaceDE w:val="0"/>
        <w:autoSpaceDN w:val="0"/>
        <w:adjustRightInd w:val="0"/>
        <w:spacing w:before="120" w:after="120"/>
        <w:jc w:val="both"/>
        <w:rPr>
          <w:lang w:eastAsia="et-EE"/>
        </w:rPr>
      </w:pPr>
      <w:r w:rsidRPr="00C50854">
        <w:rPr>
          <w:lang w:eastAsia="et-EE"/>
        </w:rPr>
        <w:t>Tabel 24 alusel</w:t>
      </w:r>
      <w:r w:rsidR="00D67E10" w:rsidRPr="00C50854">
        <w:rPr>
          <w:lang w:eastAsia="et-EE"/>
        </w:rPr>
        <w:t xml:space="preserve"> </w:t>
      </w:r>
      <w:r w:rsidRPr="00C50854">
        <w:rPr>
          <w:lang w:eastAsia="et-EE"/>
        </w:rPr>
        <w:t>koostatud</w:t>
      </w:r>
      <w:r w:rsidR="00D67E10" w:rsidRPr="00C50854">
        <w:rPr>
          <w:lang w:eastAsia="et-EE"/>
        </w:rPr>
        <w:t xml:space="preserve"> kliendiliinile juurdepääsu lõpetamise etteteatamise tähtaja analüüsist selgus, et kõige pikem aeg lõppkasutajani uue ühenduse tehnilise lahenduse välja selgitamiseks ja loomiseks on 8,5 kuud juhul. Samas vaskpaarile juurdepääsu lõpetamisel esinev kõige pikema asendusteenuse välja selgitamise ja loomise aja tegelikkuses esinemise tõenäosus ei ole väga kõrge, kuna üldjuhul leitakse sobiv asendusteenus juba valguskaablile juurdepääsu või kaablikanalisatsioonile juurdepääsu aluse ning puudub vajadus selgitada välja lairibale juurdepääsu tingimusi. Seetõttu on TTJA hinnangu piisav kliendiliinile juurdepääsu lõpetamise tähtaeg 8 kuud. </w:t>
      </w:r>
    </w:p>
    <w:p w14:paraId="78E971D5" w14:textId="179FB0DA" w:rsidR="00D67E10" w:rsidRPr="00C50854" w:rsidRDefault="00D67E10" w:rsidP="00311E1F">
      <w:pPr>
        <w:numPr>
          <w:ilvl w:val="0"/>
          <w:numId w:val="13"/>
        </w:numPr>
        <w:suppressAutoHyphens w:val="0"/>
        <w:autoSpaceDE w:val="0"/>
        <w:autoSpaceDN w:val="0"/>
        <w:adjustRightInd w:val="0"/>
        <w:spacing w:before="120" w:after="120"/>
        <w:jc w:val="both"/>
        <w:rPr>
          <w:i/>
          <w:lang w:eastAsia="et-EE"/>
        </w:rPr>
      </w:pPr>
      <w:r w:rsidRPr="00C50854">
        <w:rPr>
          <w:lang w:eastAsia="et-EE"/>
        </w:rPr>
        <w:t xml:space="preserve">Turuanalüüsi küsimustikele vastates tegi Telia ettepaneku, et </w:t>
      </w:r>
      <w:r w:rsidR="00AF3E4B" w:rsidRPr="00C50854">
        <w:rPr>
          <w:lang w:eastAsia="et-EE"/>
        </w:rPr>
        <w:t>...*</w:t>
      </w:r>
    </w:p>
    <w:p w14:paraId="2EC0F8BC" w14:textId="3B48D401" w:rsidR="00D67E10" w:rsidRPr="00C50854" w:rsidRDefault="00D67E10" w:rsidP="00311E1F">
      <w:pPr>
        <w:numPr>
          <w:ilvl w:val="0"/>
          <w:numId w:val="13"/>
        </w:numPr>
        <w:suppressAutoHyphens w:val="0"/>
        <w:autoSpaceDE w:val="0"/>
        <w:autoSpaceDN w:val="0"/>
        <w:adjustRightInd w:val="0"/>
        <w:spacing w:before="120" w:after="120"/>
        <w:jc w:val="both"/>
        <w:rPr>
          <w:i/>
          <w:lang w:eastAsia="et-EE"/>
        </w:rPr>
      </w:pPr>
      <w:r w:rsidRPr="00C50854">
        <w:rPr>
          <w:lang w:eastAsia="et-EE"/>
        </w:rPr>
        <w:t xml:space="preserve">TTJA leiab, et Telia pakutud kliendiliinile juurdepääsu teenuse lõpetamise etteteatamise tähtajad ei ole mõistlikud, kuna need jätavad sideettevõtjale, kellele võrgu arenduse tõttu hulgitasandi juurdepääsu teenuse osutamine lõpetatakse, liiga vähe aega oma lõppkasutajani uue ühenduse tehnilise lahenduse välja selgitamiseks ja loomiseks, et jätkata oma lõppkasutajale sideteenuste osutamist (vt </w:t>
      </w:r>
      <w:r w:rsidR="00B93C65" w:rsidRPr="00C50854">
        <w:rPr>
          <w:lang w:eastAsia="et-EE"/>
        </w:rPr>
        <w:t xml:space="preserve">Tabel 24 </w:t>
      </w:r>
      <w:r w:rsidRPr="00C50854">
        <w:rPr>
          <w:lang w:eastAsia="et-EE"/>
        </w:rPr>
        <w:t xml:space="preserve">analüüsi). </w:t>
      </w:r>
    </w:p>
    <w:p w14:paraId="3C12FD9E" w14:textId="2B8FA1E5" w:rsidR="00D67E10" w:rsidRPr="00C50854" w:rsidRDefault="00D67E10" w:rsidP="00311E1F">
      <w:pPr>
        <w:numPr>
          <w:ilvl w:val="0"/>
          <w:numId w:val="13"/>
        </w:numPr>
        <w:suppressAutoHyphens w:val="0"/>
        <w:autoSpaceDE w:val="0"/>
        <w:autoSpaceDN w:val="0"/>
        <w:adjustRightInd w:val="0"/>
        <w:spacing w:before="120" w:after="120"/>
        <w:jc w:val="both"/>
        <w:rPr>
          <w:i/>
          <w:lang w:eastAsia="et-EE"/>
        </w:rPr>
      </w:pPr>
      <w:r w:rsidRPr="00C50854">
        <w:rPr>
          <w:lang w:eastAsia="et-EE"/>
        </w:rPr>
        <w:t xml:space="preserve">TTJA hinnangul ei ole eelkirjeldatud kliendiliinile juurdepääsu tingimuste muutmise ja/või lõpetamise etteteatamise tähtaja pikendamine 8 kuule praeguse 6 kuu asemel Teliale ebamõistlikult koormav, kuna sellega ei kaasne Teliale täiendavaid tegevusi ega kulusid. </w:t>
      </w:r>
    </w:p>
    <w:p w14:paraId="4042A58F" w14:textId="3FF15F63" w:rsidR="00F70E1C" w:rsidRPr="00C50854" w:rsidRDefault="00F70E1C" w:rsidP="00311E1F">
      <w:pPr>
        <w:numPr>
          <w:ilvl w:val="0"/>
          <w:numId w:val="13"/>
        </w:numPr>
        <w:suppressAutoHyphens w:val="0"/>
        <w:autoSpaceDE w:val="0"/>
        <w:autoSpaceDN w:val="0"/>
        <w:adjustRightInd w:val="0"/>
        <w:spacing w:before="120" w:after="120"/>
        <w:jc w:val="both"/>
        <w:rPr>
          <w:i/>
          <w:lang w:eastAsia="et-EE"/>
        </w:rPr>
      </w:pPr>
      <w:r w:rsidRPr="00C50854">
        <w:rPr>
          <w:lang w:eastAsia="et-EE"/>
        </w:rPr>
        <w:t xml:space="preserve">Kui Telia on rakendanud </w:t>
      </w:r>
      <w:bookmarkStart w:id="369" w:name="_Hlk41035199"/>
      <w:r w:rsidRPr="00C50854">
        <w:rPr>
          <w:lang w:eastAsia="et-EE"/>
        </w:rPr>
        <w:t xml:space="preserve">peatükis </w:t>
      </w:r>
      <w:r w:rsidR="00127FD5" w:rsidRPr="00C50854">
        <w:rPr>
          <w:lang w:eastAsia="et-EE"/>
        </w:rPr>
        <w:fldChar w:fldCharType="begin"/>
      </w:r>
      <w:r w:rsidR="00127FD5" w:rsidRPr="00C50854">
        <w:rPr>
          <w:lang w:eastAsia="et-EE"/>
        </w:rPr>
        <w:instrText xml:space="preserve"> REF _Ref41035135 \h  \* MERGEFORMAT </w:instrText>
      </w:r>
      <w:r w:rsidR="00127FD5" w:rsidRPr="00C50854">
        <w:rPr>
          <w:lang w:eastAsia="et-EE"/>
        </w:rPr>
      </w:r>
      <w:r w:rsidR="00127FD5" w:rsidRPr="00C50854">
        <w:rPr>
          <w:lang w:eastAsia="et-EE"/>
        </w:rPr>
        <w:fldChar w:fldCharType="separate"/>
      </w:r>
      <w:r w:rsidR="00127FD5" w:rsidRPr="00C50854">
        <w:rPr>
          <w:lang w:eastAsia="et-EE"/>
        </w:rPr>
        <w:t xml:space="preserve">6.2.3.1 </w:t>
      </w:r>
      <w:r w:rsidR="00127FD5" w:rsidRPr="00C50854">
        <w:rPr>
          <w:lang w:eastAsia="et-EE"/>
        </w:rPr>
        <w:fldChar w:fldCharType="end"/>
      </w:r>
      <w:bookmarkEnd w:id="369"/>
      <w:r w:rsidR="009D64E9" w:rsidRPr="00C50854">
        <w:rPr>
          <w:lang w:eastAsia="et-EE"/>
        </w:rPr>
        <w:t xml:space="preserve"> käsitletud</w:t>
      </w:r>
      <w:r w:rsidRPr="00C50854">
        <w:rPr>
          <w:lang w:eastAsia="et-EE"/>
        </w:rPr>
        <w:t xml:space="preserve"> digitaalsele alusplaanile juurdepääsu ja seeläbi lühenevad märkimisväärselt Telia eeskirjades sätestatud kohaliku juurdepääsu hulgituru teenustele juurdepääsu võimaldamise tähtajad, siis võib Telia esitada TTJA-</w:t>
      </w:r>
      <w:proofErr w:type="spellStart"/>
      <w:r w:rsidRPr="00C50854">
        <w:rPr>
          <w:lang w:eastAsia="et-EE"/>
        </w:rPr>
        <w:t>le</w:t>
      </w:r>
      <w:proofErr w:type="spellEnd"/>
      <w:r w:rsidRPr="00C50854">
        <w:rPr>
          <w:lang w:eastAsia="et-EE"/>
        </w:rPr>
        <w:t xml:space="preserve"> avalduse lühendamaks kliendiliinile juurdepääsu tingimuste muutmise ja/või lõpetamise etteteatamise tähtaja kohustust. </w:t>
      </w:r>
      <w:r w:rsidR="009D64E9" w:rsidRPr="00C50854">
        <w:rPr>
          <w:lang w:eastAsia="et-EE"/>
        </w:rPr>
        <w:t>Seejärel võib TTJA vajadusel otsustada lühendada nimetatud etteteatamise tähtaega, viies eelnevalt läbi ESS § 152 sätestatud konsulteerimise.</w:t>
      </w:r>
    </w:p>
    <w:p w14:paraId="3F986E84" w14:textId="77777777" w:rsidR="00D67E10" w:rsidRPr="00C50854" w:rsidRDefault="00D67E10" w:rsidP="00D67E10">
      <w:pPr>
        <w:suppressAutoHyphens w:val="0"/>
        <w:autoSpaceDE w:val="0"/>
        <w:autoSpaceDN w:val="0"/>
        <w:adjustRightInd w:val="0"/>
        <w:spacing w:before="120" w:after="120"/>
        <w:ind w:left="360"/>
        <w:jc w:val="both"/>
        <w:rPr>
          <w:i/>
          <w:lang w:eastAsia="et-EE"/>
        </w:rPr>
      </w:pPr>
    </w:p>
    <w:p w14:paraId="55D488CE"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Kavandatav kohustus</w:t>
      </w:r>
    </w:p>
    <w:p w14:paraId="55913248"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370" w:name="_Hlk39052629"/>
      <w:bookmarkStart w:id="371" w:name="_Hlk38608742"/>
      <w:r w:rsidRPr="00C50854">
        <w:rPr>
          <w:lang w:eastAsia="et-EE"/>
        </w:rPr>
        <w:t xml:space="preserve">Vastavalt ESS § 50 </w:t>
      </w:r>
      <w:bookmarkEnd w:id="370"/>
      <w:r w:rsidRPr="00C50854">
        <w:rPr>
          <w:lang w:eastAsia="et-EE"/>
        </w:rPr>
        <w:t>lõike 5 alusel võib Tarbijakaitse ja Tehnilise Järelevalve Amet sideettevõtja suhtes, kes on tunnistatud märkimisväärse turujõuga ettevõtjaks, kehtestada vastaval turul kohustuse rahuldada teise sideettevõtja mõistlik taotlus juurdepääsuks konkreetsetele võrguelementidele ja võrguga seotud vahenditele ja võimaldada nende kasutamine vastavalt käesoleva seaduse §-le 51, kui juurdepääsust keeldumine või juurdepääs ebamõistlikel tingimustel takistab konkurentsi arengut jaemüügi tasandil või on lõppkasutajate huve kahjustav.</w:t>
      </w:r>
    </w:p>
    <w:p w14:paraId="3E42E021"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Vastavalt ESS § 51 lõike 1 punktile 3 võib Tarbijakaitse ja Tehnilise Järelevalve Amet märkimisväärse turujõuga ettevõtjalt muu hulgas nõuda lubatud juurdepääsu jätkuvat võimaldamist.</w:t>
      </w:r>
    </w:p>
    <w:p w14:paraId="269D2203"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Vastavalt ESS § 51 lõikele 3 võib Tarbijakaitse ja Tehnilise Järelevalve Amet ESS § 51 lõikes 1 nimetatud kohustuse kehtestamisel täpsustada kohustuse täitmise viisi.</w:t>
      </w:r>
    </w:p>
    <w:p w14:paraId="752EA6A0" w14:textId="50C10F0E"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372" w:name="_Hlk39150289"/>
      <w:bookmarkEnd w:id="371"/>
      <w:r w:rsidRPr="00C50854">
        <w:rPr>
          <w:lang w:eastAsia="et-EE"/>
        </w:rPr>
        <w:lastRenderedPageBreak/>
        <w:t xml:space="preserve">Eelnimetatud paragrahvide alusel kavandab TTJA kohustada Teliat </w:t>
      </w:r>
      <w:bookmarkEnd w:id="372"/>
      <w:r w:rsidRPr="00C50854">
        <w:rPr>
          <w:lang w:eastAsia="et-EE"/>
        </w:rPr>
        <w:t xml:space="preserve">iga kasutuses olevat kliendiliinile juurdepääsu hulgiteenust jätkuvalt osutada ja iga nimetatud hulgiteenuse </w:t>
      </w:r>
      <w:r w:rsidR="00F80AB2" w:rsidRPr="00C50854">
        <w:rPr>
          <w:lang w:eastAsia="et-EE"/>
        </w:rPr>
        <w:t xml:space="preserve">tehnoloogiliste </w:t>
      </w:r>
      <w:r w:rsidRPr="00C50854">
        <w:rPr>
          <w:lang w:eastAsia="et-EE"/>
        </w:rPr>
        <w:t>tingimuste muutmisest ja/või lõpetamisest teavitada (lõpp-punkti aadressi täpsusega) vastava hulgiteenuse kasutajat vähemalt 8 kuud ette ning pakkuda lühima võimaliku aja jooksul olemasolevaid asendusteenuseid koos asendusteenustele vajalike ülemineku protseduuridega.</w:t>
      </w:r>
    </w:p>
    <w:p w14:paraId="19BB4AA7" w14:textId="2E107DE8" w:rsidR="00D67E10" w:rsidRPr="00C50854" w:rsidRDefault="00D67E10" w:rsidP="00D67E10">
      <w:pPr>
        <w:suppressAutoHyphens w:val="0"/>
        <w:autoSpaceDE w:val="0"/>
        <w:autoSpaceDN w:val="0"/>
        <w:adjustRightInd w:val="0"/>
        <w:spacing w:before="120" w:after="120"/>
        <w:jc w:val="both"/>
        <w:rPr>
          <w:lang w:eastAsia="et-EE"/>
        </w:rPr>
      </w:pPr>
    </w:p>
    <w:p w14:paraId="49BB0612" w14:textId="77777777" w:rsidR="003E0617" w:rsidRPr="00C50854" w:rsidRDefault="003E0617" w:rsidP="00D67E10">
      <w:pPr>
        <w:suppressAutoHyphens w:val="0"/>
        <w:autoSpaceDE w:val="0"/>
        <w:autoSpaceDN w:val="0"/>
        <w:adjustRightInd w:val="0"/>
        <w:spacing w:before="120" w:after="120"/>
        <w:jc w:val="both"/>
        <w:rPr>
          <w:lang w:eastAsia="et-EE"/>
        </w:rPr>
      </w:pPr>
    </w:p>
    <w:p w14:paraId="412BAC54" w14:textId="77777777" w:rsidR="00D67E10" w:rsidRPr="00C50854" w:rsidRDefault="00D67E10" w:rsidP="009A75FA">
      <w:pPr>
        <w:pStyle w:val="Pealkiri3"/>
        <w:rPr>
          <w:b w:val="0"/>
          <w:bCs w:val="0"/>
          <w:i/>
          <w:iCs/>
        </w:rPr>
      </w:pPr>
      <w:bookmarkStart w:id="373" w:name="_Toc42072464"/>
      <w:r w:rsidRPr="00C50854">
        <w:rPr>
          <w:b w:val="0"/>
          <w:bCs w:val="0"/>
          <w:i/>
          <w:iCs/>
        </w:rPr>
        <w:t>6.2.3.8 Kliendiliinile juurdepääsu tehniliste tingimiste väljastamise ja võimaldamise tähtajad</w:t>
      </w:r>
      <w:bookmarkEnd w:id="373"/>
      <w:r w:rsidRPr="00C50854">
        <w:rPr>
          <w:b w:val="0"/>
          <w:bCs w:val="0"/>
          <w:i/>
          <w:iCs/>
        </w:rPr>
        <w:t xml:space="preserve"> </w:t>
      </w:r>
    </w:p>
    <w:p w14:paraId="437EED2E" w14:textId="77777777" w:rsidR="00D67E10" w:rsidRPr="00C50854" w:rsidRDefault="00D67E10" w:rsidP="00D67E10">
      <w:pPr>
        <w:suppressAutoHyphens w:val="0"/>
        <w:autoSpaceDE w:val="0"/>
        <w:autoSpaceDN w:val="0"/>
        <w:adjustRightInd w:val="0"/>
        <w:spacing w:before="120" w:after="120"/>
        <w:jc w:val="both"/>
        <w:rPr>
          <w:lang w:eastAsia="et-EE"/>
        </w:rPr>
      </w:pPr>
    </w:p>
    <w:p w14:paraId="775DCF4E"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Olukorra kirjeldus</w:t>
      </w:r>
    </w:p>
    <w:p w14:paraId="64E6DC1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Telia vaskpaarkaabli rendi eeskirja</w:t>
      </w:r>
      <w:r w:rsidRPr="00C50854">
        <w:rPr>
          <w:rStyle w:val="Allmrkuseviide"/>
          <w:lang w:eastAsia="et-EE"/>
        </w:rPr>
        <w:footnoteReference w:id="81"/>
      </w:r>
      <w:r w:rsidRPr="00C50854">
        <w:rPr>
          <w:lang w:eastAsia="et-EE"/>
        </w:rPr>
        <w:t xml:space="preserve"> punkt 3.3 ja 3.8 alusel on vaskpaarkaabel kliendiliinile juurdepääsu tehniliste tingimuste väljastamise tähtaeg kuni 7 tööpäeva Tallinna piires ja 14 tööpäeva väljaspool Tallinna ning tehniliste tingimuste olemasolul juurdepääsu võimaldamise tähtaeg kuni 10 tööpäeva. </w:t>
      </w:r>
    </w:p>
    <w:p w14:paraId="0797639D"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Telia valguskaabli teenustingimuste</w:t>
      </w:r>
      <w:r w:rsidRPr="00C50854">
        <w:rPr>
          <w:rStyle w:val="Allmrkuseviide"/>
          <w:lang w:eastAsia="et-EE"/>
        </w:rPr>
        <w:footnoteReference w:id="82"/>
      </w:r>
      <w:r w:rsidRPr="00C50854">
        <w:rPr>
          <w:lang w:eastAsia="et-EE"/>
        </w:rPr>
        <w:t xml:space="preserve"> punkt 2.2 ja 2.6 alusel on valguskaabel kliendiliinile juurdepääsu tehniliste tingimuste väljastamise tähtaeg kuni 7 tööpäeva Tallinna piires ja 14 tööpäeva väljaspool Tallinna ning tehniliste tingimuste olemasolul juurdepääsu võimaldamise tähtaeg kuni 10 tööpäeva.</w:t>
      </w:r>
    </w:p>
    <w:p w14:paraId="55D5230C" w14:textId="77777777" w:rsidR="00D67E10" w:rsidRPr="00C50854" w:rsidRDefault="00D67E10" w:rsidP="00D67E10">
      <w:pPr>
        <w:suppressAutoHyphens w:val="0"/>
        <w:autoSpaceDE w:val="0"/>
        <w:autoSpaceDN w:val="0"/>
        <w:adjustRightInd w:val="0"/>
        <w:spacing w:before="120" w:after="120"/>
        <w:jc w:val="both"/>
        <w:rPr>
          <w:lang w:eastAsia="et-EE"/>
        </w:rPr>
      </w:pPr>
    </w:p>
    <w:p w14:paraId="6CAE7938"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tuvastamine</w:t>
      </w:r>
    </w:p>
    <w:p w14:paraId="7C6D4ED4" w14:textId="62FD9DB0"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Kliendiliinile juurdepääsu tähtaeg on alternatiivsetele sideettevõtjatel oluline eeltingimus oma sidevõrgu ja sideteenuste arendamisel ning pakkumisel. See mõjutab oluliselt lõppkasutajatele pakutavate jaeteenuste kättesaadavuse kiirust. Alternatiivsetel sideettevõtjatel on takistatud konkureerimine sideteenuste jaeteenuste osas, kui tellitud jaeteenuste võimaldamise tähtajad on liiga pikad. Liiga pika juurdepääsu tehniliste tingimuste väljastamise ja juurdepääsu võimaldamise tähtaja korral on tegemist juurdepääsu viivitamisega seotud konkurentsiprobleemiga.</w:t>
      </w:r>
    </w:p>
    <w:p w14:paraId="08761407" w14:textId="77777777" w:rsidR="00D67E10" w:rsidRPr="00C50854" w:rsidRDefault="00D67E10" w:rsidP="00D67E10">
      <w:pPr>
        <w:suppressAutoHyphens w:val="0"/>
        <w:autoSpaceDE w:val="0"/>
        <w:autoSpaceDN w:val="0"/>
        <w:adjustRightInd w:val="0"/>
        <w:spacing w:before="120" w:after="120"/>
        <w:jc w:val="both"/>
        <w:rPr>
          <w:lang w:eastAsia="et-EE"/>
        </w:rPr>
      </w:pPr>
    </w:p>
    <w:p w14:paraId="34EB1182"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lahendamise valikud</w:t>
      </w:r>
    </w:p>
    <w:p w14:paraId="390B6E36"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Turuanalüüsi küsimustike vastustest selgus, et Telia keskmine tehniliste tingimuste väljastamise aeg oli kliendiliinidel juurdepääsul hulgitasandil ajavahemikul 2016-2019 keskmiselt 5 päeva. Seega on Telia eeskirjades märgitud kliendiliinile tehniliste tingimuste väljastamise aeg 7 – 14 tööpäeva ehk 9 – 28 kalendripäeva oluliselt pikem kui vastavate tehniliste tingimuste väljastamise keskmine aeg 5 päeva.</w:t>
      </w:r>
    </w:p>
    <w:p w14:paraId="068FDA1F"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Nii kliendiliinile juurdepääsu tehniliste tingimuste väljastamise aeg 7 – 14 tööpäeva ehk 9 – 28 kalendripäeva kui ka juurdepääsu võimaldamine pärast tehniliste tingimuste väljastamise aeg 10 tööpäeva ehk 12 kalendripäeva on kehtinud juba vähemalt kohaliku juurdepääsu hulgituru regulatsiooni algusest</w:t>
      </w:r>
      <w:r w:rsidRPr="00C50854">
        <w:rPr>
          <w:rStyle w:val="Allmrkuseviide"/>
          <w:lang w:eastAsia="et-EE"/>
        </w:rPr>
        <w:footnoteReference w:id="83"/>
      </w:r>
      <w:r w:rsidRPr="00C50854">
        <w:rPr>
          <w:lang w:eastAsia="et-EE"/>
        </w:rPr>
        <w:t xml:space="preserve"> ehk 2007 aastast. Seega on praegused tähtajad on kehtinud juba vähemalt  13 aastat. Arvestades infotehnoloogia arengut ja Telia kui efektiivse ning kasumliku äriettevõtte eesmärki optimeerida teenuste tellimise protsesse on vähe tõenäoline, </w:t>
      </w:r>
      <w:r w:rsidRPr="00C50854">
        <w:rPr>
          <w:lang w:eastAsia="et-EE"/>
        </w:rPr>
        <w:lastRenderedPageBreak/>
        <w:t xml:space="preserve">et endiselt võtavad tehniliste tingimuste välja selgitamine ning juurdepääsu võimaldamine sama palju aega, kui 13 aastat tagasi. </w:t>
      </w:r>
    </w:p>
    <w:p w14:paraId="57AF9C32"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Eeltoodust tulenevalt ja kuna tehniliste tingimuste väljastamise ja juurdepääsu võimaldamise tähtaeg on alternatiivsetele sideettevõtjatele olulise tähtsusega jaetasandil lõppkasutajatele sideteenuste osutamiseks, siis on TTJA hinnangul otstarbekas vähendada nimetatud tähtaegasid, ka Telia eeskirjades. </w:t>
      </w:r>
    </w:p>
    <w:p w14:paraId="07080834"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TTJA peab mõistlikuks kehtestada uueks </w:t>
      </w:r>
      <w:bookmarkStart w:id="374" w:name="_Hlk39150368"/>
      <w:r w:rsidRPr="00C50854">
        <w:rPr>
          <w:lang w:eastAsia="et-EE"/>
        </w:rPr>
        <w:t>kliendiliinile juurdepääsu tehniliste tingimuste väljastamise tähtajaks kuni 7 kalendripäeva kogu Eestis ning juurdepääsu võimaldamise tähtajajaks samuti 7 kalendripäeva kogu Eestis</w:t>
      </w:r>
      <w:bookmarkEnd w:id="374"/>
      <w:r w:rsidRPr="00C50854">
        <w:rPr>
          <w:lang w:eastAsia="et-EE"/>
        </w:rPr>
        <w:t>.</w:t>
      </w:r>
    </w:p>
    <w:p w14:paraId="5A2F64CB" w14:textId="3BCD367D"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TTJA hinnangul ei ole nimetatud tähtaegade lühendamine Teliale ebamõistlikult koormav, kuna selliste taotluste arv, mille korral võivad nimetatud tähtajad olla liiga lühikesed, on võrreldes Telia kliendiliinidele juurdepääsu taotluste kogu arvuga jae- ja hulgitasandil väike ning sellega seotud kulud omistatakse kliendiliinile juurdepääsu kogukuludele, mida tasuvad 100% ulatuses alternatiivsed sideettevõtjad.</w:t>
      </w:r>
    </w:p>
    <w:p w14:paraId="4AB02D2E" w14:textId="5EB077ED" w:rsidR="009D64E9" w:rsidRPr="00C50854" w:rsidRDefault="009D64E9"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Samuti </w:t>
      </w:r>
      <w:r w:rsidR="00127FD5" w:rsidRPr="00C50854">
        <w:rPr>
          <w:lang w:eastAsia="et-EE"/>
        </w:rPr>
        <w:t xml:space="preserve">hõlbustab ja </w:t>
      </w:r>
      <w:r w:rsidRPr="00C50854">
        <w:rPr>
          <w:lang w:eastAsia="et-EE"/>
        </w:rPr>
        <w:t>aitab nimetatud tähtaegade lühendamis</w:t>
      </w:r>
      <w:r w:rsidR="00127FD5" w:rsidRPr="00C50854">
        <w:rPr>
          <w:lang w:eastAsia="et-EE"/>
        </w:rPr>
        <w:t xml:space="preserve"> rakendada</w:t>
      </w:r>
      <w:r w:rsidRPr="00C50854">
        <w:rPr>
          <w:lang w:eastAsia="et-EE"/>
        </w:rPr>
        <w:t xml:space="preserve"> </w:t>
      </w:r>
      <w:r w:rsidR="00127FD5" w:rsidRPr="00C50854">
        <w:rPr>
          <w:lang w:eastAsia="et-EE"/>
        </w:rPr>
        <w:t xml:space="preserve">peatükis </w:t>
      </w:r>
      <w:r w:rsidR="00127FD5" w:rsidRPr="00C50854">
        <w:rPr>
          <w:lang w:eastAsia="et-EE"/>
        </w:rPr>
        <w:fldChar w:fldCharType="begin"/>
      </w:r>
      <w:r w:rsidR="00127FD5" w:rsidRPr="00C50854">
        <w:rPr>
          <w:lang w:eastAsia="et-EE"/>
        </w:rPr>
        <w:instrText xml:space="preserve"> REF _Ref41035135 \h  \* MERGEFORMAT </w:instrText>
      </w:r>
      <w:r w:rsidR="00127FD5" w:rsidRPr="00C50854">
        <w:rPr>
          <w:lang w:eastAsia="et-EE"/>
        </w:rPr>
      </w:r>
      <w:r w:rsidR="00127FD5" w:rsidRPr="00C50854">
        <w:rPr>
          <w:lang w:eastAsia="et-EE"/>
        </w:rPr>
        <w:fldChar w:fldCharType="separate"/>
      </w:r>
      <w:r w:rsidR="00127FD5" w:rsidRPr="00C50854">
        <w:rPr>
          <w:lang w:eastAsia="et-EE"/>
        </w:rPr>
        <w:t xml:space="preserve">6.2.3.1 </w:t>
      </w:r>
      <w:r w:rsidR="00127FD5" w:rsidRPr="00C50854">
        <w:rPr>
          <w:lang w:eastAsia="et-EE"/>
        </w:rPr>
        <w:fldChar w:fldCharType="end"/>
      </w:r>
      <w:r w:rsidR="00127FD5" w:rsidRPr="00C50854">
        <w:rPr>
          <w:lang w:eastAsia="et-EE"/>
        </w:rPr>
        <w:t xml:space="preserve">käsitletud digitaalsele alusplaanile juurdepääsu rakendamine, mis kiirendab alternatiivsete sideettevõtjate võimalusi saada vajalikku teavet juurdepääsu teenuste tellimisel. </w:t>
      </w:r>
    </w:p>
    <w:p w14:paraId="2BEB44FF" w14:textId="77777777" w:rsidR="00D67E10" w:rsidRPr="00C50854" w:rsidRDefault="00D67E10" w:rsidP="00D67E10">
      <w:pPr>
        <w:suppressAutoHyphens w:val="0"/>
        <w:autoSpaceDE w:val="0"/>
        <w:autoSpaceDN w:val="0"/>
        <w:adjustRightInd w:val="0"/>
        <w:spacing w:before="120" w:after="120"/>
        <w:jc w:val="both"/>
        <w:rPr>
          <w:lang w:eastAsia="et-EE"/>
        </w:rPr>
      </w:pPr>
    </w:p>
    <w:p w14:paraId="7BC2A42E"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Kavandatav kohustus</w:t>
      </w:r>
    </w:p>
    <w:p w14:paraId="752165BB" w14:textId="77777777" w:rsidR="00D67E10" w:rsidRPr="00C50854" w:rsidRDefault="00D67E10" w:rsidP="00311E1F">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Vastavalt ESS § 50 lõike 5 alusel võib TTJA sideettevõtja suhtes, kes on tunnistatud märkimisväärse turujõuga ettevõtjaks, kehtestada vastaval turul kohustuse rahuldada teise sideettevõtja mõistlik taotlus juurdepääsuks konkreetsetele võrguelementidele ja võrguga seotud vahenditele ja võimaldada nende kasutamine vastavalt käesoleva seaduse §-le 51, kui juurdepääsust keeldumine või juurdepääs ebamõistlikel tingimustel takistab konkurentsi arengut jaemüügi tasandil või on lõppkasutajate huve kahjustav.</w:t>
      </w:r>
    </w:p>
    <w:p w14:paraId="1D489BDD" w14:textId="77777777" w:rsidR="00D67E10" w:rsidRPr="00C50854" w:rsidRDefault="00D67E10" w:rsidP="00311E1F">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Vastavalt ESS § 51 lõike 1 punktile 1 võib TTJA märkimisväärse turujõuga ettevõtjalt muu hulgas nõuda sideettevõtjatele juurdepääsu võimaldamist konkreetsetele võrguelementidele või -vahenditele</w:t>
      </w:r>
    </w:p>
    <w:p w14:paraId="05903A8A" w14:textId="77777777" w:rsidR="00D67E10" w:rsidRPr="00C50854" w:rsidRDefault="00D67E10" w:rsidP="00311E1F">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Vastavalt ESS § 51 lõike 1 punktile 2 võib TTJA märkimisväärse turujõuga ettevõtjalt muu hulgas nõuda heas usus läbirääkimist sideettevõtjatega, kes nõuavad juurdepääsu.</w:t>
      </w:r>
    </w:p>
    <w:p w14:paraId="09227E07" w14:textId="77777777" w:rsidR="00D67E10" w:rsidRPr="00C50854" w:rsidRDefault="00D67E10" w:rsidP="00311E1F">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Vastavalt ESS § 51 lõikele 3 võib TTJA ESS § 51 lõikes 1 nimetatud kohustuse kehtestamisel täpsustada kohustuse täitmise viisi.</w:t>
      </w:r>
    </w:p>
    <w:p w14:paraId="0B49875F" w14:textId="77777777" w:rsidR="00D67E10" w:rsidRPr="00C50854" w:rsidRDefault="00D67E10" w:rsidP="00311E1F">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Vastavalt ESS § 64 lõikele 1 kui TTJA on kehtestanud sideettevõtjale juurdepääsu või sidumise kohustuse kooskõlas käesoleva seaduse § 50 lõike 1 punktiga 5, on vastav sideettevõtja kohustatud sõlmima juurdepääsulepingu ja võimaldama juurdepääsu võrkudele, seadmetele või teenustele TTJA poolt antud mõistliku tähtaja jooksul, arvestades, et juurdepääsuks kohustatud sideettevõtjal võib olla vaja luua juurdepääsuks tehnilised tingimused, sealhulgas paigaldada seadmed.</w:t>
      </w:r>
    </w:p>
    <w:p w14:paraId="1EDAFD2A" w14:textId="08524C2F"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Eelnimetatud paragrahvide alusel kavandab TTJA kohustada Teliat taotluse korral väljastama vaskpaar- ja valguskaabel kliendiliinile juurdepääsu tehniliste tingimusi kuni 7 kalendripäeva jooksul kogu Eestis ning pärast tehniliste tingimuste väljastamist võimaldada taotluse korral nimetatud kliendiliinidele juurdepääsu kuni 7 kalendripäeva jooksul kogu Eestis.</w:t>
      </w:r>
    </w:p>
    <w:p w14:paraId="5841530E" w14:textId="77777777" w:rsidR="00FB6A3C" w:rsidRPr="00C50854" w:rsidRDefault="00FB6A3C" w:rsidP="00FB6A3C">
      <w:pPr>
        <w:suppressAutoHyphens w:val="0"/>
        <w:autoSpaceDE w:val="0"/>
        <w:autoSpaceDN w:val="0"/>
        <w:adjustRightInd w:val="0"/>
        <w:spacing w:before="120" w:after="120"/>
        <w:ind w:left="360"/>
        <w:jc w:val="both"/>
        <w:rPr>
          <w:lang w:eastAsia="et-EE"/>
        </w:rPr>
      </w:pPr>
    </w:p>
    <w:p w14:paraId="522EE9D5" w14:textId="171AB846" w:rsidR="00D67E10" w:rsidRPr="00C50854" w:rsidRDefault="00D67E10" w:rsidP="00D67E10">
      <w:pPr>
        <w:pStyle w:val="Pealkiri3"/>
        <w:rPr>
          <w:i/>
        </w:rPr>
      </w:pPr>
      <w:bookmarkStart w:id="375" w:name="_Ref210025269"/>
      <w:bookmarkStart w:id="376" w:name="_Toc212974433"/>
      <w:bookmarkStart w:id="377" w:name="_Toc213122161"/>
      <w:bookmarkStart w:id="378" w:name="_Toc213140782"/>
      <w:bookmarkStart w:id="379" w:name="_Toc215466507"/>
      <w:bookmarkStart w:id="380" w:name="_Toc216228060"/>
      <w:bookmarkStart w:id="381" w:name="_Toc457983654"/>
      <w:bookmarkStart w:id="382" w:name="_Toc464639361"/>
      <w:bookmarkStart w:id="383" w:name="_Ref465257396"/>
      <w:bookmarkStart w:id="384" w:name="_Ref465257402"/>
      <w:bookmarkStart w:id="385" w:name="_Ref465257407"/>
      <w:bookmarkStart w:id="386" w:name="_Ref465421258"/>
      <w:bookmarkStart w:id="387" w:name="_Ref465421719"/>
      <w:bookmarkStart w:id="388" w:name="_Ref465421762"/>
      <w:bookmarkStart w:id="389" w:name="_Ref465422180"/>
      <w:bookmarkStart w:id="390" w:name="_Toc39125677"/>
      <w:bookmarkStart w:id="391" w:name="_Toc42072465"/>
      <w:r w:rsidRPr="00C50854">
        <w:rPr>
          <w:i/>
        </w:rPr>
        <w:t xml:space="preserve">6.2.4. </w:t>
      </w:r>
      <w:bookmarkEnd w:id="375"/>
      <w:bookmarkEnd w:id="376"/>
      <w:bookmarkEnd w:id="377"/>
      <w:bookmarkEnd w:id="378"/>
      <w:bookmarkEnd w:id="379"/>
      <w:bookmarkEnd w:id="380"/>
      <w:r w:rsidRPr="00C50854">
        <w:rPr>
          <w:i/>
        </w:rPr>
        <w:t>Juurdepääsu kohustuste kehtestamine</w:t>
      </w:r>
      <w:bookmarkEnd w:id="381"/>
      <w:bookmarkEnd w:id="382"/>
      <w:bookmarkEnd w:id="383"/>
      <w:bookmarkEnd w:id="384"/>
      <w:bookmarkEnd w:id="385"/>
      <w:bookmarkEnd w:id="386"/>
      <w:bookmarkEnd w:id="387"/>
      <w:bookmarkEnd w:id="388"/>
      <w:bookmarkEnd w:id="389"/>
      <w:bookmarkEnd w:id="390"/>
      <w:bookmarkEnd w:id="391"/>
    </w:p>
    <w:p w14:paraId="42224A58" w14:textId="77777777" w:rsidR="00D42590" w:rsidRPr="00C50854" w:rsidRDefault="00D42590" w:rsidP="00FB6A3C"/>
    <w:p w14:paraId="771C00A9" w14:textId="631545C4" w:rsidR="00FB6A3C" w:rsidRPr="00C50854" w:rsidRDefault="002A637E" w:rsidP="00D42590">
      <w:pPr>
        <w:numPr>
          <w:ilvl w:val="0"/>
          <w:numId w:val="13"/>
        </w:numPr>
        <w:suppressAutoHyphens w:val="0"/>
        <w:autoSpaceDE w:val="0"/>
        <w:autoSpaceDN w:val="0"/>
        <w:adjustRightInd w:val="0"/>
        <w:spacing w:before="120" w:after="120"/>
        <w:jc w:val="both"/>
      </w:pPr>
      <w:r w:rsidRPr="00C50854">
        <w:lastRenderedPageBreak/>
        <w:t xml:space="preserve">Selleks, et paremini välja tuua muudatusi võrreldes praegu kehtivate kohustustega on </w:t>
      </w:r>
      <w:r w:rsidR="00D42590" w:rsidRPr="00C50854">
        <w:t>käesolevas peatükis</w:t>
      </w:r>
      <w:r w:rsidRPr="00C50854">
        <w:t xml:space="preserve"> muudatused esitatud </w:t>
      </w:r>
      <w:r w:rsidRPr="00C50854">
        <w:rPr>
          <w:i/>
          <w:iCs/>
        </w:rPr>
        <w:t>kursiivis</w:t>
      </w:r>
      <w:r w:rsidRPr="00C50854">
        <w:t>.</w:t>
      </w:r>
    </w:p>
    <w:p w14:paraId="134F899B" w14:textId="77777777" w:rsidR="002A637E" w:rsidRPr="00C50854" w:rsidRDefault="002A637E" w:rsidP="00FB6A3C"/>
    <w:p w14:paraId="37CEE457" w14:textId="10FEE284" w:rsidR="00FB6A3C" w:rsidRPr="00C50854" w:rsidRDefault="00FB6A3C" w:rsidP="009A75FA">
      <w:pPr>
        <w:pStyle w:val="Pealkiri3"/>
        <w:rPr>
          <w:b w:val="0"/>
          <w:bCs w:val="0"/>
          <w:i/>
          <w:iCs/>
        </w:rPr>
      </w:pPr>
      <w:bookmarkStart w:id="392" w:name="_Toc42072466"/>
      <w:r w:rsidRPr="00C50854">
        <w:rPr>
          <w:b w:val="0"/>
          <w:bCs w:val="0"/>
          <w:i/>
          <w:iCs/>
        </w:rPr>
        <w:t>6.2.4.1 Juurdepääsu kohustuste kehtestamine Telia sidevõrgu digitaalsele alusplaanile</w:t>
      </w:r>
      <w:bookmarkEnd w:id="392"/>
    </w:p>
    <w:p w14:paraId="1BBD6357" w14:textId="77777777" w:rsidR="00FB6A3C" w:rsidRPr="00C50854" w:rsidRDefault="00FB6A3C" w:rsidP="00FB6A3C"/>
    <w:p w14:paraId="6CCD6558" w14:textId="77777777" w:rsidR="00D67E10" w:rsidRPr="00C50854" w:rsidRDefault="00D67E10" w:rsidP="00311E1F">
      <w:pPr>
        <w:numPr>
          <w:ilvl w:val="0"/>
          <w:numId w:val="13"/>
        </w:numPr>
        <w:suppressAutoHyphens w:val="0"/>
        <w:autoSpaceDE w:val="0"/>
        <w:autoSpaceDN w:val="0"/>
        <w:adjustRightInd w:val="0"/>
        <w:spacing w:before="120" w:after="120"/>
        <w:jc w:val="both"/>
        <w:rPr>
          <w:i/>
          <w:iCs/>
          <w:lang w:eastAsia="et-EE"/>
        </w:rPr>
      </w:pPr>
      <w:r w:rsidRPr="00C50854">
        <w:rPr>
          <w:i/>
          <w:iCs/>
          <w:lang w:eastAsia="et-EE"/>
        </w:rPr>
        <w:t xml:space="preserve">Kohaliku juurdepääsu hulgiturul on juurdepääsu kohustused jaotatud: vaskpaaridele juurdepääsuks, valguskaablitele juurdepääsuks ja kaablikanalisatsioonile juurdepääsuks. Nimetatud juurdepääsu teenuste tõhusaks ja kiireks tellimiseks on oluliseks vahendiks juurdepääs Telia sidevõrgu digitaalsele alusplaanile. </w:t>
      </w:r>
    </w:p>
    <w:p w14:paraId="1EB5E06D" w14:textId="7ACECDBF" w:rsidR="00D67E10" w:rsidRPr="00C50854" w:rsidRDefault="00D67E10" w:rsidP="00311E1F">
      <w:pPr>
        <w:numPr>
          <w:ilvl w:val="0"/>
          <w:numId w:val="13"/>
        </w:numPr>
        <w:suppressAutoHyphens w:val="0"/>
        <w:autoSpaceDE w:val="0"/>
        <w:autoSpaceDN w:val="0"/>
        <w:adjustRightInd w:val="0"/>
        <w:spacing w:before="120" w:after="120"/>
        <w:jc w:val="both"/>
        <w:rPr>
          <w:i/>
          <w:iCs/>
          <w:lang w:eastAsia="et-EE"/>
        </w:rPr>
      </w:pPr>
      <w:r w:rsidRPr="00C50854">
        <w:rPr>
          <w:i/>
          <w:iCs/>
          <w:lang w:eastAsia="et-EE"/>
        </w:rPr>
        <w:t>TTJA kavandab kliendiliinile ja kaablikanalisatsioonile juurdepääsuga viivitamise ja diskrimineerimisega seotud konkurentsiprobleemide</w:t>
      </w:r>
      <w:r w:rsidR="00B93C65" w:rsidRPr="00C50854">
        <w:rPr>
          <w:i/>
          <w:iCs/>
          <w:lang w:eastAsia="et-EE"/>
        </w:rPr>
        <w:t xml:space="preserve"> (vt täpsemalt </w:t>
      </w:r>
      <w:proofErr w:type="spellStart"/>
      <w:r w:rsidR="00B93C65" w:rsidRPr="00C50854">
        <w:rPr>
          <w:i/>
          <w:iCs/>
          <w:lang w:eastAsia="et-EE"/>
        </w:rPr>
        <w:t>ptk</w:t>
      </w:r>
      <w:proofErr w:type="spellEnd"/>
      <w:r w:rsidR="00B93C65" w:rsidRPr="00C50854">
        <w:rPr>
          <w:i/>
          <w:iCs/>
          <w:lang w:eastAsia="et-EE"/>
        </w:rPr>
        <w:t xml:space="preserve"> 6.2.3.1)</w:t>
      </w:r>
      <w:r w:rsidRPr="00C50854">
        <w:rPr>
          <w:i/>
          <w:iCs/>
          <w:lang w:eastAsia="et-EE"/>
        </w:rPr>
        <w:t xml:space="preserve"> vältimiseks kohustada</w:t>
      </w:r>
      <w:r w:rsidRPr="00C50854">
        <w:rPr>
          <w:rStyle w:val="Allmrkuseviide"/>
          <w:i/>
          <w:iCs/>
          <w:lang w:eastAsia="et-EE"/>
        </w:rPr>
        <w:footnoteReference w:id="84"/>
      </w:r>
      <w:r w:rsidRPr="00C50854">
        <w:rPr>
          <w:i/>
          <w:iCs/>
          <w:lang w:eastAsia="et-EE"/>
        </w:rPr>
        <w:t xml:space="preserve"> Teliat järgmiseks:</w:t>
      </w:r>
    </w:p>
    <w:p w14:paraId="426F6806" w14:textId="77777777" w:rsidR="00D67E10" w:rsidRPr="00C50854" w:rsidRDefault="00D67E10" w:rsidP="00D67E10">
      <w:pPr>
        <w:pStyle w:val="Loendilik"/>
        <w:numPr>
          <w:ilvl w:val="0"/>
          <w:numId w:val="32"/>
        </w:numPr>
        <w:suppressAutoHyphens w:val="0"/>
        <w:autoSpaceDE w:val="0"/>
        <w:autoSpaceDN w:val="0"/>
        <w:adjustRightInd w:val="0"/>
        <w:spacing w:before="120" w:after="120"/>
        <w:ind w:left="924" w:hanging="357"/>
        <w:jc w:val="both"/>
        <w:rPr>
          <w:i/>
          <w:iCs/>
          <w:lang w:eastAsia="et-EE"/>
        </w:rPr>
      </w:pPr>
      <w:r w:rsidRPr="00C50854">
        <w:rPr>
          <w:i/>
          <w:iCs/>
          <w:lang w:eastAsia="et-EE"/>
        </w:rPr>
        <w:t>Telia peab osutama huvitatud sideettevõtjatele elektroonilist juurdepääsu oma sidevõrgu digitaalsele alusplaanile viisil, mis võimaldab tuvastada Telia kliendiliinide ja kaablikanalisatsiooni geograafiline ulatuse (sh sidevõrgule juurdepääsu võimaldavate jaamade aadresside, lõpp-punktide aadressid, lõpp-punktile lähimate jaotuskappide ja jaamade aadressid, mille kaudu on võimalik saada juurdepääsu kliendiliinidele ning kaablikaevude aadressid) ja vaba mahu olemasolu (sh kaablikanalisatsioonis kaevude vahel, hoonesse sisenevates kaablikanalisatsioonides, kliendiliinide osas). Telial on õigus piirata teiste sideettevõtjate elektroonilist juurdepääsu Telia ja teiste sideettevõtjate ärisaladustele (nt lõpp-punkte kasutavate klientide nimed, kliendiliinide arv ja kaablikanalisatsioonide arv).</w:t>
      </w:r>
    </w:p>
    <w:p w14:paraId="46F69162" w14:textId="1B54A7A8" w:rsidR="00D67E10" w:rsidRPr="00C50854" w:rsidRDefault="00D67E10" w:rsidP="00D67E10">
      <w:pPr>
        <w:pStyle w:val="Loendilik"/>
        <w:numPr>
          <w:ilvl w:val="0"/>
          <w:numId w:val="32"/>
        </w:numPr>
        <w:suppressAutoHyphens w:val="0"/>
        <w:autoSpaceDE w:val="0"/>
        <w:autoSpaceDN w:val="0"/>
        <w:adjustRightInd w:val="0"/>
        <w:spacing w:before="120" w:after="120"/>
        <w:ind w:left="924" w:hanging="357"/>
        <w:jc w:val="both"/>
        <w:rPr>
          <w:i/>
          <w:iCs/>
          <w:lang w:eastAsia="et-EE"/>
        </w:rPr>
      </w:pPr>
      <w:r w:rsidRPr="00C50854">
        <w:rPr>
          <w:i/>
          <w:iCs/>
          <w:lang w:eastAsia="et-EE"/>
        </w:rPr>
        <w:t>Telia peab enne oma sidevõrgu digitaalsele alusplaanile elektroonilist juurdepääsu liidese rajamist esitama vastava liidese tehnilise lahenduse, selle rajamise ja opereerimise kulud ning hinnad TTJA-</w:t>
      </w:r>
      <w:proofErr w:type="spellStart"/>
      <w:r w:rsidRPr="00C50854">
        <w:rPr>
          <w:i/>
          <w:iCs/>
          <w:lang w:eastAsia="et-EE"/>
        </w:rPr>
        <w:t>le</w:t>
      </w:r>
      <w:proofErr w:type="spellEnd"/>
      <w:r w:rsidRPr="00C50854">
        <w:rPr>
          <w:i/>
          <w:iCs/>
          <w:lang w:eastAsia="et-EE"/>
        </w:rPr>
        <w:t xml:space="preserve"> analüüsimiseks hiljemalt 2 kuud pärast käesoleva otsuse jõustumist. Telia võib vastava juurdepääsu liidese rajada alles pärast TTJA poolset tehnilise lahenduse, kulude ja hindade analüüsi ning otsust. TTJA rakendab otsuse osas ESS § 152 sätestatud konsulteerimiskohustust. Kui TTJA analüüsi tulemus näitab, et juurdepääsu liidese tehniline lahendus ei ole efektiivne ja/või Telia arvestatud kulud ning hinnad ei ole arvestatud vastavalt hinnakohustuse peatükis 6.5.4 sätestatud meetodile, siis võib TTJA teha vastava ettekirjutuse tehnilise lahenduse ja/või kulude ning hinna arvestuse muutmiseks. Telia peab rajama oma sidevõrgu digitaalsele alusplaanile elektroonilist juurdepääsu liidese hiljemalt 4 kuud pärast eelnimetatud TTJA otsust.</w:t>
      </w:r>
    </w:p>
    <w:p w14:paraId="7C344952" w14:textId="77777777" w:rsidR="00D67E10" w:rsidRPr="00C50854" w:rsidRDefault="00D67E10" w:rsidP="00D67E10">
      <w:pPr>
        <w:suppressAutoHyphens w:val="0"/>
        <w:autoSpaceDE w:val="0"/>
        <w:autoSpaceDN w:val="0"/>
        <w:adjustRightInd w:val="0"/>
        <w:spacing w:before="120" w:after="120"/>
        <w:jc w:val="both"/>
        <w:rPr>
          <w:color w:val="0070C0"/>
          <w:lang w:eastAsia="et-EE"/>
        </w:rPr>
      </w:pPr>
    </w:p>
    <w:p w14:paraId="7CEDBE21" w14:textId="1DB06184" w:rsidR="00D67E10" w:rsidRPr="00C50854" w:rsidRDefault="00D67E10" w:rsidP="009A75FA">
      <w:pPr>
        <w:pStyle w:val="Pealkiri3"/>
        <w:rPr>
          <w:b w:val="0"/>
          <w:bCs w:val="0"/>
          <w:i/>
          <w:iCs/>
        </w:rPr>
      </w:pPr>
      <w:bookmarkStart w:id="393" w:name="_Toc39125678"/>
      <w:bookmarkStart w:id="394" w:name="_Toc42072467"/>
      <w:bookmarkStart w:id="395" w:name="_Hlk38964844"/>
      <w:r w:rsidRPr="00C50854">
        <w:rPr>
          <w:b w:val="0"/>
          <w:bCs w:val="0"/>
          <w:i/>
          <w:iCs/>
        </w:rPr>
        <w:t>6.2.4.</w:t>
      </w:r>
      <w:r w:rsidR="00FB6A3C" w:rsidRPr="00C50854">
        <w:rPr>
          <w:b w:val="0"/>
          <w:bCs w:val="0"/>
          <w:i/>
          <w:iCs/>
        </w:rPr>
        <w:t>2</w:t>
      </w:r>
      <w:r w:rsidRPr="00C50854">
        <w:rPr>
          <w:b w:val="0"/>
          <w:bCs w:val="0"/>
          <w:i/>
          <w:iCs/>
        </w:rPr>
        <w:t xml:space="preserve"> Juurdepääsu kohustuste kehtestamine vaskpaar- ja valguskaabel kliendiliinile ja alamkliendiliinile</w:t>
      </w:r>
      <w:bookmarkEnd w:id="393"/>
      <w:bookmarkEnd w:id="394"/>
    </w:p>
    <w:bookmarkEnd w:id="395"/>
    <w:p w14:paraId="47A3F531" w14:textId="77777777" w:rsidR="00D67E10" w:rsidRPr="00C50854" w:rsidRDefault="00D67E10" w:rsidP="00D67E10">
      <w:pPr>
        <w:suppressAutoHyphens w:val="0"/>
        <w:autoSpaceDE w:val="0"/>
        <w:autoSpaceDN w:val="0"/>
        <w:adjustRightInd w:val="0"/>
        <w:spacing w:before="120" w:after="120"/>
        <w:jc w:val="both"/>
        <w:rPr>
          <w:lang w:eastAsia="et-EE"/>
        </w:rPr>
      </w:pPr>
    </w:p>
    <w:p w14:paraId="780246B8" w14:textId="59EB9D98"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u w:val="single"/>
          <w:lang w:eastAsia="et-EE"/>
        </w:rPr>
        <w:t xml:space="preserve">Vaskpaar- </w:t>
      </w:r>
      <w:r w:rsidRPr="00C50854">
        <w:rPr>
          <w:i/>
          <w:iCs/>
          <w:u w:val="single"/>
          <w:lang w:eastAsia="et-EE"/>
        </w:rPr>
        <w:t>ja valguskaablile</w:t>
      </w:r>
      <w:r w:rsidRPr="00C50854">
        <w:rPr>
          <w:u w:val="single"/>
          <w:lang w:eastAsia="et-EE"/>
        </w:rPr>
        <w:t xml:space="preserve"> juurdepääsu</w:t>
      </w:r>
      <w:r w:rsidRPr="00C50854">
        <w:rPr>
          <w:lang w:eastAsia="et-EE"/>
        </w:rPr>
        <w:t xml:space="preserve"> osas (vt </w:t>
      </w:r>
      <w:r w:rsidR="00172373" w:rsidRPr="00C50854">
        <w:rPr>
          <w:lang w:eastAsia="et-EE"/>
        </w:rPr>
        <w:fldChar w:fldCharType="begin"/>
      </w:r>
      <w:r w:rsidR="00172373" w:rsidRPr="00C50854">
        <w:rPr>
          <w:lang w:eastAsia="et-EE"/>
        </w:rPr>
        <w:instrText xml:space="preserve"> REF _Ref42071423 \h </w:instrText>
      </w:r>
      <w:r w:rsidR="00C50854">
        <w:rPr>
          <w:lang w:eastAsia="et-EE"/>
        </w:rPr>
        <w:instrText xml:space="preserve"> \* MERGEFORMAT </w:instrText>
      </w:r>
      <w:r w:rsidR="00172373" w:rsidRPr="00C50854">
        <w:rPr>
          <w:lang w:eastAsia="et-EE"/>
        </w:rPr>
      </w:r>
      <w:r w:rsidR="00172373" w:rsidRPr="00C50854">
        <w:rPr>
          <w:lang w:eastAsia="et-EE"/>
        </w:rPr>
        <w:fldChar w:fldCharType="separate"/>
      </w:r>
      <w:r w:rsidR="00697B2B" w:rsidRPr="00C50854">
        <w:t xml:space="preserve">Joonis </w:t>
      </w:r>
      <w:r w:rsidR="00697B2B" w:rsidRPr="00C50854">
        <w:rPr>
          <w:noProof/>
        </w:rPr>
        <w:t>11</w:t>
      </w:r>
      <w:r w:rsidR="00172373" w:rsidRPr="00C50854">
        <w:rPr>
          <w:lang w:eastAsia="et-EE"/>
        </w:rPr>
        <w:fldChar w:fldCharType="end"/>
      </w:r>
      <w:r w:rsidRPr="00C50854">
        <w:rPr>
          <w:lang w:eastAsia="et-EE"/>
        </w:rPr>
        <w:t>) kavandab TTJA juurdepääsust keeldumise ja viivitamisega seotud konkurentsiprobleemide vältimiseks, sideteenuste turgudel konkurentsi moonutamise ja takistamise ärahoidmiseks ning lõppkasutajate huvide kaitseks kohustada Teliat ESS § 50 lõike 5 punkti 5 ja § 51 alusel:</w:t>
      </w:r>
    </w:p>
    <w:p w14:paraId="0A5FEC98" w14:textId="77777777" w:rsidR="00D67E10" w:rsidRPr="00C50854" w:rsidRDefault="00D67E10" w:rsidP="00D67E10">
      <w:pPr>
        <w:numPr>
          <w:ilvl w:val="0"/>
          <w:numId w:val="10"/>
        </w:numPr>
        <w:suppressAutoHyphens w:val="0"/>
        <w:autoSpaceDE w:val="0"/>
        <w:autoSpaceDN w:val="0"/>
        <w:adjustRightInd w:val="0"/>
        <w:spacing w:before="120" w:after="120"/>
        <w:jc w:val="both"/>
        <w:rPr>
          <w:lang w:eastAsia="et-EE"/>
        </w:rPr>
      </w:pPr>
      <w:r w:rsidRPr="00C50854">
        <w:rPr>
          <w:lang w:eastAsia="et-EE"/>
        </w:rPr>
        <w:lastRenderedPageBreak/>
        <w:t xml:space="preserve">pidama heas usus läbirääkimisi teiste sideettevõtjatega, kes taotlevad juurdepääsu vaskpaar- </w:t>
      </w:r>
      <w:r w:rsidRPr="00C50854">
        <w:rPr>
          <w:i/>
          <w:iCs/>
          <w:lang w:eastAsia="et-EE"/>
        </w:rPr>
        <w:t>ja valguskaabel kliendiliinile ja alamkliendiliinile</w:t>
      </w:r>
      <w:r w:rsidRPr="00C50854">
        <w:rPr>
          <w:vertAlign w:val="superscript"/>
          <w:lang w:eastAsia="et-EE"/>
        </w:rPr>
        <w:footnoteReference w:id="85"/>
      </w:r>
      <w:r w:rsidRPr="00C50854">
        <w:rPr>
          <w:lang w:eastAsia="et-EE"/>
        </w:rPr>
        <w:t>:</w:t>
      </w:r>
    </w:p>
    <w:p w14:paraId="1D043E7D" w14:textId="46A49FD6" w:rsidR="00D67E10" w:rsidRPr="00C50854" w:rsidRDefault="00D67E10" w:rsidP="00D67E10">
      <w:pPr>
        <w:numPr>
          <w:ilvl w:val="0"/>
          <w:numId w:val="10"/>
        </w:numPr>
        <w:suppressAutoHyphens w:val="0"/>
        <w:autoSpaceDE w:val="0"/>
        <w:autoSpaceDN w:val="0"/>
        <w:adjustRightInd w:val="0"/>
        <w:spacing w:before="120" w:after="120"/>
        <w:jc w:val="both"/>
        <w:rPr>
          <w:lang w:eastAsia="et-EE"/>
        </w:rPr>
      </w:pPr>
      <w:r w:rsidRPr="00C50854">
        <w:rPr>
          <w:lang w:eastAsia="et-EE"/>
        </w:rPr>
        <w:t>võimaldama juurdepääsu vabale</w:t>
      </w:r>
      <w:r w:rsidRPr="00C50854">
        <w:rPr>
          <w:rStyle w:val="Allmrkuseviide"/>
          <w:lang w:eastAsia="et-EE"/>
        </w:rPr>
        <w:footnoteReference w:id="86"/>
      </w:r>
      <w:r w:rsidRPr="00C50854">
        <w:rPr>
          <w:lang w:eastAsia="et-EE"/>
        </w:rPr>
        <w:t xml:space="preserve"> vaskpaar- </w:t>
      </w:r>
      <w:r w:rsidRPr="00C50854">
        <w:rPr>
          <w:i/>
          <w:iCs/>
          <w:lang w:eastAsia="et-EE"/>
        </w:rPr>
        <w:t>ja valguskaabel kliendiliinile ja alamkliendiliinile</w:t>
      </w:r>
      <w:r w:rsidRPr="00C50854">
        <w:rPr>
          <w:vertAlign w:val="superscript"/>
          <w:lang w:eastAsia="et-EE"/>
        </w:rPr>
        <w:footnoteReference w:id="87"/>
      </w:r>
      <w:r w:rsidRPr="00C50854">
        <w:rPr>
          <w:lang w:eastAsia="et-EE"/>
        </w:rPr>
        <w:t>, sh:</w:t>
      </w:r>
    </w:p>
    <w:p w14:paraId="46DE0EE3" w14:textId="1975447A" w:rsidR="00D67E10" w:rsidRPr="00C50854" w:rsidRDefault="00D67E10" w:rsidP="00D67E10">
      <w:pPr>
        <w:suppressAutoHyphens w:val="0"/>
        <w:autoSpaceDE w:val="0"/>
        <w:autoSpaceDN w:val="0"/>
        <w:adjustRightInd w:val="0"/>
        <w:spacing w:before="120" w:after="120"/>
        <w:ind w:left="720"/>
        <w:jc w:val="both"/>
        <w:rPr>
          <w:i/>
          <w:iCs/>
          <w:lang w:eastAsia="et-EE"/>
        </w:rPr>
      </w:pPr>
      <w:r w:rsidRPr="00C50854">
        <w:rPr>
          <w:lang w:eastAsia="et-EE"/>
        </w:rPr>
        <w:t>a)</w:t>
      </w:r>
      <w:r w:rsidRPr="00C50854">
        <w:rPr>
          <w:lang w:eastAsia="et-EE"/>
        </w:rPr>
        <w:tab/>
      </w:r>
      <w:r w:rsidRPr="00C50854">
        <w:rPr>
          <w:i/>
          <w:iCs/>
          <w:lang w:eastAsia="et-EE"/>
        </w:rPr>
        <w:t>väljastama taotluse korral vaskpaar- ja valguskaablile juurdepääsu tehnilised tingimused kuni 7 kalendripäeva jooksul alates taotluse esitamisest</w:t>
      </w:r>
      <w:r w:rsidR="004F1D99" w:rsidRPr="00C50854">
        <w:rPr>
          <w:i/>
          <w:iCs/>
          <w:lang w:eastAsia="et-EE"/>
        </w:rPr>
        <w:t xml:space="preserve"> (põhjendus </w:t>
      </w:r>
      <w:proofErr w:type="spellStart"/>
      <w:r w:rsidR="004F1D99" w:rsidRPr="00C50854">
        <w:rPr>
          <w:i/>
          <w:iCs/>
          <w:lang w:eastAsia="et-EE"/>
        </w:rPr>
        <w:t>ptk</w:t>
      </w:r>
      <w:proofErr w:type="spellEnd"/>
      <w:r w:rsidR="004F1D99" w:rsidRPr="00C50854">
        <w:rPr>
          <w:i/>
          <w:iCs/>
          <w:lang w:eastAsia="et-EE"/>
        </w:rPr>
        <w:t xml:space="preserve"> 6.2.3.8)</w:t>
      </w:r>
      <w:r w:rsidRPr="00C50854">
        <w:rPr>
          <w:i/>
          <w:iCs/>
          <w:lang w:eastAsia="et-EE"/>
        </w:rPr>
        <w:t>,</w:t>
      </w:r>
    </w:p>
    <w:p w14:paraId="4FEDED43" w14:textId="26C5175C" w:rsidR="00D67E10" w:rsidRPr="00C50854" w:rsidRDefault="00D67E10" w:rsidP="00D67E10">
      <w:pPr>
        <w:suppressAutoHyphens w:val="0"/>
        <w:autoSpaceDE w:val="0"/>
        <w:autoSpaceDN w:val="0"/>
        <w:adjustRightInd w:val="0"/>
        <w:spacing w:before="120" w:after="120"/>
        <w:ind w:left="720"/>
        <w:jc w:val="both"/>
        <w:rPr>
          <w:i/>
          <w:iCs/>
          <w:lang w:eastAsia="et-EE"/>
        </w:rPr>
      </w:pPr>
      <w:r w:rsidRPr="00C50854">
        <w:rPr>
          <w:i/>
          <w:iCs/>
          <w:lang w:eastAsia="et-EE"/>
        </w:rPr>
        <w:t>b)</w:t>
      </w:r>
      <w:r w:rsidRPr="00C50854">
        <w:rPr>
          <w:i/>
          <w:iCs/>
          <w:lang w:eastAsia="et-EE"/>
        </w:rPr>
        <w:tab/>
        <w:t>võimaldama pärast tehniliste tingimuste väljastamist ja vastava taotluse korral vaskpaar- ja valguskaabel kliendiliinile juurdepääsu kuni 7 kalendripäeva jooksul alates taotluse esitamisest, välja arvatud juhul, kui taotleja on väljendanud soovi rakendada pikemat tähtaega</w:t>
      </w:r>
      <w:r w:rsidR="004F1D99" w:rsidRPr="00C50854">
        <w:rPr>
          <w:i/>
          <w:iCs/>
          <w:lang w:eastAsia="et-EE"/>
        </w:rPr>
        <w:t xml:space="preserve"> (põhjendus </w:t>
      </w:r>
      <w:proofErr w:type="spellStart"/>
      <w:r w:rsidR="004F1D99" w:rsidRPr="00C50854">
        <w:rPr>
          <w:i/>
          <w:iCs/>
          <w:lang w:eastAsia="et-EE"/>
        </w:rPr>
        <w:t>ptk</w:t>
      </w:r>
      <w:proofErr w:type="spellEnd"/>
      <w:r w:rsidR="004F1D99" w:rsidRPr="00C50854">
        <w:rPr>
          <w:i/>
          <w:iCs/>
          <w:lang w:eastAsia="et-EE"/>
        </w:rPr>
        <w:t xml:space="preserve"> 6.2.3.8) </w:t>
      </w:r>
      <w:r w:rsidRPr="00C50854">
        <w:rPr>
          <w:i/>
          <w:iCs/>
          <w:lang w:eastAsia="et-EE"/>
        </w:rPr>
        <w:t>;</w:t>
      </w:r>
    </w:p>
    <w:p w14:paraId="75B3F229" w14:textId="2A5EEA19" w:rsidR="00D67E10" w:rsidRPr="00C50854" w:rsidRDefault="00D67E10" w:rsidP="00D67E10">
      <w:pPr>
        <w:suppressAutoHyphens w:val="0"/>
        <w:autoSpaceDE w:val="0"/>
        <w:autoSpaceDN w:val="0"/>
        <w:adjustRightInd w:val="0"/>
        <w:spacing w:before="120" w:after="120"/>
        <w:ind w:left="720"/>
        <w:jc w:val="both"/>
        <w:rPr>
          <w:i/>
          <w:iCs/>
          <w:lang w:eastAsia="et-EE"/>
        </w:rPr>
      </w:pPr>
      <w:r w:rsidRPr="00C50854">
        <w:rPr>
          <w:i/>
          <w:iCs/>
          <w:lang w:eastAsia="et-EE"/>
        </w:rPr>
        <w:t>c) võimaldama pärast tehniliste tingimuste väljastamist ja vastava taotluse korral vaskpaar- ja valguskaabel alamkliendiliinile juurdepääsu kuni 1 kuu jooksul alates taotluse esitamisest, välja arvatud juhul, kui taotleja on väljendanud soovi rakendada pikemat tähtaega. Koos tehniliste tingimustega tuleb esitada ka vastavale alamkliendiliinile juurdepääsu tasu suurus</w:t>
      </w:r>
      <w:r w:rsidR="004F1D99" w:rsidRPr="00C50854">
        <w:rPr>
          <w:i/>
          <w:iCs/>
          <w:lang w:eastAsia="et-EE"/>
        </w:rPr>
        <w:t xml:space="preserve"> (põhjendus </w:t>
      </w:r>
      <w:proofErr w:type="spellStart"/>
      <w:r w:rsidR="004F1D99" w:rsidRPr="00C50854">
        <w:rPr>
          <w:i/>
          <w:iCs/>
          <w:lang w:eastAsia="et-EE"/>
        </w:rPr>
        <w:t>ptk</w:t>
      </w:r>
      <w:proofErr w:type="spellEnd"/>
      <w:r w:rsidR="004F1D99" w:rsidRPr="00C50854">
        <w:rPr>
          <w:i/>
          <w:iCs/>
          <w:lang w:eastAsia="et-EE"/>
        </w:rPr>
        <w:t xml:space="preserve"> 6.2.3.6)</w:t>
      </w:r>
      <w:r w:rsidRPr="00C50854">
        <w:rPr>
          <w:i/>
          <w:iCs/>
          <w:lang w:eastAsia="et-EE"/>
        </w:rPr>
        <w:t>.</w:t>
      </w:r>
    </w:p>
    <w:p w14:paraId="135E1266" w14:textId="141D153E" w:rsidR="00D67E10" w:rsidRPr="00C50854" w:rsidRDefault="00D67E10" w:rsidP="00D67E10">
      <w:pPr>
        <w:numPr>
          <w:ilvl w:val="0"/>
          <w:numId w:val="10"/>
        </w:numPr>
        <w:suppressAutoHyphens w:val="0"/>
        <w:autoSpaceDE w:val="0"/>
        <w:autoSpaceDN w:val="0"/>
        <w:adjustRightInd w:val="0"/>
        <w:spacing w:before="120" w:after="120"/>
        <w:jc w:val="both"/>
        <w:rPr>
          <w:lang w:eastAsia="et-EE"/>
        </w:rPr>
      </w:pPr>
      <w:r w:rsidRPr="00C50854">
        <w:rPr>
          <w:lang w:eastAsia="et-EE"/>
        </w:rPr>
        <w:t xml:space="preserve">võimaldama juurdepääsu (vajadusel jagatud juurdepääsu) lõppkasutaja poolt juba kasutuses olevale vaskpaar- </w:t>
      </w:r>
      <w:r w:rsidRPr="00C50854">
        <w:rPr>
          <w:i/>
          <w:iCs/>
          <w:lang w:eastAsia="et-EE"/>
        </w:rPr>
        <w:t>ja valguskaabel kliendiliinile ja alamkliendiliinile</w:t>
      </w:r>
      <w:r w:rsidRPr="00C50854">
        <w:rPr>
          <w:lang w:eastAsia="et-EE"/>
        </w:rPr>
        <w:t xml:space="preserve">, kui on olemas vastavat </w:t>
      </w:r>
      <w:r w:rsidRPr="00C50854">
        <w:rPr>
          <w:i/>
          <w:iCs/>
          <w:lang w:eastAsia="et-EE"/>
        </w:rPr>
        <w:t>kliendiliini või alamkliendiini</w:t>
      </w:r>
      <w:r w:rsidRPr="00C50854">
        <w:rPr>
          <w:lang w:eastAsia="et-EE"/>
        </w:rPr>
        <w:t xml:space="preserve"> kasutava lõppkasutaja nõusolek</w:t>
      </w:r>
      <w:r w:rsidRPr="00C50854">
        <w:rPr>
          <w:vertAlign w:val="superscript"/>
          <w:lang w:eastAsia="et-EE"/>
        </w:rPr>
        <w:footnoteReference w:id="88"/>
      </w:r>
      <w:r w:rsidRPr="00C50854">
        <w:rPr>
          <w:lang w:eastAsia="et-EE"/>
        </w:rPr>
        <w:t>;</w:t>
      </w:r>
    </w:p>
    <w:p w14:paraId="1AF47E24" w14:textId="77777777" w:rsidR="00D67E10" w:rsidRPr="00C50854" w:rsidRDefault="00D67E10" w:rsidP="00D67E10">
      <w:pPr>
        <w:numPr>
          <w:ilvl w:val="0"/>
          <w:numId w:val="10"/>
        </w:numPr>
        <w:suppressAutoHyphens w:val="0"/>
        <w:autoSpaceDE w:val="0"/>
        <w:autoSpaceDN w:val="0"/>
        <w:adjustRightInd w:val="0"/>
        <w:spacing w:before="120" w:after="120"/>
        <w:jc w:val="both"/>
        <w:rPr>
          <w:lang w:eastAsia="et-EE"/>
        </w:rPr>
      </w:pPr>
      <w:r w:rsidRPr="00C50854">
        <w:rPr>
          <w:lang w:eastAsia="et-EE"/>
        </w:rPr>
        <w:t>võimaldama vaskpaar</w:t>
      </w:r>
      <w:bookmarkStart w:id="396" w:name="_Hlk38958600"/>
      <w:r w:rsidRPr="00C50854">
        <w:rPr>
          <w:i/>
          <w:iCs/>
          <w:lang w:eastAsia="et-EE"/>
        </w:rPr>
        <w:t>- ja valguskaabel kliendiliinile ja alamkliendiliinile</w:t>
      </w:r>
      <w:r w:rsidRPr="00C50854">
        <w:rPr>
          <w:lang w:eastAsia="et-EE"/>
        </w:rPr>
        <w:t xml:space="preserve"> </w:t>
      </w:r>
      <w:bookmarkEnd w:id="396"/>
      <w:r w:rsidRPr="00C50854">
        <w:rPr>
          <w:lang w:eastAsia="et-EE"/>
        </w:rPr>
        <w:t xml:space="preserve">juurdepääsuks vajalikku </w:t>
      </w:r>
      <w:proofErr w:type="spellStart"/>
      <w:r w:rsidRPr="00C50854">
        <w:rPr>
          <w:lang w:eastAsia="et-EE"/>
        </w:rPr>
        <w:t>ühispaiknemist</w:t>
      </w:r>
      <w:proofErr w:type="spellEnd"/>
      <w:r w:rsidRPr="00C50854">
        <w:rPr>
          <w:lang w:eastAsia="et-EE"/>
        </w:rPr>
        <w:t xml:space="preserve"> või muid ühiskasutuse viise, sealhulgas seadmemajutust</w:t>
      </w:r>
      <w:r w:rsidRPr="00C50854">
        <w:rPr>
          <w:vertAlign w:val="superscript"/>
          <w:lang w:eastAsia="et-EE"/>
        </w:rPr>
        <w:footnoteReference w:id="89"/>
      </w:r>
      <w:r w:rsidRPr="00C50854">
        <w:rPr>
          <w:lang w:eastAsia="et-EE"/>
        </w:rPr>
        <w:t>;</w:t>
      </w:r>
    </w:p>
    <w:p w14:paraId="3097EF90" w14:textId="77777777" w:rsidR="00D67E10" w:rsidRPr="00C50854" w:rsidRDefault="00D67E10" w:rsidP="00D67E10">
      <w:pPr>
        <w:numPr>
          <w:ilvl w:val="0"/>
          <w:numId w:val="10"/>
        </w:numPr>
        <w:suppressAutoHyphens w:val="0"/>
        <w:autoSpaceDE w:val="0"/>
        <w:autoSpaceDN w:val="0"/>
        <w:adjustRightInd w:val="0"/>
        <w:spacing w:before="120" w:after="120"/>
        <w:jc w:val="both"/>
        <w:rPr>
          <w:lang w:eastAsia="et-EE"/>
        </w:rPr>
      </w:pPr>
      <w:r w:rsidRPr="00C50854">
        <w:rPr>
          <w:lang w:eastAsia="et-EE"/>
        </w:rPr>
        <w:t>pakkuma juurdepääsu vaskpaar</w:t>
      </w:r>
      <w:r w:rsidRPr="00C50854">
        <w:rPr>
          <w:i/>
          <w:iCs/>
          <w:lang w:eastAsia="et-EE"/>
        </w:rPr>
        <w:t>- ja valguskaabel kliendiliinile ja alamkliendiliinile</w:t>
      </w:r>
      <w:r w:rsidRPr="00C50854">
        <w:rPr>
          <w:lang w:eastAsia="et-EE"/>
        </w:rPr>
        <w:t xml:space="preserve"> juurdepääsuks vajalikele tugisüsteemidele ja/või tarkvarasüsteemidele, sealhulgas tehniliste tingimuste tellimise, teenuse tellimise, tehnilise hoolduse ja remondi teabesüsteemidele</w:t>
      </w:r>
      <w:r w:rsidRPr="00C50854">
        <w:rPr>
          <w:vertAlign w:val="superscript"/>
          <w:lang w:eastAsia="et-EE"/>
        </w:rPr>
        <w:footnoteReference w:id="90"/>
      </w:r>
      <w:r w:rsidRPr="00C50854">
        <w:rPr>
          <w:lang w:eastAsia="et-EE"/>
        </w:rPr>
        <w:t>;</w:t>
      </w:r>
    </w:p>
    <w:p w14:paraId="4FCE41E6" w14:textId="77777777" w:rsidR="00D67E10" w:rsidRPr="00C50854" w:rsidRDefault="00D67E10" w:rsidP="00D67E10">
      <w:pPr>
        <w:numPr>
          <w:ilvl w:val="0"/>
          <w:numId w:val="10"/>
        </w:numPr>
        <w:suppressAutoHyphens w:val="0"/>
        <w:autoSpaceDE w:val="0"/>
        <w:autoSpaceDN w:val="0"/>
        <w:adjustRightInd w:val="0"/>
        <w:spacing w:before="120" w:after="120"/>
        <w:jc w:val="both"/>
        <w:rPr>
          <w:lang w:eastAsia="et-EE"/>
        </w:rPr>
      </w:pPr>
      <w:r w:rsidRPr="00C50854">
        <w:rPr>
          <w:lang w:eastAsia="et-EE"/>
        </w:rPr>
        <w:t>pakkuma juurdepääsu seotud teenustele, mis on vajalikud vaskpaar</w:t>
      </w:r>
      <w:r w:rsidRPr="00C50854">
        <w:rPr>
          <w:i/>
          <w:iCs/>
          <w:lang w:eastAsia="et-EE"/>
        </w:rPr>
        <w:t>- ja valguskaabel kliendiliinide ja alamkliendiliinide</w:t>
      </w:r>
      <w:r w:rsidRPr="00C50854">
        <w:rPr>
          <w:lang w:eastAsia="et-EE"/>
        </w:rPr>
        <w:t xml:space="preserve"> ühendamiseks teise sideettevõtja sidevõrguga</w:t>
      </w:r>
      <w:r w:rsidRPr="00C50854">
        <w:rPr>
          <w:vertAlign w:val="superscript"/>
          <w:lang w:eastAsia="et-EE"/>
        </w:rPr>
        <w:footnoteReference w:id="91"/>
      </w:r>
      <w:r w:rsidRPr="00C50854">
        <w:rPr>
          <w:lang w:eastAsia="et-EE"/>
        </w:rPr>
        <w:t>;</w:t>
      </w:r>
    </w:p>
    <w:p w14:paraId="72B8A266" w14:textId="77777777" w:rsidR="00D67E10" w:rsidRPr="00C50854" w:rsidRDefault="00D67E10" w:rsidP="00D67E10">
      <w:pPr>
        <w:numPr>
          <w:ilvl w:val="0"/>
          <w:numId w:val="10"/>
        </w:numPr>
        <w:suppressAutoHyphens w:val="0"/>
        <w:autoSpaceDE w:val="0"/>
        <w:autoSpaceDN w:val="0"/>
        <w:adjustRightInd w:val="0"/>
        <w:spacing w:before="120" w:after="120"/>
        <w:jc w:val="both"/>
        <w:rPr>
          <w:lang w:eastAsia="et-EE"/>
        </w:rPr>
      </w:pPr>
      <w:r w:rsidRPr="00C50854">
        <w:rPr>
          <w:lang w:eastAsia="et-EE"/>
        </w:rPr>
        <w:t>tagama, et vaskpaar</w:t>
      </w:r>
      <w:r w:rsidRPr="00C50854">
        <w:rPr>
          <w:i/>
          <w:iCs/>
          <w:lang w:eastAsia="et-EE"/>
        </w:rPr>
        <w:t>- ja valguskaabel</w:t>
      </w:r>
      <w:r w:rsidRPr="00C50854">
        <w:rPr>
          <w:lang w:eastAsia="et-EE"/>
        </w:rPr>
        <w:t xml:space="preserve"> kliendiliini </w:t>
      </w:r>
      <w:r w:rsidRPr="00C50854">
        <w:rPr>
          <w:i/>
          <w:iCs/>
          <w:lang w:eastAsia="et-EE"/>
        </w:rPr>
        <w:t>ja alamkliendiini</w:t>
      </w:r>
      <w:r w:rsidRPr="00C50854">
        <w:rPr>
          <w:lang w:eastAsia="et-EE"/>
        </w:rPr>
        <w:t xml:space="preserve"> üleminekul ühe sideettevõtja kasutusest teise sideettevõtja kasutusse ei või katkeda kliendi juurdepääs sideteenustele Telia poolse tegevuse või tegevusetuse tõttu kauemaks kui üks tund</w:t>
      </w:r>
      <w:r w:rsidRPr="00C50854">
        <w:rPr>
          <w:vertAlign w:val="superscript"/>
          <w:lang w:eastAsia="et-EE"/>
        </w:rPr>
        <w:footnoteReference w:id="92"/>
      </w:r>
      <w:r w:rsidRPr="00C50854">
        <w:rPr>
          <w:lang w:eastAsia="et-EE"/>
        </w:rPr>
        <w:t>;</w:t>
      </w:r>
    </w:p>
    <w:p w14:paraId="303B1B64" w14:textId="6B9FC549" w:rsidR="00D67E10" w:rsidRPr="00C50854" w:rsidRDefault="00D67E10" w:rsidP="00D67E10">
      <w:pPr>
        <w:numPr>
          <w:ilvl w:val="0"/>
          <w:numId w:val="10"/>
        </w:numPr>
        <w:suppressAutoHyphens w:val="0"/>
        <w:autoSpaceDE w:val="0"/>
        <w:autoSpaceDN w:val="0"/>
        <w:adjustRightInd w:val="0"/>
        <w:spacing w:before="120" w:after="120"/>
        <w:jc w:val="both"/>
        <w:rPr>
          <w:i/>
          <w:iCs/>
          <w:lang w:eastAsia="et-EE"/>
        </w:rPr>
      </w:pPr>
      <w:r w:rsidRPr="00C50854">
        <w:rPr>
          <w:i/>
          <w:iCs/>
          <w:lang w:eastAsia="et-EE"/>
        </w:rPr>
        <w:t xml:space="preserve">iga kliendiliinile ja alamkliendiliinile juurdepääsu jätkuvalt osutamist ja iga kasutuses oleva kliendiliinile ja alamkliendiliinile juurdepääsu </w:t>
      </w:r>
      <w:r w:rsidR="00F80AB2" w:rsidRPr="00C50854">
        <w:rPr>
          <w:i/>
          <w:iCs/>
          <w:lang w:eastAsia="et-EE"/>
        </w:rPr>
        <w:t xml:space="preserve">tehnoloogiliste </w:t>
      </w:r>
      <w:r w:rsidRPr="00C50854">
        <w:rPr>
          <w:i/>
          <w:iCs/>
          <w:lang w:eastAsia="et-EE"/>
        </w:rPr>
        <w:t>tingimuste  muutmisest ja/või lõpetamisest teavitada (lõpp-punkti aadressi täpsusega) vastava hulgiteenuse kasutajat vähemalt 8 kuud ette ning pakkuda lühima võimaliku aja jooksul olemasolevaid asendusteenuseid koos asendusteenustele vajalike ülemineku protseduuridega</w:t>
      </w:r>
      <w:r w:rsidR="004F1D99" w:rsidRPr="00C50854">
        <w:rPr>
          <w:i/>
          <w:iCs/>
          <w:lang w:eastAsia="et-EE"/>
        </w:rPr>
        <w:t xml:space="preserve"> (põhjendus </w:t>
      </w:r>
      <w:proofErr w:type="spellStart"/>
      <w:r w:rsidR="004F1D99" w:rsidRPr="00C50854">
        <w:rPr>
          <w:i/>
          <w:iCs/>
          <w:lang w:eastAsia="et-EE"/>
        </w:rPr>
        <w:t>ptk</w:t>
      </w:r>
      <w:proofErr w:type="spellEnd"/>
      <w:r w:rsidR="004F1D99" w:rsidRPr="00C50854">
        <w:rPr>
          <w:i/>
          <w:iCs/>
          <w:lang w:eastAsia="et-EE"/>
        </w:rPr>
        <w:t xml:space="preserve"> 6.2.3.7)</w:t>
      </w:r>
      <w:r w:rsidRPr="00C50854">
        <w:rPr>
          <w:i/>
          <w:iCs/>
          <w:lang w:eastAsia="et-EE"/>
        </w:rPr>
        <w:t>.</w:t>
      </w:r>
    </w:p>
    <w:p w14:paraId="3AAD46EB" w14:textId="77777777" w:rsidR="00D67E10" w:rsidRPr="00C50854" w:rsidRDefault="00D67E10" w:rsidP="00D67E10">
      <w:pPr>
        <w:suppressAutoHyphens w:val="0"/>
        <w:autoSpaceDE w:val="0"/>
        <w:autoSpaceDN w:val="0"/>
        <w:adjustRightInd w:val="0"/>
        <w:spacing w:before="120" w:after="120"/>
        <w:jc w:val="both"/>
        <w:rPr>
          <w:strike/>
          <w:lang w:eastAsia="et-EE"/>
        </w:rPr>
      </w:pPr>
    </w:p>
    <w:p w14:paraId="24866A62" w14:textId="77777777" w:rsidR="00D67E10" w:rsidRPr="00C50854" w:rsidRDefault="00D67E10" w:rsidP="00D67E10">
      <w:pPr>
        <w:suppressAutoHyphens w:val="0"/>
        <w:autoSpaceDE w:val="0"/>
        <w:autoSpaceDN w:val="0"/>
        <w:adjustRightInd w:val="0"/>
        <w:spacing w:before="120" w:after="120"/>
        <w:jc w:val="both"/>
        <w:rPr>
          <w:strike/>
          <w:lang w:eastAsia="et-EE"/>
        </w:rPr>
      </w:pPr>
    </w:p>
    <w:p w14:paraId="53ABF03E" w14:textId="77777777" w:rsidR="00D67E10" w:rsidRPr="00C50854" w:rsidRDefault="00D67E10" w:rsidP="00D67E10">
      <w:pPr>
        <w:suppressAutoHyphens w:val="0"/>
        <w:autoSpaceDE w:val="0"/>
        <w:autoSpaceDN w:val="0"/>
        <w:adjustRightInd w:val="0"/>
        <w:spacing w:before="120" w:after="120"/>
        <w:jc w:val="both"/>
        <w:rPr>
          <w:strike/>
          <w:lang w:eastAsia="et-EE"/>
        </w:rPr>
      </w:pPr>
    </w:p>
    <w:p w14:paraId="383DDFB7" w14:textId="77777777" w:rsidR="00D67E10" w:rsidRPr="00C50854" w:rsidRDefault="00D67E10" w:rsidP="00D67E10">
      <w:pPr>
        <w:suppressAutoHyphens w:val="0"/>
        <w:autoSpaceDE w:val="0"/>
        <w:autoSpaceDN w:val="0"/>
        <w:adjustRightInd w:val="0"/>
        <w:spacing w:before="120" w:after="120"/>
        <w:jc w:val="both"/>
        <w:rPr>
          <w:strike/>
          <w:color w:val="0070C0"/>
          <w:lang w:eastAsia="et-EE"/>
        </w:rPr>
      </w:pPr>
      <w:bookmarkStart w:id="397" w:name="_Hlk38971690"/>
    </w:p>
    <w:p w14:paraId="38BC4C3E"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noProof/>
        </w:rPr>
        <w:drawing>
          <wp:inline distT="0" distB="0" distL="0" distR="0" wp14:anchorId="6263EB75" wp14:editId="2E4CD7D3">
            <wp:extent cx="5934710" cy="4442460"/>
            <wp:effectExtent l="0" t="0" r="8890" b="0"/>
            <wp:docPr id="129" name="Pilt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710" cy="4442460"/>
                    </a:xfrm>
                    <a:prstGeom prst="rect">
                      <a:avLst/>
                    </a:prstGeom>
                    <a:noFill/>
                    <a:ln>
                      <a:noFill/>
                    </a:ln>
                  </pic:spPr>
                </pic:pic>
              </a:graphicData>
            </a:graphic>
          </wp:inline>
        </w:drawing>
      </w:r>
    </w:p>
    <w:p w14:paraId="5258F21C" w14:textId="49B48664" w:rsidR="00D67E10" w:rsidRPr="00C50854" w:rsidRDefault="00BD3683" w:rsidP="00D67E10">
      <w:pPr>
        <w:pStyle w:val="Pealdis"/>
        <w:jc w:val="both"/>
        <w:rPr>
          <w:b w:val="0"/>
          <w:lang w:eastAsia="et-EE"/>
        </w:rPr>
      </w:pPr>
      <w:bookmarkStart w:id="398" w:name="_Ref42071423"/>
      <w:r w:rsidRPr="00C50854">
        <w:t xml:space="preserve">Joonis </w:t>
      </w:r>
      <w:fldSimple w:instr=" SEQ Joonis \* ARABIC ">
        <w:r w:rsidR="00697B2B" w:rsidRPr="00C50854">
          <w:rPr>
            <w:noProof/>
          </w:rPr>
          <w:t>11</w:t>
        </w:r>
      </w:fldSimple>
      <w:bookmarkEnd w:id="398"/>
      <w:r w:rsidRPr="00C50854">
        <w:t xml:space="preserve">. </w:t>
      </w:r>
      <w:r w:rsidR="00D67E10" w:rsidRPr="00C50854">
        <w:rPr>
          <w:b w:val="0"/>
          <w:bCs w:val="0"/>
          <w:lang w:eastAsia="et-EE"/>
        </w:rPr>
        <w:t>Vaskpaar- ja v</w:t>
      </w:r>
      <w:r w:rsidR="00D67E10" w:rsidRPr="00C50854">
        <w:rPr>
          <w:b w:val="0"/>
          <w:lang w:eastAsia="et-EE"/>
        </w:rPr>
        <w:t>alguskaabli kliendiliinile ja alamkliendiliinile juurdepääsu kirjeldus.</w:t>
      </w:r>
    </w:p>
    <w:p w14:paraId="3B207C72" w14:textId="77777777" w:rsidR="004F1D99" w:rsidRPr="00C50854" w:rsidRDefault="004F1D99" w:rsidP="004F1D99">
      <w:pPr>
        <w:rPr>
          <w:lang w:eastAsia="et-EE"/>
        </w:rPr>
      </w:pPr>
    </w:p>
    <w:bookmarkEnd w:id="397"/>
    <w:p w14:paraId="394CF81C"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Tulenevalt ESS § 64 lg 2 on sideettevõtja, kelle suhtes on TJA kehtestanud juurdepääsu kohustuse, kohustatud juurdepääsu kohustuse täitmisel vastavalt kohustuse iseloomule täitma järgmisi nõudeid:</w:t>
      </w:r>
    </w:p>
    <w:p w14:paraId="58D71F24" w14:textId="77777777" w:rsidR="00D67E10" w:rsidRPr="00C50854" w:rsidRDefault="00D67E10" w:rsidP="00D67E10">
      <w:pPr>
        <w:numPr>
          <w:ilvl w:val="0"/>
          <w:numId w:val="9"/>
        </w:numPr>
        <w:suppressAutoHyphens w:val="0"/>
        <w:autoSpaceDE w:val="0"/>
        <w:autoSpaceDN w:val="0"/>
        <w:adjustRightInd w:val="0"/>
        <w:spacing w:before="120" w:after="120"/>
        <w:jc w:val="both"/>
        <w:rPr>
          <w:lang w:eastAsia="et-EE"/>
        </w:rPr>
      </w:pPr>
      <w:r w:rsidRPr="00C50854">
        <w:rPr>
          <w:lang w:eastAsia="et-EE"/>
        </w:rPr>
        <w:t>võimaldama kasutada võrgu seadmeid, ehitisi ning liinirajatisi võrdsetel tingimustel ja kvaliteediga, millega ta seda osutab oma ema- ja tütarettevõtjale, klientidele või äripartneritele;</w:t>
      </w:r>
    </w:p>
    <w:p w14:paraId="4FD2812B" w14:textId="77777777" w:rsidR="00D67E10" w:rsidRPr="00C50854" w:rsidRDefault="00D67E10" w:rsidP="00D67E10">
      <w:pPr>
        <w:numPr>
          <w:ilvl w:val="0"/>
          <w:numId w:val="9"/>
        </w:numPr>
        <w:suppressAutoHyphens w:val="0"/>
        <w:autoSpaceDE w:val="0"/>
        <w:autoSpaceDN w:val="0"/>
        <w:adjustRightInd w:val="0"/>
        <w:spacing w:before="120" w:after="120"/>
        <w:jc w:val="both"/>
        <w:rPr>
          <w:lang w:eastAsia="et-EE"/>
        </w:rPr>
      </w:pPr>
      <w:r w:rsidRPr="00C50854">
        <w:rPr>
          <w:lang w:eastAsia="et-EE"/>
        </w:rPr>
        <w:t>võimaldama juurdepääsuks taotluse esitanud ettevõtjal saada juurdepääsuks vajalikku teavet;</w:t>
      </w:r>
    </w:p>
    <w:p w14:paraId="59B22756" w14:textId="77777777" w:rsidR="00D67E10" w:rsidRPr="00C50854" w:rsidRDefault="00D67E10" w:rsidP="00D67E10">
      <w:pPr>
        <w:numPr>
          <w:ilvl w:val="0"/>
          <w:numId w:val="9"/>
        </w:numPr>
        <w:suppressAutoHyphens w:val="0"/>
        <w:autoSpaceDE w:val="0"/>
        <w:autoSpaceDN w:val="0"/>
        <w:adjustRightInd w:val="0"/>
        <w:spacing w:before="120" w:after="120"/>
        <w:jc w:val="both"/>
        <w:rPr>
          <w:lang w:eastAsia="et-EE"/>
        </w:rPr>
      </w:pPr>
      <w:r w:rsidRPr="00C50854">
        <w:rPr>
          <w:lang w:eastAsia="et-EE"/>
        </w:rPr>
        <w:t>kasutama juurdepääsuga seoses saadud teavet üksnes vastava teenuse osutamiseks ning mitte avaldama seda kolmandatele isikutele, kaasa arvatud oma koostööpartneritele ja tütarettevõtjatele, kui seaduses ei ole sätestatud teisiti;</w:t>
      </w:r>
    </w:p>
    <w:p w14:paraId="229BEA7B" w14:textId="77777777" w:rsidR="00D67E10" w:rsidRPr="00C50854" w:rsidRDefault="00D67E10" w:rsidP="00D67E10">
      <w:pPr>
        <w:numPr>
          <w:ilvl w:val="0"/>
          <w:numId w:val="9"/>
        </w:numPr>
        <w:suppressAutoHyphens w:val="0"/>
        <w:autoSpaceDE w:val="0"/>
        <w:autoSpaceDN w:val="0"/>
        <w:adjustRightInd w:val="0"/>
        <w:spacing w:before="120" w:after="120"/>
        <w:jc w:val="both"/>
        <w:rPr>
          <w:lang w:eastAsia="et-EE"/>
        </w:rPr>
      </w:pPr>
      <w:r w:rsidRPr="00C50854">
        <w:rPr>
          <w:lang w:eastAsia="et-EE"/>
        </w:rPr>
        <w:t>mitte piirama oma klientide juurdepääsu teise sideettevõtja poolt osutatavatele teenustele.</w:t>
      </w:r>
    </w:p>
    <w:p w14:paraId="527F3B29" w14:textId="77777777" w:rsidR="00D67E10" w:rsidRPr="00C50854" w:rsidRDefault="00D67E10" w:rsidP="00D67E10">
      <w:pPr>
        <w:suppressAutoHyphens w:val="0"/>
        <w:autoSpaceDE w:val="0"/>
        <w:autoSpaceDN w:val="0"/>
        <w:adjustRightInd w:val="0"/>
        <w:spacing w:before="120" w:after="120"/>
        <w:jc w:val="both"/>
        <w:rPr>
          <w:lang w:eastAsia="et-EE"/>
        </w:rPr>
      </w:pPr>
    </w:p>
    <w:p w14:paraId="760D82DC" w14:textId="73D39CC2" w:rsidR="00D67E10" w:rsidRPr="00C50854" w:rsidRDefault="00D67E10" w:rsidP="009A75FA">
      <w:pPr>
        <w:pStyle w:val="Pealkiri3"/>
        <w:rPr>
          <w:b w:val="0"/>
          <w:bCs w:val="0"/>
          <w:i/>
          <w:iCs/>
        </w:rPr>
      </w:pPr>
      <w:bookmarkStart w:id="399" w:name="_Toc39125679"/>
      <w:bookmarkStart w:id="400" w:name="_Toc42072468"/>
      <w:r w:rsidRPr="00C50854">
        <w:rPr>
          <w:b w:val="0"/>
          <w:bCs w:val="0"/>
          <w:i/>
          <w:iCs/>
        </w:rPr>
        <w:lastRenderedPageBreak/>
        <w:t>6.2.4.</w:t>
      </w:r>
      <w:r w:rsidR="009A75FA" w:rsidRPr="00C50854">
        <w:rPr>
          <w:b w:val="0"/>
          <w:bCs w:val="0"/>
          <w:i/>
          <w:iCs/>
        </w:rPr>
        <w:t>3</w:t>
      </w:r>
      <w:r w:rsidRPr="00C50854">
        <w:rPr>
          <w:b w:val="0"/>
          <w:bCs w:val="0"/>
          <w:i/>
          <w:iCs/>
        </w:rPr>
        <w:t xml:space="preserve"> Juurdepääsu kohustuste kehtestamine kaablikanalisatsioonile</w:t>
      </w:r>
      <w:bookmarkEnd w:id="399"/>
      <w:bookmarkEnd w:id="400"/>
    </w:p>
    <w:p w14:paraId="7F62327F" w14:textId="77777777" w:rsidR="00D67E10" w:rsidRPr="00C50854" w:rsidRDefault="00D67E10" w:rsidP="00D67E10">
      <w:pPr>
        <w:suppressAutoHyphens w:val="0"/>
        <w:autoSpaceDE w:val="0"/>
        <w:autoSpaceDN w:val="0"/>
        <w:adjustRightInd w:val="0"/>
        <w:spacing w:before="120" w:after="120"/>
        <w:jc w:val="both"/>
        <w:rPr>
          <w:lang w:eastAsia="et-EE"/>
        </w:rPr>
      </w:pPr>
    </w:p>
    <w:p w14:paraId="753826A6"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u w:val="single"/>
          <w:lang w:eastAsia="et-EE"/>
        </w:rPr>
        <w:t>Kaablikanalisatsioonile juurdepääsu</w:t>
      </w:r>
      <w:r w:rsidRPr="00C50854">
        <w:rPr>
          <w:lang w:eastAsia="et-EE"/>
        </w:rPr>
        <w:t xml:space="preserve"> osas kavandab TTJA juurdepääsust keeldumise ja viivitamisega seotud konkurentsiprobleemide vältimiseks, sideteenuste turgudel konkurentsi moonutamise takistamise ärahoidmiseks ning lõppkasutajate huvide kaitseks kohustada Teliat ESS § 50 lõike 5 punkti 5 ja § 51 alusel:</w:t>
      </w:r>
    </w:p>
    <w:p w14:paraId="062F9988" w14:textId="77777777" w:rsidR="00D67E10" w:rsidRPr="00C50854" w:rsidRDefault="00D67E10" w:rsidP="00D67E10">
      <w:pPr>
        <w:numPr>
          <w:ilvl w:val="0"/>
          <w:numId w:val="18"/>
        </w:numPr>
        <w:suppressAutoHyphens w:val="0"/>
        <w:autoSpaceDE w:val="0"/>
        <w:autoSpaceDN w:val="0"/>
        <w:adjustRightInd w:val="0"/>
        <w:spacing w:before="120" w:after="120"/>
        <w:jc w:val="both"/>
        <w:rPr>
          <w:lang w:eastAsia="et-EE"/>
        </w:rPr>
      </w:pPr>
      <w:r w:rsidRPr="00C50854">
        <w:rPr>
          <w:lang w:eastAsia="et-EE"/>
        </w:rPr>
        <w:t>pidama heas usus läbirääkimisi teiste sideettevõtjatega, kes taotlevad juurdepääsu kaablikanalisatsioonile</w:t>
      </w:r>
      <w:r w:rsidRPr="00C50854">
        <w:rPr>
          <w:vertAlign w:val="superscript"/>
          <w:lang w:eastAsia="et-EE"/>
        </w:rPr>
        <w:footnoteReference w:id="93"/>
      </w:r>
      <w:r w:rsidRPr="00C50854">
        <w:rPr>
          <w:lang w:eastAsia="et-EE"/>
        </w:rPr>
        <w:t>;</w:t>
      </w:r>
    </w:p>
    <w:p w14:paraId="6B21A72F" w14:textId="77777777" w:rsidR="00D67E10" w:rsidRPr="00C50854" w:rsidRDefault="00D67E10" w:rsidP="00D67E10">
      <w:pPr>
        <w:numPr>
          <w:ilvl w:val="0"/>
          <w:numId w:val="18"/>
        </w:numPr>
        <w:suppressAutoHyphens w:val="0"/>
        <w:autoSpaceDE w:val="0"/>
        <w:autoSpaceDN w:val="0"/>
        <w:adjustRightInd w:val="0"/>
        <w:spacing w:before="120" w:after="120"/>
        <w:jc w:val="both"/>
        <w:rPr>
          <w:lang w:eastAsia="et-EE"/>
        </w:rPr>
      </w:pPr>
      <w:r w:rsidRPr="00C50854">
        <w:rPr>
          <w:lang w:eastAsia="et-EE"/>
        </w:rPr>
        <w:t>võimaldama juurdepääs kaablikanalisatsiooni vabale</w:t>
      </w:r>
      <w:r w:rsidRPr="00C50854">
        <w:rPr>
          <w:rStyle w:val="Allmrkuseviide"/>
          <w:lang w:eastAsia="et-EE"/>
        </w:rPr>
        <w:footnoteReference w:id="94"/>
      </w:r>
      <w:r w:rsidRPr="00C50854">
        <w:rPr>
          <w:lang w:eastAsia="et-EE"/>
        </w:rPr>
        <w:t xml:space="preserve"> mahule</w:t>
      </w:r>
      <w:r w:rsidRPr="00C50854">
        <w:rPr>
          <w:rStyle w:val="Allmrkuseviide"/>
          <w:lang w:eastAsia="et-EE"/>
        </w:rPr>
        <w:footnoteReference w:id="95"/>
      </w:r>
      <w:r w:rsidRPr="00C50854">
        <w:rPr>
          <w:lang w:eastAsia="et-EE"/>
        </w:rPr>
        <w:t>;</w:t>
      </w:r>
    </w:p>
    <w:p w14:paraId="0517996F" w14:textId="31149C76" w:rsidR="00D67E10" w:rsidRPr="00C50854" w:rsidRDefault="00D67E10" w:rsidP="00D67E10">
      <w:pPr>
        <w:numPr>
          <w:ilvl w:val="0"/>
          <w:numId w:val="18"/>
        </w:numPr>
        <w:suppressAutoHyphens w:val="0"/>
        <w:autoSpaceDE w:val="0"/>
        <w:autoSpaceDN w:val="0"/>
        <w:adjustRightInd w:val="0"/>
        <w:spacing w:before="120" w:after="120"/>
        <w:jc w:val="both"/>
        <w:rPr>
          <w:i/>
          <w:iCs/>
          <w:lang w:eastAsia="et-EE"/>
        </w:rPr>
      </w:pPr>
      <w:r w:rsidRPr="00C50854">
        <w:rPr>
          <w:i/>
          <w:iCs/>
          <w:lang w:eastAsia="et-EE"/>
        </w:rPr>
        <w:t>jaotama 100mm läbimõõduga kaablikanalisatsioonile juurdepääsu osutamisel kaablikanalisatsiooni ava 12-ks paigalduskohaks</w:t>
      </w:r>
      <w:r w:rsidR="004F1D99" w:rsidRPr="00C50854">
        <w:rPr>
          <w:i/>
          <w:iCs/>
          <w:lang w:eastAsia="et-EE"/>
        </w:rPr>
        <w:t xml:space="preserve"> (põhjendus </w:t>
      </w:r>
      <w:proofErr w:type="spellStart"/>
      <w:r w:rsidR="004F1D99" w:rsidRPr="00C50854">
        <w:rPr>
          <w:i/>
          <w:iCs/>
          <w:lang w:eastAsia="et-EE"/>
        </w:rPr>
        <w:t>ptk</w:t>
      </w:r>
      <w:proofErr w:type="spellEnd"/>
      <w:r w:rsidR="004F1D99" w:rsidRPr="00C50854">
        <w:rPr>
          <w:i/>
          <w:iCs/>
          <w:lang w:eastAsia="et-EE"/>
        </w:rPr>
        <w:t xml:space="preserve"> 6.2.3.2)</w:t>
      </w:r>
      <w:r w:rsidRPr="00C50854">
        <w:rPr>
          <w:i/>
          <w:iCs/>
          <w:lang w:eastAsia="et-EE"/>
        </w:rPr>
        <w:t xml:space="preserve">, sh: </w:t>
      </w:r>
    </w:p>
    <w:p w14:paraId="7565E567" w14:textId="7585A8D6" w:rsidR="00D67E10" w:rsidRPr="00C50854" w:rsidRDefault="00D67E10" w:rsidP="00D67E10">
      <w:pPr>
        <w:suppressAutoHyphens w:val="0"/>
        <w:autoSpaceDE w:val="0"/>
        <w:autoSpaceDN w:val="0"/>
        <w:adjustRightInd w:val="0"/>
        <w:spacing w:before="120" w:after="120"/>
        <w:ind w:left="720"/>
        <w:jc w:val="both"/>
        <w:rPr>
          <w:i/>
          <w:iCs/>
          <w:lang w:eastAsia="et-EE"/>
        </w:rPr>
      </w:pPr>
      <w:r w:rsidRPr="00C50854">
        <w:rPr>
          <w:i/>
          <w:iCs/>
          <w:lang w:eastAsia="et-EE"/>
        </w:rPr>
        <w:t>Telia peab enne kaablikanalisatsiooni ava 12-ks paigalduskohaks jaotamist esitama vastavad paigalduskohtade mahtude ümberhindamisega ja arveldusandmete muutmisega seotud kulud ja hinnad TTJA-</w:t>
      </w:r>
      <w:proofErr w:type="spellStart"/>
      <w:r w:rsidRPr="00C50854">
        <w:rPr>
          <w:i/>
          <w:iCs/>
          <w:lang w:eastAsia="et-EE"/>
        </w:rPr>
        <w:t>le</w:t>
      </w:r>
      <w:proofErr w:type="spellEnd"/>
      <w:r w:rsidRPr="00C50854">
        <w:rPr>
          <w:i/>
          <w:iCs/>
          <w:lang w:eastAsia="et-EE"/>
        </w:rPr>
        <w:t xml:space="preserve"> analüüsimiseks hiljemalt 2 kuud pärast käesoleva otsuse jõustumist. Telia võib kaablikanalisatsiooni ava 12-ks paigalduskohaks jaotada alles pärast TTJA poolset kulude ja hindade analüüsi ning otsust. TTJA rakendab otsuse osas ESS § 152 sätestatud konsulteerimiskohustust. Kui TTJA analüüsi tulemus näitab, et Telia arvestatud kulud ja hinnad ei ole arvestatud vastavalt hinnakohustuse peatükis 6.5.4 sätestatud meetodile, siis võib TTJA teha vastava ettekirjutuse kulude ja hinna arvestuse muutmiseks. Telia peab kaablikanalisatsiooni ava 12-ks paigalduskohaks jaotama hiljemalt 4 kuud pärast eelnimetatud TTJA otsust.</w:t>
      </w:r>
    </w:p>
    <w:p w14:paraId="611E9574" w14:textId="77777777" w:rsidR="00D67E10" w:rsidRPr="00C50854" w:rsidRDefault="00D67E10" w:rsidP="00D67E10">
      <w:pPr>
        <w:numPr>
          <w:ilvl w:val="0"/>
          <w:numId w:val="18"/>
        </w:numPr>
        <w:suppressAutoHyphens w:val="0"/>
        <w:autoSpaceDE w:val="0"/>
        <w:autoSpaceDN w:val="0"/>
        <w:adjustRightInd w:val="0"/>
        <w:spacing w:before="120" w:after="120"/>
        <w:jc w:val="both"/>
        <w:rPr>
          <w:lang w:eastAsia="et-EE"/>
        </w:rPr>
      </w:pPr>
      <w:r w:rsidRPr="00C50854">
        <w:rPr>
          <w:lang w:eastAsia="et-EE"/>
        </w:rPr>
        <w:t>rakendama 100 mm läbimõõduga hoonetesse sisenevatele üheavaliste kaablikanalisatsioonide korral ainult ühte reservkohta (ehk 1/6 avast)</w:t>
      </w:r>
      <w:r w:rsidRPr="00C50854">
        <w:rPr>
          <w:vertAlign w:val="superscript"/>
          <w:lang w:eastAsia="et-EE"/>
        </w:rPr>
        <w:footnoteReference w:id="96"/>
      </w:r>
      <w:r w:rsidRPr="00C50854">
        <w:rPr>
          <w:lang w:eastAsia="et-EE"/>
        </w:rPr>
        <w:t>;</w:t>
      </w:r>
    </w:p>
    <w:p w14:paraId="6D5878DA" w14:textId="571C30CA" w:rsidR="00D67E10" w:rsidRPr="00C50854" w:rsidRDefault="00D67E10" w:rsidP="00D67E10">
      <w:pPr>
        <w:numPr>
          <w:ilvl w:val="0"/>
          <w:numId w:val="18"/>
        </w:numPr>
        <w:suppressAutoHyphens w:val="0"/>
        <w:autoSpaceDE w:val="0"/>
        <w:autoSpaceDN w:val="0"/>
        <w:adjustRightInd w:val="0"/>
        <w:spacing w:before="120" w:after="120"/>
        <w:jc w:val="both"/>
        <w:rPr>
          <w:i/>
          <w:iCs/>
          <w:lang w:eastAsia="et-EE"/>
        </w:rPr>
      </w:pPr>
      <w:r w:rsidRPr="00C50854">
        <w:rPr>
          <w:i/>
          <w:iCs/>
          <w:lang w:eastAsia="et-EE"/>
        </w:rPr>
        <w:t>pakkuma huvitatud sideettevõtja taotluse alusel amortiseerunud kaablikanalisatsiooni taastamise teenust</w:t>
      </w:r>
      <w:r w:rsidRPr="00C50854">
        <w:rPr>
          <w:rStyle w:val="Allmrkuseviide"/>
          <w:i/>
          <w:iCs/>
          <w:lang w:eastAsia="et-EE"/>
        </w:rPr>
        <w:footnoteReference w:id="97"/>
      </w:r>
      <w:r w:rsidR="00EF2FE6" w:rsidRPr="00C50854">
        <w:rPr>
          <w:i/>
          <w:iCs/>
          <w:lang w:eastAsia="et-EE"/>
        </w:rPr>
        <w:t xml:space="preserve"> (põhjendus 6.2.3.3)</w:t>
      </w:r>
      <w:r w:rsidRPr="00C50854">
        <w:rPr>
          <w:i/>
          <w:iCs/>
          <w:lang w:eastAsia="et-EE"/>
        </w:rPr>
        <w:t>, sh:</w:t>
      </w:r>
    </w:p>
    <w:p w14:paraId="76212ABE" w14:textId="77777777" w:rsidR="00D67E10" w:rsidRPr="00C50854" w:rsidRDefault="00D67E10" w:rsidP="00D67E10">
      <w:pPr>
        <w:suppressAutoHyphens w:val="0"/>
        <w:autoSpaceDE w:val="0"/>
        <w:autoSpaceDN w:val="0"/>
        <w:adjustRightInd w:val="0"/>
        <w:spacing w:before="120" w:after="120"/>
        <w:ind w:left="720"/>
        <w:jc w:val="both"/>
        <w:rPr>
          <w:i/>
          <w:iCs/>
          <w:lang w:eastAsia="et-EE"/>
        </w:rPr>
      </w:pPr>
      <w:r w:rsidRPr="00C50854">
        <w:rPr>
          <w:i/>
          <w:iCs/>
          <w:lang w:eastAsia="et-EE"/>
        </w:rPr>
        <w:t>Amortiseerunud kaablikanalisatsiooni taastamise kulud tasub Telia ja Telia omistab need kaablikanalisatsiooni kogukuludele, mille alusel arvestatakse kaablikanalisatsioonile juurdepääsu kuutasud. Selleks, et tagada amortiseerunud kaablikanalisatsiooni taastamise taotluste põhjendatus võib Telia nõuda, et taotlev taastamisest huvitatud sideettevõtja sõlmiks kaablikanalisatsiooni kasutamise eellepingu kuni järgmise 3 aasta peale.</w:t>
      </w:r>
    </w:p>
    <w:p w14:paraId="7171BC6C" w14:textId="77777777" w:rsidR="00D67E10" w:rsidRPr="00C50854" w:rsidRDefault="00D67E10" w:rsidP="00D67E10">
      <w:pPr>
        <w:numPr>
          <w:ilvl w:val="0"/>
          <w:numId w:val="18"/>
        </w:numPr>
        <w:suppressAutoHyphens w:val="0"/>
        <w:autoSpaceDE w:val="0"/>
        <w:autoSpaceDN w:val="0"/>
        <w:adjustRightInd w:val="0"/>
        <w:spacing w:before="120" w:after="120"/>
        <w:jc w:val="both"/>
        <w:rPr>
          <w:lang w:eastAsia="et-EE"/>
        </w:rPr>
      </w:pPr>
      <w:r w:rsidRPr="00C50854">
        <w:rPr>
          <w:lang w:eastAsia="et-EE"/>
        </w:rPr>
        <w:t xml:space="preserve">võimaldama kaablikanalisatsioonile juurdepääsuks vajalikku </w:t>
      </w:r>
      <w:proofErr w:type="spellStart"/>
      <w:r w:rsidRPr="00C50854">
        <w:rPr>
          <w:lang w:eastAsia="et-EE"/>
        </w:rPr>
        <w:t>ühispaiknemist</w:t>
      </w:r>
      <w:proofErr w:type="spellEnd"/>
      <w:r w:rsidRPr="00C50854">
        <w:rPr>
          <w:lang w:eastAsia="et-EE"/>
        </w:rPr>
        <w:t xml:space="preserve"> või muid ühiskasutuse viise, sealhulgas kaablikaevude ühiskasutust</w:t>
      </w:r>
      <w:r w:rsidRPr="00C50854">
        <w:rPr>
          <w:vertAlign w:val="superscript"/>
          <w:lang w:eastAsia="et-EE"/>
        </w:rPr>
        <w:footnoteReference w:id="98"/>
      </w:r>
      <w:r w:rsidRPr="00C50854">
        <w:rPr>
          <w:lang w:eastAsia="et-EE"/>
        </w:rPr>
        <w:t>;</w:t>
      </w:r>
    </w:p>
    <w:p w14:paraId="33566FC0" w14:textId="77777777" w:rsidR="00D67E10" w:rsidRPr="00C50854" w:rsidRDefault="00D67E10" w:rsidP="00D67E10">
      <w:pPr>
        <w:numPr>
          <w:ilvl w:val="0"/>
          <w:numId w:val="18"/>
        </w:numPr>
        <w:suppressAutoHyphens w:val="0"/>
        <w:autoSpaceDE w:val="0"/>
        <w:autoSpaceDN w:val="0"/>
        <w:adjustRightInd w:val="0"/>
        <w:spacing w:before="120" w:after="120"/>
        <w:jc w:val="both"/>
        <w:rPr>
          <w:lang w:eastAsia="et-EE"/>
        </w:rPr>
      </w:pPr>
      <w:r w:rsidRPr="00C50854">
        <w:rPr>
          <w:lang w:eastAsia="et-EE"/>
        </w:rPr>
        <w:t>pakkuma juurdepääsu kaablikanalisatsioonile juurdepääsuks vajalikele tugisüsteemidele ja/või tarkvarasüsteemidele, sealhulgas tehniliste tingimuste tellimise, teenuse tellimise, tehnilise hoolduse ja remondi teabesüsteemidele</w:t>
      </w:r>
      <w:r w:rsidRPr="00C50854">
        <w:rPr>
          <w:vertAlign w:val="superscript"/>
          <w:lang w:eastAsia="et-EE"/>
        </w:rPr>
        <w:footnoteReference w:id="99"/>
      </w:r>
      <w:r w:rsidRPr="00C50854">
        <w:rPr>
          <w:lang w:eastAsia="et-EE"/>
        </w:rPr>
        <w:t>;</w:t>
      </w:r>
    </w:p>
    <w:p w14:paraId="1609DD9D" w14:textId="34F3D203" w:rsidR="00D67E10" w:rsidRPr="00C50854" w:rsidRDefault="00D67E10" w:rsidP="00D67E10">
      <w:pPr>
        <w:numPr>
          <w:ilvl w:val="0"/>
          <w:numId w:val="18"/>
        </w:numPr>
        <w:suppressAutoHyphens w:val="0"/>
        <w:autoSpaceDE w:val="0"/>
        <w:autoSpaceDN w:val="0"/>
        <w:adjustRightInd w:val="0"/>
        <w:spacing w:before="120" w:after="120"/>
        <w:jc w:val="both"/>
        <w:rPr>
          <w:strike/>
          <w:lang w:eastAsia="et-EE"/>
        </w:rPr>
      </w:pPr>
      <w:r w:rsidRPr="00C50854">
        <w:rPr>
          <w:lang w:eastAsia="et-EE"/>
        </w:rPr>
        <w:t xml:space="preserve">võimaldama teistele sideettevõtjatele kaablikanalisatsioonile juurdepääs </w:t>
      </w:r>
      <w:r w:rsidRPr="00C50854">
        <w:rPr>
          <w:i/>
          <w:iCs/>
          <w:lang w:eastAsia="et-EE"/>
        </w:rPr>
        <w:t>(sh tehniliste tingimuste väljastamine) nii kiiresti kui võimalik</w:t>
      </w:r>
      <w:r w:rsidRPr="00C50854">
        <w:rPr>
          <w:lang w:eastAsia="et-EE"/>
        </w:rPr>
        <w:t xml:space="preserve"> ja mitte pikema tähtaja jooksul kui Telia </w:t>
      </w:r>
      <w:r w:rsidRPr="00C50854">
        <w:rPr>
          <w:lang w:eastAsia="et-EE"/>
        </w:rPr>
        <w:lastRenderedPageBreak/>
        <w:t>võimaldab kaablikanalisatsioonile juurdepääsu enda allüksustele</w:t>
      </w:r>
      <w:r w:rsidRPr="00C50854">
        <w:rPr>
          <w:i/>
          <w:iCs/>
          <w:lang w:eastAsia="et-EE"/>
        </w:rPr>
        <w:t xml:space="preserve"> ning</w:t>
      </w:r>
      <w:r w:rsidRPr="00C50854">
        <w:rPr>
          <w:lang w:eastAsia="et-EE"/>
        </w:rPr>
        <w:t xml:space="preserve"> määratlema kaablikanalisatsioonile juurdepääsu </w:t>
      </w:r>
      <w:r w:rsidRPr="00C50854">
        <w:rPr>
          <w:i/>
          <w:iCs/>
          <w:lang w:eastAsia="et-EE"/>
        </w:rPr>
        <w:t>tehniliste tingimuste väljastamise ja juurdepääsu võimaldamise</w:t>
      </w:r>
      <w:r w:rsidRPr="00C50854">
        <w:rPr>
          <w:lang w:eastAsia="et-EE"/>
        </w:rPr>
        <w:t xml:space="preserve"> tähtajad oma näidispakkumises</w:t>
      </w:r>
      <w:r w:rsidRPr="00C50854">
        <w:rPr>
          <w:vertAlign w:val="superscript"/>
          <w:lang w:eastAsia="et-EE"/>
        </w:rPr>
        <w:footnoteReference w:id="100"/>
      </w:r>
      <w:r w:rsidR="00EF2FE6" w:rsidRPr="00C50854">
        <w:rPr>
          <w:lang w:eastAsia="et-EE"/>
        </w:rPr>
        <w:t>.</w:t>
      </w:r>
    </w:p>
    <w:p w14:paraId="138780B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401" w:name="_Hlk38975450"/>
      <w:r w:rsidRPr="00C50854">
        <w:rPr>
          <w:lang w:eastAsia="et-EE"/>
        </w:rPr>
        <w:t>Tulenevalt ESS § 64 lg 2 on sideettevõtja, kelle suhtes on TJA kehtestanud juurdepääsu kohustuse, kohustatud juurdepääsu kohustuse täitmisel vastavalt kohustuse iseloomule täitma järgmisi nõudeid:</w:t>
      </w:r>
    </w:p>
    <w:p w14:paraId="5062AF0C" w14:textId="77777777" w:rsidR="00D67E10" w:rsidRPr="00C50854" w:rsidRDefault="00D67E10" w:rsidP="00D67E10">
      <w:pPr>
        <w:numPr>
          <w:ilvl w:val="0"/>
          <w:numId w:val="33"/>
        </w:numPr>
        <w:suppressAutoHyphens w:val="0"/>
        <w:autoSpaceDE w:val="0"/>
        <w:autoSpaceDN w:val="0"/>
        <w:adjustRightInd w:val="0"/>
        <w:spacing w:before="120" w:after="120"/>
        <w:jc w:val="both"/>
        <w:rPr>
          <w:lang w:eastAsia="et-EE"/>
        </w:rPr>
      </w:pPr>
      <w:r w:rsidRPr="00C50854">
        <w:rPr>
          <w:lang w:eastAsia="et-EE"/>
        </w:rPr>
        <w:t>võimaldama kasutada võrgu seadmeid, ehitisi ning liinirajatisi võrdsetel tingimustel ja kvaliteediga, millega ta seda osutab oma ema- ja tütarettevõtjale, klientidele või äripartneritele;</w:t>
      </w:r>
    </w:p>
    <w:p w14:paraId="74E237C6" w14:textId="77777777" w:rsidR="00D67E10" w:rsidRPr="00C50854" w:rsidRDefault="00D67E10" w:rsidP="00D67E10">
      <w:pPr>
        <w:numPr>
          <w:ilvl w:val="0"/>
          <w:numId w:val="33"/>
        </w:numPr>
        <w:suppressAutoHyphens w:val="0"/>
        <w:autoSpaceDE w:val="0"/>
        <w:autoSpaceDN w:val="0"/>
        <w:adjustRightInd w:val="0"/>
        <w:spacing w:before="120" w:after="120"/>
        <w:jc w:val="both"/>
        <w:rPr>
          <w:lang w:eastAsia="et-EE"/>
        </w:rPr>
      </w:pPr>
      <w:r w:rsidRPr="00C50854">
        <w:rPr>
          <w:lang w:eastAsia="et-EE"/>
        </w:rPr>
        <w:t>võimaldama juurdepääsuks taotluse esitanud ettevõtjal saada juurdepääsuks vajalikku teavet;</w:t>
      </w:r>
    </w:p>
    <w:p w14:paraId="25828DA9" w14:textId="3AAF35C8" w:rsidR="00D67E10" w:rsidRPr="00C50854" w:rsidRDefault="00EF2FE6" w:rsidP="00D67E10">
      <w:pPr>
        <w:numPr>
          <w:ilvl w:val="0"/>
          <w:numId w:val="33"/>
        </w:numPr>
        <w:suppressAutoHyphens w:val="0"/>
        <w:autoSpaceDE w:val="0"/>
        <w:autoSpaceDN w:val="0"/>
        <w:adjustRightInd w:val="0"/>
        <w:spacing w:before="120" w:after="120"/>
        <w:jc w:val="both"/>
        <w:rPr>
          <w:lang w:eastAsia="et-EE"/>
        </w:rPr>
      </w:pPr>
      <w:r w:rsidRPr="00C50854">
        <w:rPr>
          <w:lang w:eastAsia="et-EE"/>
        </w:rPr>
        <w:t>kasutama juurdepääsu seoses saadud teavet üksnes vastava teenuse osutamiseks ning mitte avaldama seda kolmandale isikule, eelkõige teisele struktuuriüksusele, tütarettevõtjale ega partnerile, kellele selline teave võiks anda konkurentsieeliseid, kui seaduses ei ole sätestatud teisiti;</w:t>
      </w:r>
    </w:p>
    <w:p w14:paraId="1C814112" w14:textId="6EAF1F08" w:rsidR="00D67E10" w:rsidRPr="00C50854" w:rsidRDefault="00D67E10" w:rsidP="00D67E10">
      <w:pPr>
        <w:numPr>
          <w:ilvl w:val="0"/>
          <w:numId w:val="33"/>
        </w:numPr>
        <w:suppressAutoHyphens w:val="0"/>
        <w:autoSpaceDE w:val="0"/>
        <w:autoSpaceDN w:val="0"/>
        <w:adjustRightInd w:val="0"/>
        <w:spacing w:before="120" w:after="120"/>
        <w:jc w:val="both"/>
        <w:rPr>
          <w:lang w:eastAsia="et-EE"/>
        </w:rPr>
      </w:pPr>
      <w:r w:rsidRPr="00C50854">
        <w:rPr>
          <w:lang w:eastAsia="et-EE"/>
        </w:rPr>
        <w:t>mitte piirama oma klientide juurdepääsu teise sideettevõtja poolt osutatavatele teenustele.</w:t>
      </w:r>
    </w:p>
    <w:p w14:paraId="4F46785B" w14:textId="77777777" w:rsidR="00EF2FE6" w:rsidRPr="00C50854" w:rsidRDefault="00EF2FE6" w:rsidP="00EF2FE6">
      <w:pPr>
        <w:suppressAutoHyphens w:val="0"/>
        <w:autoSpaceDE w:val="0"/>
        <w:autoSpaceDN w:val="0"/>
        <w:adjustRightInd w:val="0"/>
        <w:spacing w:before="120" w:after="120"/>
        <w:ind w:left="1068"/>
        <w:jc w:val="both"/>
        <w:rPr>
          <w:lang w:eastAsia="et-EE"/>
        </w:rPr>
      </w:pPr>
    </w:p>
    <w:p w14:paraId="25AA1D9E" w14:textId="77777777" w:rsidR="00D67E10" w:rsidRPr="00C50854" w:rsidRDefault="00D67E10" w:rsidP="00D67E10">
      <w:pPr>
        <w:pStyle w:val="Pealkiri2"/>
        <w:jc w:val="both"/>
        <w:rPr>
          <w:b w:val="0"/>
          <w:bCs w:val="0"/>
          <w:lang w:eastAsia="et-EE"/>
        </w:rPr>
      </w:pPr>
      <w:bookmarkStart w:id="402" w:name="_Toc212974436"/>
      <w:bookmarkStart w:id="403" w:name="_Toc213122164"/>
      <w:bookmarkStart w:id="404" w:name="_Toc213140785"/>
      <w:bookmarkStart w:id="405" w:name="_Toc215466510"/>
      <w:bookmarkStart w:id="406" w:name="_Toc216228063"/>
      <w:bookmarkStart w:id="407" w:name="_Toc457983656"/>
      <w:bookmarkStart w:id="408" w:name="_Toc464639362"/>
      <w:bookmarkStart w:id="409" w:name="_Toc39125680"/>
      <w:bookmarkStart w:id="410" w:name="_Toc42072469"/>
      <w:bookmarkEnd w:id="401"/>
      <w:r w:rsidRPr="00C50854">
        <w:rPr>
          <w:lang w:eastAsia="et-EE"/>
        </w:rPr>
        <w:t>6.3. Mittediskrimineerimise kohustus</w:t>
      </w:r>
      <w:bookmarkEnd w:id="402"/>
      <w:bookmarkEnd w:id="403"/>
      <w:bookmarkEnd w:id="404"/>
      <w:bookmarkEnd w:id="405"/>
      <w:bookmarkEnd w:id="406"/>
      <w:bookmarkEnd w:id="407"/>
      <w:bookmarkEnd w:id="408"/>
      <w:bookmarkEnd w:id="409"/>
      <w:bookmarkEnd w:id="410"/>
    </w:p>
    <w:p w14:paraId="0A3EF438" w14:textId="77777777" w:rsidR="00D67E10" w:rsidRPr="00C50854" w:rsidRDefault="00D67E10" w:rsidP="00D67E10">
      <w:pPr>
        <w:pStyle w:val="Pealkiri3"/>
        <w:rPr>
          <w:i/>
        </w:rPr>
      </w:pPr>
      <w:bookmarkStart w:id="411" w:name="_Toc212974437"/>
      <w:bookmarkStart w:id="412" w:name="_Toc213122165"/>
      <w:bookmarkStart w:id="413" w:name="_Toc213140786"/>
      <w:bookmarkStart w:id="414" w:name="_Toc215466511"/>
      <w:bookmarkStart w:id="415" w:name="_Toc216228064"/>
      <w:bookmarkStart w:id="416" w:name="_Toc457983657"/>
      <w:bookmarkStart w:id="417" w:name="_Toc464639363"/>
      <w:bookmarkStart w:id="418" w:name="_Toc39125681"/>
      <w:bookmarkStart w:id="419" w:name="_Toc42072470"/>
      <w:r w:rsidRPr="00C50854">
        <w:rPr>
          <w:i/>
        </w:rPr>
        <w:t>6.3.1. Mittediskrimineerimise kohustuse eesmärk</w:t>
      </w:r>
      <w:bookmarkEnd w:id="411"/>
      <w:bookmarkEnd w:id="412"/>
      <w:bookmarkEnd w:id="413"/>
      <w:bookmarkEnd w:id="414"/>
      <w:bookmarkEnd w:id="415"/>
      <w:bookmarkEnd w:id="416"/>
      <w:r w:rsidRPr="00C50854">
        <w:rPr>
          <w:i/>
        </w:rPr>
        <w:t xml:space="preserve"> ja alused</w:t>
      </w:r>
      <w:bookmarkEnd w:id="417"/>
      <w:bookmarkEnd w:id="418"/>
      <w:bookmarkEnd w:id="419"/>
    </w:p>
    <w:p w14:paraId="2C2BB634"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Mittediskrimineerimise kohustus on suunatud peatükis </w:t>
      </w:r>
      <w:r w:rsidRPr="00C50854">
        <w:rPr>
          <w:lang w:eastAsia="et-EE"/>
        </w:rPr>
        <w:fldChar w:fldCharType="begin"/>
      </w:r>
      <w:r w:rsidRPr="00C50854">
        <w:rPr>
          <w:lang w:eastAsia="et-EE"/>
        </w:rPr>
        <w:instrText xml:space="preserve"> REF _Ref465421007 \h  \* MERGEFORMAT </w:instrText>
      </w:r>
      <w:r w:rsidRPr="00C50854">
        <w:rPr>
          <w:lang w:eastAsia="et-EE"/>
        </w:rPr>
      </w:r>
      <w:r w:rsidRPr="00C50854">
        <w:rPr>
          <w:lang w:eastAsia="et-EE"/>
        </w:rPr>
        <w:fldChar w:fldCharType="separate"/>
      </w:r>
      <w:r w:rsidRPr="00C50854">
        <w:t>6.3.2. Diskrimineerimisega seotud konkurentsiprobleemid</w:t>
      </w:r>
      <w:r w:rsidRPr="00C50854">
        <w:rPr>
          <w:lang w:eastAsia="et-EE"/>
        </w:rPr>
        <w:fldChar w:fldCharType="end"/>
      </w:r>
      <w:r w:rsidRPr="00C50854">
        <w:rPr>
          <w:lang w:eastAsia="et-EE"/>
        </w:rPr>
        <w:t>“ kirjeldatud kvaliteedi- ja hinnadiskrimineerimisega seotud konkurentsiprobleemide vältimisele. Mittediskrimineerimise kohustuse eesmärgiks</w:t>
      </w:r>
      <w:r w:rsidRPr="00C50854">
        <w:rPr>
          <w:vertAlign w:val="superscript"/>
          <w:lang w:eastAsia="et-EE"/>
        </w:rPr>
        <w:footnoteReference w:id="101"/>
      </w:r>
      <w:r w:rsidRPr="00C50854">
        <w:rPr>
          <w:lang w:eastAsia="et-EE"/>
        </w:rPr>
        <w:t xml:space="preserve"> on tagada, et märkimisväärse turujõuga ettevõtja ei moonutaks konkurentsi ja tagaks sideettevõtjate võrdse kohtlemise eelkõige juhul, kui tegemist on vertikaalselt integreeritud ettevõtjaga, kes pakub teenuseid ettevõtjatele, kellega ta konkureerib allapoole seotud turgudel.</w:t>
      </w:r>
    </w:p>
    <w:p w14:paraId="23F9A2AA"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TTJA võib</w:t>
      </w:r>
      <w:r w:rsidRPr="00C50854">
        <w:rPr>
          <w:vertAlign w:val="superscript"/>
          <w:lang w:eastAsia="et-EE"/>
        </w:rPr>
        <w:footnoteReference w:id="102"/>
      </w:r>
      <w:r w:rsidRPr="00C50854">
        <w:rPr>
          <w:lang w:eastAsia="et-EE"/>
        </w:rPr>
        <w:t xml:space="preserve"> märkimisväärse turujõuga ettevõtjale kehtestada mittediskrimineerimise kohustuse, mis peab tagama, et märkimisväärse turujõuga ettevõtja ning eriti vertikaalselt integreeritud märkimisväärse turujõuga ettevõtja, kes pakub teenuseid ettevõtjatele, kellega ta konkureerib jaemüügi tasandil, rakendab teiste ettevõtjate suhtes, kes osutavad sarnaseid teenuseid, samadel asjaoludel samaväärseid tingimusi ning et märkimisväärse turujõuga ettevõtja osutab teenuseid ja avaldab informatsiooni nendele ettevõtjatele samadel tingimustel ja samasuguse kvaliteediga nagu enda või oma tütarettevõtjate või partnerite puhul.</w:t>
      </w:r>
    </w:p>
    <w:p w14:paraId="3AE208F5" w14:textId="77777777" w:rsidR="00D67E10" w:rsidRPr="00C50854" w:rsidRDefault="00D67E10" w:rsidP="00D67E10">
      <w:pPr>
        <w:pStyle w:val="Pealkiri3"/>
        <w:rPr>
          <w:i/>
        </w:rPr>
      </w:pPr>
      <w:bookmarkStart w:id="420" w:name="_Toc435703524"/>
      <w:bookmarkStart w:id="421" w:name="_Toc436038414"/>
      <w:bookmarkStart w:id="422" w:name="_Toc448402223"/>
      <w:bookmarkStart w:id="423" w:name="_Toc464639364"/>
      <w:bookmarkStart w:id="424" w:name="_Ref465421007"/>
      <w:bookmarkStart w:id="425" w:name="_Ref465421127"/>
      <w:bookmarkStart w:id="426" w:name="_Ref465421195"/>
      <w:bookmarkStart w:id="427" w:name="_Ref465421365"/>
      <w:bookmarkStart w:id="428" w:name="_Ref465421602"/>
      <w:bookmarkStart w:id="429" w:name="_Toc39125682"/>
      <w:bookmarkStart w:id="430" w:name="_Toc42072471"/>
      <w:bookmarkStart w:id="431" w:name="_Ref210032643"/>
      <w:bookmarkStart w:id="432" w:name="_Toc212974438"/>
      <w:bookmarkStart w:id="433" w:name="_Toc213122166"/>
      <w:bookmarkStart w:id="434" w:name="_Toc213140787"/>
      <w:bookmarkStart w:id="435" w:name="_Toc215466512"/>
      <w:bookmarkStart w:id="436" w:name="_Toc216228065"/>
      <w:bookmarkStart w:id="437" w:name="_Toc457983658"/>
      <w:r w:rsidRPr="00C50854">
        <w:rPr>
          <w:i/>
        </w:rPr>
        <w:t>6.3.2. Diskrimineerimisega seotud konkurentsiprobleemid</w:t>
      </w:r>
      <w:bookmarkEnd w:id="420"/>
      <w:bookmarkEnd w:id="421"/>
      <w:bookmarkEnd w:id="422"/>
      <w:bookmarkEnd w:id="423"/>
      <w:bookmarkEnd w:id="424"/>
      <w:bookmarkEnd w:id="425"/>
      <w:bookmarkEnd w:id="426"/>
      <w:bookmarkEnd w:id="427"/>
      <w:bookmarkEnd w:id="428"/>
      <w:bookmarkEnd w:id="429"/>
      <w:bookmarkEnd w:id="430"/>
    </w:p>
    <w:p w14:paraId="0C7E777F"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438" w:name="_Hlk24966781"/>
      <w:r w:rsidRPr="00C50854">
        <w:rPr>
          <w:lang w:eastAsia="et-EE"/>
        </w:rPr>
        <w:t>Diskrimineerimisega seotud konkurentsiprobleemid jagunevad kvaliteediga ja hinnaga seotud konkurentsiprobleemideks.</w:t>
      </w:r>
    </w:p>
    <w:p w14:paraId="6ABB0A77"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Kvaliteedidiskrimineerimine seisneb teistele konkureerivatele sideettevõtjatele madalama kvaliteediga teenuste osutamises võrreldes endaga. Kvaliteedidiskrimineerimise läbi saab </w:t>
      </w:r>
      <w:r w:rsidRPr="00C50854">
        <w:rPr>
          <w:lang w:eastAsia="et-EE"/>
        </w:rPr>
        <w:lastRenderedPageBreak/>
        <w:t>turgu valitsev ettevõtja kas tõsta konkurentide kulusid või piirata oma konkurentide poolt osutatavate teenuste väljamüüki.</w:t>
      </w:r>
    </w:p>
    <w:p w14:paraId="248D7470"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Hinnadiskrimineerimine jaguneb hinnadiskrimineerimiseks sideettevõtjate vahel ja hinnadiskrimineerimiseks sisemise ja välimise varustamise vahel. </w:t>
      </w:r>
    </w:p>
    <w:p w14:paraId="61B8B42B"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Hinnadiskrimineerimine sideettevõtjate vahel seisneb erinevate juurdepääsu hindade rakendamises erinevatele sideettevõtjatele. </w:t>
      </w:r>
    </w:p>
    <w:p w14:paraId="05E4BA67"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Hinnadiskrimineerimisega sisemise ja välimise varustamise vahel on tegemist juhul, kui vertikaalselt integreeritud sideettevõtja pakub teisele sideettevõtjale ebavõrdseid ja konkurentsi kahjustavaid sidevõrgule juurdepääsu hinna tingimusi võrreldes oma jaeteenuse üksusele pakutavaga. Näiteks nõuab teiselt sideettevõtjalt sidevõrgule juurdepääsu eest kõrgemat hinda (sageli ka ülemäärast hinda), kui oma jaeteenuse üksuselt. Ehk teisisõnu toimub diskrimineerimine sisemise ja välimise varustamise vahel. Sidevõrgule juurdepääsu hulgiteenuste turul võib märkimisväärse turujõuga vertikaalselt integreeritud sideettevõtja hinnadiskrimineerimise tagajärjel tõsta oma konkurentide kulusid sideteenuste jaeturul läbi ülemäärase hulgihinna, mis võib viia konkurentide jaemüügi piiramiseni ning seeläbi üleüldise konkurentsiolukorra kahjustamiseni.</w:t>
      </w:r>
    </w:p>
    <w:p w14:paraId="32CFC0A9"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439" w:name="_Hlk31976861"/>
      <w:r w:rsidRPr="00C50854">
        <w:rPr>
          <w:lang w:eastAsia="et-EE"/>
        </w:rPr>
        <w:t>BEREC on avaldanud seisukoha, mis käsitleb lairibale juurdepääsu hulgiturul märkimisväärse turujõuga ettevõtjale kohustuste kehtestamise parimaid tavasid</w:t>
      </w:r>
      <w:r w:rsidRPr="00C50854">
        <w:rPr>
          <w:vertAlign w:val="superscript"/>
          <w:lang w:eastAsia="et-EE"/>
        </w:rPr>
        <w:footnoteReference w:id="103"/>
      </w:r>
      <w:r w:rsidRPr="00C50854">
        <w:rPr>
          <w:lang w:eastAsia="et-EE"/>
        </w:rPr>
        <w:t>. Selles tuuakse välja sagedamini esineda võivad diskrimineerimisega seotud konkurentsiprobleemid kohaliku juurdepääsu hulgituru teenuste osas, mis takistavad alternatiivsetel sideettevõtjatel tõhusalt konkureerida jaemüügiturul:</w:t>
      </w:r>
    </w:p>
    <w:bookmarkEnd w:id="439"/>
    <w:p w14:paraId="671ED28F" w14:textId="77777777" w:rsidR="00D67E10" w:rsidRPr="00C50854" w:rsidRDefault="00D67E10" w:rsidP="00D67E10">
      <w:pPr>
        <w:numPr>
          <w:ilvl w:val="0"/>
          <w:numId w:val="34"/>
        </w:numPr>
        <w:suppressAutoHyphens w:val="0"/>
        <w:spacing w:before="120" w:after="120"/>
        <w:contextualSpacing/>
        <w:jc w:val="both"/>
        <w:rPr>
          <w:lang w:eastAsia="et-EE"/>
        </w:rPr>
      </w:pPr>
      <w:r w:rsidRPr="00C50854">
        <w:rPr>
          <w:lang w:eastAsia="et-EE"/>
        </w:rPr>
        <w:t>MTE omab ebaõiglaseid eelised;</w:t>
      </w:r>
    </w:p>
    <w:p w14:paraId="24809683" w14:textId="77777777" w:rsidR="00D67E10" w:rsidRPr="00C50854" w:rsidRDefault="00D67E10" w:rsidP="00D67E10">
      <w:pPr>
        <w:numPr>
          <w:ilvl w:val="0"/>
          <w:numId w:val="34"/>
        </w:numPr>
        <w:suppressAutoHyphens w:val="0"/>
        <w:spacing w:before="120" w:after="120"/>
        <w:contextualSpacing/>
        <w:jc w:val="both"/>
        <w:rPr>
          <w:lang w:eastAsia="et-EE"/>
        </w:rPr>
      </w:pPr>
      <w:r w:rsidRPr="00C50854">
        <w:rPr>
          <w:lang w:eastAsia="et-EE"/>
        </w:rPr>
        <w:t>MTE kasutab diskrimineerivalt oma mastaabisäästu võimest tulenevat eeliseid, eriti kui see võime tuleneb turgu valitsevast positsioonist;</w:t>
      </w:r>
    </w:p>
    <w:p w14:paraId="741ADBE7" w14:textId="77777777" w:rsidR="00D67E10" w:rsidRPr="00C50854" w:rsidRDefault="00D67E10" w:rsidP="00D67E10">
      <w:pPr>
        <w:numPr>
          <w:ilvl w:val="0"/>
          <w:numId w:val="34"/>
        </w:numPr>
        <w:suppressAutoHyphens w:val="0"/>
        <w:spacing w:before="120" w:after="120"/>
        <w:contextualSpacing/>
        <w:jc w:val="both"/>
        <w:rPr>
          <w:lang w:eastAsia="et-EE"/>
        </w:rPr>
      </w:pPr>
      <w:r w:rsidRPr="00C50854">
        <w:rPr>
          <w:lang w:eastAsia="et-EE"/>
        </w:rPr>
        <w:t>MTE diskrimineerib alternatiivseid operaatoreid võrreldes nende oma jaetasandi äritegevusega kas hinna või muudes juurdepääsu tingimustes;</w:t>
      </w:r>
    </w:p>
    <w:p w14:paraId="45733596" w14:textId="77777777" w:rsidR="00D67E10" w:rsidRPr="00C50854" w:rsidRDefault="00D67E10" w:rsidP="00D67E10">
      <w:pPr>
        <w:numPr>
          <w:ilvl w:val="0"/>
          <w:numId w:val="34"/>
        </w:numPr>
        <w:suppressAutoHyphens w:val="0"/>
        <w:spacing w:before="120" w:after="120"/>
        <w:contextualSpacing/>
        <w:jc w:val="both"/>
        <w:rPr>
          <w:lang w:eastAsia="et-EE"/>
        </w:rPr>
      </w:pPr>
      <w:r w:rsidRPr="00C50854">
        <w:rPr>
          <w:lang w:eastAsia="et-EE"/>
        </w:rPr>
        <w:t>MTE rakendab takistavat ja venitavat käitumist.</w:t>
      </w:r>
    </w:p>
    <w:p w14:paraId="6FDBA151"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440" w:name="_Hlk32225248"/>
      <w:r w:rsidRPr="00C50854">
        <w:rPr>
          <w:lang w:eastAsia="et-EE"/>
        </w:rPr>
        <w:t>TTJA hinnangul on eelkirjeldatud diskrimineerimisega seotud konkurentsiprobleemide esinemine lähima kolme aasta jooksul tõenäoline, kuna puuduvad alused eeldada, et Telia vertikaalne integreeritus ja turujõud kohaliku juurdepääsu hulgiturul nimetatud perioodil märkimisväärselt väheneks. See annab Teliale võime rakendada diskrimineerivaid tingimusi kohaliku juurdepääsu hulgituru teenustele takistades teiste sideettevõtjate jaeturule sisenemist ning kahjustades seeläbi konkurentsi jaemüügi tasandil ning lõppkasutajate huve</w:t>
      </w:r>
      <w:bookmarkEnd w:id="440"/>
      <w:r w:rsidRPr="00C50854">
        <w:rPr>
          <w:lang w:eastAsia="et-EE"/>
        </w:rPr>
        <w:t>.</w:t>
      </w:r>
    </w:p>
    <w:p w14:paraId="57C89ADC"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Turuanalüüsi küsimustiku vastustes tõid alternatiivsed sideettevõtjad esile alljärgneva teema seoses Telia kliendiliinidele juurdepääsuga, mis võib tekitada diskrimineerimisega soetud konkurentsiprobleeme: </w:t>
      </w:r>
    </w:p>
    <w:p w14:paraId="19E1DAEA" w14:textId="1A6295F7" w:rsidR="00D67E10" w:rsidRPr="00C50854" w:rsidRDefault="00D67E10" w:rsidP="00D417D5">
      <w:pPr>
        <w:pStyle w:val="Loendilik"/>
        <w:suppressAutoHyphens w:val="0"/>
        <w:spacing w:before="120" w:after="120"/>
        <w:ind w:left="360"/>
        <w:jc w:val="both"/>
        <w:rPr>
          <w:lang w:eastAsia="et-EE"/>
        </w:rPr>
      </w:pPr>
      <w:r w:rsidRPr="00C50854">
        <w:rPr>
          <w:lang w:eastAsia="et-EE"/>
        </w:rPr>
        <w:t>Telia poolne kliendiliinile juurdepääsu hulgiteenuste tingimuste muutmisel ja/või lõpetamisel ei toimu vastavad muudatused ja/või lõpetamine sama aegselt Telia jaeteenuse klientidele samaväärse teenuse tingimuste muutmise ja/või lõpetamisega (näiteks Telia lõpetab teatud piirkonnas teenuse osutamise või muudab teenuse tingimusi kliendiliinidele juurdepääsu hulgitasandil varem kui jaetasandil)</w:t>
      </w:r>
      <w:r w:rsidR="00D417D5" w:rsidRPr="00C50854">
        <w:rPr>
          <w:lang w:eastAsia="et-EE"/>
        </w:rPr>
        <w:t xml:space="preserve">, </w:t>
      </w:r>
      <w:r w:rsidRPr="00C50854">
        <w:rPr>
          <w:lang w:eastAsia="et-EE"/>
        </w:rPr>
        <w:t>nimetatud teemat analüüsitakse peatükis 6.3.3.1.</w:t>
      </w:r>
    </w:p>
    <w:p w14:paraId="08981223" w14:textId="77777777" w:rsidR="00D67E10" w:rsidRPr="00C50854" w:rsidRDefault="00D67E10" w:rsidP="00D67E10">
      <w:pPr>
        <w:suppressAutoHyphens w:val="0"/>
        <w:autoSpaceDE w:val="0"/>
        <w:autoSpaceDN w:val="0"/>
        <w:adjustRightInd w:val="0"/>
        <w:spacing w:before="120" w:after="120"/>
        <w:jc w:val="both"/>
        <w:rPr>
          <w:lang w:eastAsia="et-EE"/>
        </w:rPr>
      </w:pPr>
    </w:p>
    <w:p w14:paraId="4CFC74FF" w14:textId="77777777" w:rsidR="00D67E10" w:rsidRPr="00C50854" w:rsidRDefault="00D67E10" w:rsidP="00D67E10">
      <w:pPr>
        <w:pStyle w:val="Pealkiri3"/>
        <w:rPr>
          <w:b w:val="0"/>
          <w:bCs w:val="0"/>
          <w:i/>
          <w:lang w:eastAsia="et-EE"/>
        </w:rPr>
      </w:pPr>
      <w:bookmarkStart w:id="441" w:name="_Toc332865988"/>
      <w:bookmarkStart w:id="442" w:name="_Toc435703525"/>
      <w:bookmarkStart w:id="443" w:name="_Toc436038415"/>
      <w:bookmarkStart w:id="444" w:name="_Toc448402224"/>
      <w:bookmarkStart w:id="445" w:name="_Toc464639365"/>
      <w:bookmarkStart w:id="446" w:name="_Toc39125683"/>
      <w:bookmarkStart w:id="447" w:name="_Toc42072472"/>
      <w:bookmarkStart w:id="448" w:name="_Hlk39047666"/>
      <w:bookmarkEnd w:id="438"/>
      <w:r w:rsidRPr="00C50854">
        <w:rPr>
          <w:i/>
        </w:rPr>
        <w:lastRenderedPageBreak/>
        <w:t xml:space="preserve">6.3.3. Mittediskrimineerimise kohustuse </w:t>
      </w:r>
      <w:bookmarkEnd w:id="441"/>
      <w:r w:rsidRPr="00C50854">
        <w:rPr>
          <w:i/>
        </w:rPr>
        <w:t>valiku analüüs</w:t>
      </w:r>
      <w:bookmarkEnd w:id="442"/>
      <w:bookmarkEnd w:id="443"/>
      <w:bookmarkEnd w:id="444"/>
      <w:bookmarkEnd w:id="445"/>
      <w:bookmarkEnd w:id="446"/>
      <w:bookmarkEnd w:id="447"/>
    </w:p>
    <w:p w14:paraId="0C2141E4" w14:textId="77777777" w:rsidR="00D67E10" w:rsidRPr="00C50854" w:rsidRDefault="00D67E10" w:rsidP="00311E1F">
      <w:pPr>
        <w:numPr>
          <w:ilvl w:val="0"/>
          <w:numId w:val="13"/>
        </w:numPr>
        <w:suppressAutoHyphens w:val="0"/>
        <w:spacing w:before="120" w:after="120"/>
        <w:jc w:val="both"/>
        <w:rPr>
          <w:lang w:eastAsia="et-EE"/>
        </w:rPr>
      </w:pPr>
      <w:bookmarkStart w:id="449" w:name="_Hlk32225429"/>
      <w:bookmarkEnd w:id="448"/>
      <w:r w:rsidRPr="00C50854">
        <w:rPr>
          <w:lang w:eastAsia="et-EE"/>
        </w:rPr>
        <w:t>Alljärgnevalt on analüüsitud erinevaid kohustusi, mida võiks rakendada märkimisväärse turujõuga ettevõtjale, et tagada kohalikul juurdepääsu hulgiturul diskrimineerimisega seotud konkurentsiprobleemide tõhusaima vältimise.</w:t>
      </w:r>
    </w:p>
    <w:p w14:paraId="72E986D7" w14:textId="77777777" w:rsidR="00D67E10" w:rsidRPr="00C50854" w:rsidRDefault="00D67E10" w:rsidP="00311E1F">
      <w:pPr>
        <w:numPr>
          <w:ilvl w:val="0"/>
          <w:numId w:val="13"/>
        </w:numPr>
        <w:suppressAutoHyphens w:val="0"/>
        <w:spacing w:before="120" w:after="120"/>
        <w:jc w:val="both"/>
        <w:rPr>
          <w:lang w:eastAsia="et-EE"/>
        </w:rPr>
      </w:pPr>
      <w:bookmarkStart w:id="450" w:name="_Hlk31887679"/>
      <w:r w:rsidRPr="00C50854">
        <w:rPr>
          <w:lang w:eastAsia="et-EE"/>
        </w:rPr>
        <w:t>Riigi reguleerivad asutused peavad tasakaalustama infrastruktuuri omaniku õiguseid kasutada oma infrastruktuuri enda huvides ja teiste teenuseosutajate õiguseid kasutada vastavat infrastruktuuri ja sellega seotud vahendeid, mis on olulised konkureerivate teenuste pakkumiseks</w:t>
      </w:r>
      <w:r w:rsidRPr="00C50854">
        <w:rPr>
          <w:rStyle w:val="Allmrkuseviide"/>
          <w:lang w:eastAsia="et-EE"/>
        </w:rPr>
        <w:footnoteReference w:id="104"/>
      </w:r>
      <w:bookmarkEnd w:id="449"/>
      <w:r w:rsidRPr="00C50854">
        <w:rPr>
          <w:lang w:eastAsia="et-EE"/>
        </w:rPr>
        <w:t xml:space="preserve">. </w:t>
      </w:r>
    </w:p>
    <w:bookmarkEnd w:id="450"/>
    <w:p w14:paraId="03E6DD18"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TTJA kaalus erinevaid ESS § 50 lõigetes 1, 2, 4, 5 ja lõikes 7 sätestatud meetmete rakendamist diskrimineerimisega seotud konkurentsiprobleemide lahendamiseks ja leidis, et:  </w:t>
      </w:r>
    </w:p>
    <w:p w14:paraId="4ABCA647"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Juurdepääsukohustused</w:t>
      </w:r>
      <w:r w:rsidRPr="00C50854">
        <w:rPr>
          <w:vertAlign w:val="superscript"/>
          <w:lang w:eastAsia="et-EE"/>
        </w:rPr>
        <w:footnoteReference w:id="105"/>
      </w:r>
      <w:r w:rsidRPr="00C50854">
        <w:rPr>
          <w:lang w:eastAsia="et-EE"/>
        </w:rPr>
        <w:t xml:space="preserve"> ei ole diskrimineerimisega seonduvate konkurentsiprobleemide ärahoidmiseks piisavad, kuna juurdepääsukohustused tagavad küll juurdepääsu teenuste osutamise teistele huvitatud sideettevõtjatele, kuid ei taga neile selliste teenuste osutamisel võrdseid tingimusi.</w:t>
      </w:r>
    </w:p>
    <w:p w14:paraId="4243D35A"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Läbipaistvuskohustused</w:t>
      </w:r>
      <w:r w:rsidRPr="00C50854">
        <w:rPr>
          <w:vertAlign w:val="superscript"/>
          <w:lang w:eastAsia="et-EE"/>
        </w:rPr>
        <w:footnoteReference w:id="106"/>
      </w:r>
      <w:r w:rsidRPr="00C50854">
        <w:rPr>
          <w:lang w:eastAsia="et-EE"/>
        </w:rPr>
        <w:t xml:space="preserve"> ei ole diskrimineerimisega seonduvate konkurentsiprobleemide ärahoidmiseks piisavad, kuna nimetatud kohustused sätestavad üksnes kohustuse avaldada kõigile isikutele võrdsetel tingimustel juurdepääsu teenuste kasutamiseks vajalikku informatsiooni, kuid ei kohusta osutama juurdepääsu teenuseid kõigile võrdsetel tingimustel (sh võrdse kvaliteediga, võrdse informatsiooni kättesaadavusega, võrdse teenuse osutamise tähtajaga, võrdsete nõuete ja toote omadustega).</w:t>
      </w:r>
    </w:p>
    <w:p w14:paraId="3F0FEA34"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Hinnakohustus</w:t>
      </w:r>
      <w:r w:rsidRPr="00C50854">
        <w:rPr>
          <w:vertAlign w:val="superscript"/>
          <w:lang w:eastAsia="et-EE"/>
        </w:rPr>
        <w:footnoteReference w:id="107"/>
      </w:r>
      <w:r w:rsidRPr="00C50854">
        <w:rPr>
          <w:lang w:eastAsia="et-EE"/>
        </w:rPr>
        <w:t xml:space="preserve"> lahendab küll hinnadiskrimineerimisega seotud konkurentsiprobleemid, kuid ei lahenda kvaliteedidiskrimineerimisega seotud konkurentsiprobleeme.</w:t>
      </w:r>
    </w:p>
    <w:p w14:paraId="6098A3C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ESS § 135 lõike 1 kohaselt on tagatud, et mitte-diskrimineerimise kohustuste kehtestamine Teliale on:</w:t>
      </w:r>
    </w:p>
    <w:p w14:paraId="5AD10AA6"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mõistlik ja otstarbekas, kuna see tagab, et nimetatud sideettevõtja ei kasuta oma turujõudu konkurentsi kahjustavalt ega kohtle oma konkurente ebavõrdselt;</w:t>
      </w:r>
    </w:p>
    <w:p w14:paraId="209262F7"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mittediskrimineeriv, kuna Telia poolt osutatavad kohaliku juurdepääsu hulgituru koosseisu kuuluvad teenused mõjutavad konkurentsi vertikaalselt allapoole seotud jaeturgudel Telia ulatusliku infrastruktuuri olemasolu tõttu oluliselt suuremal määral kui teiste sideettevõtjate poolt nimetatud turu koosseisu kuuluvad teenused. Sellest tulenevalt on õigustatud Teliale mittediskrimineerimise kohustuste kehtestamine, et tõkestada Telia võimalust oma märkimisväärset turujõudu ära kasutada konkurentsi takistamiseks;</w:t>
      </w:r>
    </w:p>
    <w:p w14:paraId="2AEB5D59"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läbipaistev, kuna kohustus on kavandatud selliselt, et Teliale oleks üheselt arusaadavad TTJA seisukohad ning millised õigused ja kohustused sellest Teliale tulenevad.</w:t>
      </w:r>
    </w:p>
    <w:p w14:paraId="2268DAFA"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2BA572C7" w14:textId="77777777" w:rsidR="00D67E10" w:rsidRPr="00C50854" w:rsidRDefault="00D67E10" w:rsidP="00311E1F">
      <w:pPr>
        <w:numPr>
          <w:ilvl w:val="0"/>
          <w:numId w:val="13"/>
        </w:numPr>
        <w:jc w:val="both"/>
      </w:pPr>
      <w:bookmarkStart w:id="451" w:name="_Hlk39060727"/>
      <w:bookmarkStart w:id="452" w:name="_Hlk32225776"/>
      <w:r w:rsidRPr="00C50854">
        <w:t xml:space="preserve">Kokkuvõtvalt on TTJA seisukohal, et eeltoodut arvesse võttes ei ole kavandatavad mitte-diskrimineerimisekohustused Teliale ülemääraselt koormavad. Samuti on TTJA hinnangul </w:t>
      </w:r>
      <w:r w:rsidRPr="00C50854">
        <w:lastRenderedPageBreak/>
        <w:t>Telial olemas nimetatud kohustuste täitmiseks vajalik tehniline valmisolek ja ressurss, kuna suuremas osas kehtivad sarnased juurdepääsu kohustused Teliale ka praegu</w:t>
      </w:r>
      <w:r w:rsidRPr="00C50854">
        <w:rPr>
          <w:rStyle w:val="Allmrkuseviide"/>
        </w:rPr>
        <w:footnoteReference w:id="108"/>
      </w:r>
      <w:r w:rsidRPr="00C50854">
        <w:t>.</w:t>
      </w:r>
    </w:p>
    <w:p w14:paraId="0530FA7D" w14:textId="77777777" w:rsidR="00D67E10" w:rsidRPr="00C50854" w:rsidRDefault="00D67E10" w:rsidP="00D67E10">
      <w:pPr>
        <w:jc w:val="both"/>
      </w:pPr>
    </w:p>
    <w:p w14:paraId="430637BF" w14:textId="77777777" w:rsidR="00D67E10" w:rsidRPr="00C50854" w:rsidRDefault="00D67E10" w:rsidP="00311E1F">
      <w:pPr>
        <w:numPr>
          <w:ilvl w:val="0"/>
          <w:numId w:val="13"/>
        </w:numPr>
        <w:jc w:val="both"/>
      </w:pPr>
      <w:r w:rsidRPr="00C50854">
        <w:t>Järgnevas peatükis analüüsitakse, kas ja kuidas on vaja muuta kehtivaid kohaliku juurdepääsu hulgituru kohustusi</w:t>
      </w:r>
      <w:r w:rsidRPr="00C50854">
        <w:rPr>
          <w:rStyle w:val="Allmrkuseviide"/>
        </w:rPr>
        <w:footnoteReference w:id="109"/>
      </w:r>
      <w:r w:rsidRPr="00C50854">
        <w:t xml:space="preserve"> seoses alternatiivsete sideettevõtjate poolt peatükis 6.3.2 kirjeldatud olukorraga, mis võib põhjustada diskrimineerimisega seotud konkurentsiprobleeme</w:t>
      </w:r>
      <w:bookmarkEnd w:id="451"/>
      <w:r w:rsidRPr="00C50854">
        <w:t>.</w:t>
      </w:r>
    </w:p>
    <w:p w14:paraId="609565EA" w14:textId="77777777" w:rsidR="00D67E10" w:rsidRPr="00C50854" w:rsidRDefault="00D67E10" w:rsidP="00D67E10">
      <w:pPr>
        <w:suppressAutoHyphens w:val="0"/>
        <w:autoSpaceDE w:val="0"/>
        <w:autoSpaceDN w:val="0"/>
        <w:adjustRightInd w:val="0"/>
        <w:spacing w:before="120" w:after="120"/>
        <w:jc w:val="both"/>
        <w:rPr>
          <w:lang w:eastAsia="et-EE"/>
        </w:rPr>
      </w:pPr>
    </w:p>
    <w:p w14:paraId="5E739F71" w14:textId="77777777" w:rsidR="00D67E10" w:rsidRPr="00C50854" w:rsidRDefault="00D67E10" w:rsidP="00D67E10">
      <w:pPr>
        <w:suppressAutoHyphens w:val="0"/>
        <w:autoSpaceDE w:val="0"/>
        <w:autoSpaceDN w:val="0"/>
        <w:adjustRightInd w:val="0"/>
        <w:spacing w:before="120" w:after="120"/>
        <w:jc w:val="both"/>
        <w:rPr>
          <w:lang w:eastAsia="et-EE"/>
        </w:rPr>
      </w:pPr>
    </w:p>
    <w:p w14:paraId="14B89F4D" w14:textId="3FC28A6D" w:rsidR="00D67E10" w:rsidRPr="00C50854" w:rsidRDefault="00D67E10" w:rsidP="009A75FA">
      <w:pPr>
        <w:pStyle w:val="Pealkiri3"/>
        <w:rPr>
          <w:b w:val="0"/>
          <w:bCs w:val="0"/>
          <w:i/>
          <w:iCs/>
        </w:rPr>
      </w:pPr>
      <w:bookmarkStart w:id="453" w:name="_Toc39125684"/>
      <w:bookmarkStart w:id="454" w:name="_Toc42072473"/>
      <w:r w:rsidRPr="00C50854">
        <w:rPr>
          <w:b w:val="0"/>
          <w:bCs w:val="0"/>
          <w:i/>
          <w:iCs/>
        </w:rPr>
        <w:t>6.3.3.1 Kliendiliinile juurdepääsu t</w:t>
      </w:r>
      <w:r w:rsidR="006D0980" w:rsidRPr="00C50854">
        <w:rPr>
          <w:b w:val="0"/>
          <w:bCs w:val="0"/>
          <w:i/>
          <w:iCs/>
        </w:rPr>
        <w:t>ehnoloogia</w:t>
      </w:r>
      <w:r w:rsidRPr="00C50854">
        <w:rPr>
          <w:b w:val="0"/>
          <w:bCs w:val="0"/>
          <w:i/>
          <w:iCs/>
        </w:rPr>
        <w:t xml:space="preserve"> muutmine ja lõpetamine võrreldes </w:t>
      </w:r>
      <w:proofErr w:type="spellStart"/>
      <w:r w:rsidRPr="00C50854">
        <w:rPr>
          <w:b w:val="0"/>
          <w:bCs w:val="0"/>
          <w:i/>
          <w:iCs/>
        </w:rPr>
        <w:t>jaeteenusega</w:t>
      </w:r>
      <w:bookmarkEnd w:id="453"/>
      <w:bookmarkEnd w:id="454"/>
      <w:proofErr w:type="spellEnd"/>
    </w:p>
    <w:p w14:paraId="529BD52C" w14:textId="77777777" w:rsidR="00D417D5" w:rsidRPr="00C50854" w:rsidRDefault="00D417D5" w:rsidP="00D67E10">
      <w:pPr>
        <w:suppressAutoHyphens w:val="0"/>
        <w:autoSpaceDE w:val="0"/>
        <w:autoSpaceDN w:val="0"/>
        <w:adjustRightInd w:val="0"/>
        <w:spacing w:before="120" w:after="120"/>
        <w:jc w:val="both"/>
        <w:rPr>
          <w:lang w:eastAsia="et-EE"/>
        </w:rPr>
      </w:pPr>
    </w:p>
    <w:p w14:paraId="09C3FA02" w14:textId="01526FE8"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Olukorra kirjeldus</w:t>
      </w:r>
    </w:p>
    <w:bookmarkEnd w:id="452"/>
    <w:p w14:paraId="3E5AD892" w14:textId="77777777" w:rsidR="00D67E10" w:rsidRPr="00C50854" w:rsidRDefault="00D67E10" w:rsidP="00311E1F">
      <w:pPr>
        <w:pStyle w:val="Loendilik"/>
        <w:numPr>
          <w:ilvl w:val="0"/>
          <w:numId w:val="13"/>
        </w:numPr>
        <w:rPr>
          <w:lang w:eastAsia="et-EE"/>
        </w:rPr>
      </w:pPr>
      <w:r w:rsidRPr="00C50854">
        <w:rPr>
          <w:lang w:eastAsia="et-EE"/>
        </w:rPr>
        <w:t xml:space="preserve">Turuanalüüsi küsimustiku vastustes tõid alternatiivsed sideettevõtjad esile alljärgneva teema seoses Telia kliendiliinidele juurdepääsuga, mis võib tekitada konkurentsiprobleeme: </w:t>
      </w:r>
    </w:p>
    <w:p w14:paraId="3E333B92" w14:textId="57F59110" w:rsidR="00D67E10" w:rsidRPr="00C50854" w:rsidRDefault="00D67E10" w:rsidP="00D67E10">
      <w:pPr>
        <w:suppressAutoHyphens w:val="0"/>
        <w:autoSpaceDE w:val="0"/>
        <w:autoSpaceDN w:val="0"/>
        <w:adjustRightInd w:val="0"/>
        <w:spacing w:before="120" w:after="120"/>
        <w:ind w:left="360"/>
        <w:jc w:val="both"/>
        <w:rPr>
          <w:lang w:eastAsia="et-EE"/>
        </w:rPr>
      </w:pPr>
      <w:r w:rsidRPr="00C50854">
        <w:rPr>
          <w:lang w:eastAsia="et-EE"/>
        </w:rPr>
        <w:t xml:space="preserve">Telia poolne kliendiliinile juurdepääsu hulgiteenuste </w:t>
      </w:r>
      <w:r w:rsidR="005D422A" w:rsidRPr="00C50854">
        <w:rPr>
          <w:lang w:eastAsia="et-EE"/>
        </w:rPr>
        <w:t>tehnoloogia</w:t>
      </w:r>
      <w:r w:rsidRPr="00C50854">
        <w:rPr>
          <w:lang w:eastAsia="et-EE"/>
        </w:rPr>
        <w:t xml:space="preserve"> muutmisel ja/või lõpetamisel ei toimu vastavad muudatused ja/või lõpetamine sama aegselt Telia jaeteenuse klientidele samaväärse teenuse </w:t>
      </w:r>
      <w:r w:rsidR="005D422A" w:rsidRPr="00C50854">
        <w:rPr>
          <w:lang w:eastAsia="et-EE"/>
        </w:rPr>
        <w:t>tehnoloogia</w:t>
      </w:r>
      <w:r w:rsidRPr="00C50854">
        <w:rPr>
          <w:lang w:eastAsia="et-EE"/>
        </w:rPr>
        <w:t xml:space="preserve"> muutmise ja/või lõpetamisega</w:t>
      </w:r>
      <w:r w:rsidR="009278D0" w:rsidRPr="00C50854">
        <w:rPr>
          <w:lang w:eastAsia="et-EE"/>
        </w:rPr>
        <w:t>, mistõttu suurenevad alternatiivsete sideettevõtjate kulud Telia kliendiliinile juurdepääsul varem, kui Telial.</w:t>
      </w:r>
      <w:r w:rsidRPr="00C50854">
        <w:rPr>
          <w:lang w:eastAsia="et-EE"/>
        </w:rPr>
        <w:t xml:space="preserve"> </w:t>
      </w:r>
      <w:r w:rsidR="009278D0" w:rsidRPr="00C50854">
        <w:rPr>
          <w:lang w:eastAsia="et-EE"/>
        </w:rPr>
        <w:t>N</w:t>
      </w:r>
      <w:r w:rsidRPr="00C50854">
        <w:rPr>
          <w:lang w:eastAsia="et-EE"/>
        </w:rPr>
        <w:t xml:space="preserve">äiteks Telia lõpetab teatud piirkonnas teenuse osutamise ja/või muudab teenuse </w:t>
      </w:r>
      <w:r w:rsidR="005D422A" w:rsidRPr="00C50854">
        <w:rPr>
          <w:lang w:eastAsia="et-EE"/>
        </w:rPr>
        <w:t>tehnoloogiat</w:t>
      </w:r>
      <w:r w:rsidRPr="00C50854">
        <w:rPr>
          <w:lang w:eastAsia="et-EE"/>
        </w:rPr>
        <w:t xml:space="preserve"> kliendiliinidele juurdepääsu</w:t>
      </w:r>
      <w:r w:rsidR="005D422A" w:rsidRPr="00C50854">
        <w:rPr>
          <w:lang w:eastAsia="et-EE"/>
        </w:rPr>
        <w:t>l</w:t>
      </w:r>
      <w:r w:rsidRPr="00C50854">
        <w:rPr>
          <w:lang w:eastAsia="et-EE"/>
        </w:rPr>
        <w:t xml:space="preserve"> hulgitasandil varem kui jaetasandil</w:t>
      </w:r>
      <w:r w:rsidR="009278D0" w:rsidRPr="00C50854">
        <w:rPr>
          <w:lang w:eastAsia="et-EE"/>
        </w:rPr>
        <w:t xml:space="preserve">. </w:t>
      </w:r>
    </w:p>
    <w:p w14:paraId="4E812468" w14:textId="77777777" w:rsidR="00D67E10" w:rsidRPr="00C50854" w:rsidRDefault="00D67E10" w:rsidP="00D67E10">
      <w:pPr>
        <w:suppressAutoHyphens w:val="0"/>
        <w:autoSpaceDE w:val="0"/>
        <w:autoSpaceDN w:val="0"/>
        <w:adjustRightInd w:val="0"/>
        <w:spacing w:before="120" w:after="120"/>
        <w:jc w:val="both"/>
        <w:rPr>
          <w:lang w:eastAsia="et-EE"/>
        </w:rPr>
      </w:pPr>
    </w:p>
    <w:p w14:paraId="4B5E97DA"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tuvastamine</w:t>
      </w:r>
    </w:p>
    <w:p w14:paraId="06F45985" w14:textId="77777777" w:rsidR="00D67E10" w:rsidRPr="00C50854" w:rsidRDefault="00D67E10" w:rsidP="00311E1F">
      <w:pPr>
        <w:pStyle w:val="Loendilik"/>
        <w:numPr>
          <w:ilvl w:val="0"/>
          <w:numId w:val="13"/>
        </w:numPr>
        <w:rPr>
          <w:lang w:eastAsia="et-EE"/>
        </w:rPr>
      </w:pPr>
      <w:r w:rsidRPr="00C50854">
        <w:rPr>
          <w:lang w:eastAsia="et-EE"/>
        </w:rPr>
        <w:t xml:space="preserve">Oluline on tagada, et märkimisväärse turujõuga ettevõtja ei saaks kliendiliinide baasil jaeteenuste osutamisel põhjendamatuid eeliseid võrreldes hulgiteenuse kasutajaga. </w:t>
      </w:r>
    </w:p>
    <w:p w14:paraId="671AF631" w14:textId="02CB09F4" w:rsidR="00D67E10" w:rsidRPr="00C50854" w:rsidRDefault="00D67E10" w:rsidP="00311E1F">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 xml:space="preserve">Kui Telia muudab mõnes piirkonnas oma kliendiliinide tehnoloogiat ja/või lõpetab kliendiliinide pakkumise ning teeb seda hulgitasandil alternatiivsetele sideettevõtjatele märkimisväärselt varem kui oma lõppkasutajatele, siis tõusevad teiste sideettevõtjate </w:t>
      </w:r>
      <w:proofErr w:type="spellStart"/>
      <w:r w:rsidRPr="00C50854">
        <w:rPr>
          <w:lang w:eastAsia="et-EE"/>
        </w:rPr>
        <w:t>hulgikulud</w:t>
      </w:r>
      <w:proofErr w:type="spellEnd"/>
      <w:r w:rsidRPr="00C50854">
        <w:rPr>
          <w:lang w:eastAsia="et-EE"/>
        </w:rPr>
        <w:t xml:space="preserve"> varem võrreldes Teliaga. Eelkõige sellepärast, et uuel tehnoloogial põhineva asendusteenuse põhiseid </w:t>
      </w:r>
      <w:proofErr w:type="spellStart"/>
      <w:r w:rsidRPr="00C50854">
        <w:rPr>
          <w:lang w:eastAsia="et-EE"/>
        </w:rPr>
        <w:t>hulgikulud</w:t>
      </w:r>
      <w:proofErr w:type="spellEnd"/>
      <w:r w:rsidRPr="00C50854">
        <w:rPr>
          <w:lang w:eastAsia="et-EE"/>
        </w:rPr>
        <w:t xml:space="preserve"> ehk kuutasud on üldjuhul kõrgemad, kui olemasoleva</w:t>
      </w:r>
      <w:r w:rsidR="00BB30E0" w:rsidRPr="00C50854">
        <w:rPr>
          <w:lang w:eastAsia="et-EE"/>
        </w:rPr>
        <w:t>l</w:t>
      </w:r>
      <w:r w:rsidRPr="00C50854">
        <w:rPr>
          <w:lang w:eastAsia="et-EE"/>
        </w:rPr>
        <w:t xml:space="preserve"> </w:t>
      </w:r>
      <w:r w:rsidR="00BB30E0" w:rsidRPr="00C50854">
        <w:rPr>
          <w:lang w:eastAsia="et-EE"/>
        </w:rPr>
        <w:t xml:space="preserve">tehnoloogial juurdepääsu teenuse </w:t>
      </w:r>
      <w:r w:rsidRPr="00C50854">
        <w:rPr>
          <w:lang w:eastAsia="et-EE"/>
        </w:rPr>
        <w:t>vastavad tasud.  Seega seab selline olukord hulgiteenuse kasutajad halvemasse olukorda võrreldes Teliaga ja seeläbi kahjustub konkurents jaetasandi sideteenuste osutamisel.</w:t>
      </w:r>
    </w:p>
    <w:p w14:paraId="10639C75" w14:textId="77777777" w:rsidR="00D67E10" w:rsidRPr="00C50854" w:rsidRDefault="00D67E10" w:rsidP="00D67E10">
      <w:pPr>
        <w:pStyle w:val="Loendilik"/>
        <w:suppressAutoHyphens w:val="0"/>
        <w:autoSpaceDE w:val="0"/>
        <w:autoSpaceDN w:val="0"/>
        <w:adjustRightInd w:val="0"/>
        <w:spacing w:before="120" w:after="120"/>
        <w:ind w:left="360"/>
        <w:jc w:val="both"/>
        <w:rPr>
          <w:lang w:eastAsia="et-EE"/>
        </w:rPr>
      </w:pPr>
    </w:p>
    <w:p w14:paraId="5875E222"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lahendamise valikud</w:t>
      </w:r>
    </w:p>
    <w:p w14:paraId="3D7123F1" w14:textId="76865E4D" w:rsidR="00D67E10" w:rsidRPr="00C50854" w:rsidRDefault="005D422A" w:rsidP="00311E1F">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 xml:space="preserve">Jae- ja hulgitasandi klientidele üheaegne kliendiliinile juurdepääsu tehnoloogia muutmine ja/või lõpetamine võib olla teatud juhtudel tehnoloogiliselt keeruline. Näiteks peab alternatiivne sideettevõtja selleks, et säilitada lõppkasutajale jaeteenuste jätkuv osutamine, enne Telia poolset kliendiliini sulgemist või tehnoloogia muutmist juba varem võtma kasutusele juurdepääsu asendusteenuse (vt ka </w:t>
      </w:r>
      <w:proofErr w:type="spellStart"/>
      <w:r w:rsidRPr="00C50854">
        <w:rPr>
          <w:lang w:eastAsia="et-EE"/>
        </w:rPr>
        <w:t>ptk</w:t>
      </w:r>
      <w:proofErr w:type="spellEnd"/>
      <w:r w:rsidRPr="00C50854">
        <w:rPr>
          <w:lang w:eastAsia="et-EE"/>
        </w:rPr>
        <w:t xml:space="preserve"> 6.2.3.7). </w:t>
      </w:r>
      <w:r w:rsidR="00D67E10" w:rsidRPr="00C50854">
        <w:rPr>
          <w:lang w:eastAsia="et-EE"/>
        </w:rPr>
        <w:t xml:space="preserve">Telia kliendiliinile juurdepääs olemasoleva tehnoloogia kuutasude alusel on üldjuhul  odavam, kui uue asendusteenuse </w:t>
      </w:r>
      <w:r w:rsidR="00D67E10" w:rsidRPr="00C50854">
        <w:rPr>
          <w:lang w:eastAsia="et-EE"/>
        </w:rPr>
        <w:lastRenderedPageBreak/>
        <w:t xml:space="preserve">tehnoloogia kuutasu alusel. Näiteks olemasoleva vaskpaarile juurdepääsu kuutasu on 4,94 € kuu, kuid asendusteenuse valguskaablile juurdepääsul 60 € kuu. Seepärast on diskrimineerimise vältimiseks otstarbekas, et kui kliendiliinile juurdepääsu </w:t>
      </w:r>
      <w:r w:rsidR="00744D5A" w:rsidRPr="00C50854">
        <w:rPr>
          <w:lang w:eastAsia="et-EE"/>
        </w:rPr>
        <w:t>tehnoloogia</w:t>
      </w:r>
      <w:r w:rsidR="00D67E10" w:rsidRPr="00C50854">
        <w:rPr>
          <w:lang w:eastAsia="et-EE"/>
        </w:rPr>
        <w:t xml:space="preserve"> muutmist ja/või lõpetamist peab hulgitasandil teostama varem, kui jaetasandil, </w:t>
      </w:r>
      <w:r w:rsidR="00744D5A" w:rsidRPr="00C50854">
        <w:rPr>
          <w:lang w:eastAsia="et-EE"/>
        </w:rPr>
        <w:t xml:space="preserve">ning sellega kaasneb alternatiivsele sideettevõtjale juurdepääsuga seotud kuutasude suurenemine, </w:t>
      </w:r>
      <w:r w:rsidR="00D67E10" w:rsidRPr="00C50854">
        <w:rPr>
          <w:lang w:eastAsia="et-EE"/>
        </w:rPr>
        <w:t xml:space="preserve">siis </w:t>
      </w:r>
      <w:r w:rsidR="00744D5A" w:rsidRPr="00C50854">
        <w:rPr>
          <w:lang w:eastAsia="et-EE"/>
        </w:rPr>
        <w:t xml:space="preserve">nimetatud kuutasude </w:t>
      </w:r>
      <w:r w:rsidR="00D67E10" w:rsidRPr="00C50854">
        <w:rPr>
          <w:lang w:eastAsia="et-EE"/>
        </w:rPr>
        <w:t>suurene</w:t>
      </w:r>
      <w:r w:rsidR="00744D5A" w:rsidRPr="00C50854">
        <w:rPr>
          <w:lang w:eastAsia="et-EE"/>
        </w:rPr>
        <w:t>mine ei tohi toimuda</w:t>
      </w:r>
      <w:r w:rsidR="00D67E10" w:rsidRPr="00C50854">
        <w:rPr>
          <w:lang w:eastAsia="et-EE"/>
        </w:rPr>
        <w:t xml:space="preserve"> varem, kui toimub jaetasandi kliendi vastava teenuse </w:t>
      </w:r>
      <w:r w:rsidR="00744D5A" w:rsidRPr="00C50854">
        <w:rPr>
          <w:lang w:eastAsia="et-EE"/>
        </w:rPr>
        <w:t>tehnoloogia</w:t>
      </w:r>
      <w:r w:rsidR="00D67E10" w:rsidRPr="00C50854">
        <w:rPr>
          <w:lang w:eastAsia="et-EE"/>
        </w:rPr>
        <w:t xml:space="preserve"> muutmine ja/või lõpetamine.  See tagaks, et ei toimu kliendiliinile juurdepääsu kasutava sideettevõtja diskrimineerimist kõrgemate kulude osas võrreldes Teliaga. </w:t>
      </w:r>
    </w:p>
    <w:p w14:paraId="387CBC7A" w14:textId="77777777" w:rsidR="00D67E10" w:rsidRPr="00C50854" w:rsidRDefault="00D67E10" w:rsidP="00311E1F">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TTJA hinnangul on mõistlik ja otstarbeks eelkirjeldatud konkurentsiprobleemi vältimiseks täpsustada mitte-diskrimineerimise kohustust järgneva lõiguga:</w:t>
      </w:r>
    </w:p>
    <w:p w14:paraId="48CB10D5" w14:textId="27F7F537" w:rsidR="00D67E10" w:rsidRPr="00C50854" w:rsidRDefault="00D67E10" w:rsidP="00744D5A">
      <w:pPr>
        <w:pStyle w:val="Loendilik"/>
        <w:suppressAutoHyphens w:val="0"/>
        <w:autoSpaceDE w:val="0"/>
        <w:autoSpaceDN w:val="0"/>
        <w:adjustRightInd w:val="0"/>
        <w:spacing w:before="120" w:after="120"/>
        <w:ind w:left="360"/>
        <w:jc w:val="both"/>
        <w:rPr>
          <w:lang w:eastAsia="et-EE"/>
        </w:rPr>
      </w:pPr>
      <w:r w:rsidRPr="00C50854">
        <w:rPr>
          <w:lang w:eastAsia="et-EE"/>
        </w:rPr>
        <w:t>Telia peab</w:t>
      </w:r>
      <w:r w:rsidR="00D42590" w:rsidRPr="00C50854">
        <w:rPr>
          <w:lang w:eastAsia="et-EE"/>
        </w:rPr>
        <w:t xml:space="preserve"> </w:t>
      </w:r>
      <w:r w:rsidRPr="00C50854">
        <w:rPr>
          <w:lang w:eastAsia="et-EE"/>
        </w:rPr>
        <w:t xml:space="preserve">tagama, et juhul kui Telia poolt kliendiliinile juurdepääs hulgiteenuse </w:t>
      </w:r>
      <w:r w:rsidR="00744D5A" w:rsidRPr="00C50854">
        <w:rPr>
          <w:lang w:eastAsia="et-EE"/>
        </w:rPr>
        <w:t xml:space="preserve">tehnoloogia muutmist ja/või lõpetamist peab hulgitasandil teostama varem, kui jaetasandil, ning sellega kaasneb alternatiivsele sideettevõtjale </w:t>
      </w:r>
      <w:r w:rsidR="006D0980" w:rsidRPr="00C50854">
        <w:rPr>
          <w:lang w:eastAsia="et-EE"/>
        </w:rPr>
        <w:t xml:space="preserve">vastavale lõpp-punktile </w:t>
      </w:r>
      <w:r w:rsidR="00744D5A" w:rsidRPr="00C50854">
        <w:rPr>
          <w:lang w:eastAsia="et-EE"/>
        </w:rPr>
        <w:t>juurdepääsuga seotud kuutasude suurenemine, siis nimetatud kuutasude suurenemine ei tohi toimuda varem, kui toimub jaetasandi kliendi vastava teenuse tehnoloogia muutmine ja/või lõpetamine.</w:t>
      </w:r>
    </w:p>
    <w:p w14:paraId="6E87002A" w14:textId="4C1E4C82" w:rsidR="009278D0" w:rsidRPr="00C50854" w:rsidRDefault="009278D0" w:rsidP="00744D5A">
      <w:pPr>
        <w:pStyle w:val="Loendilik"/>
        <w:suppressAutoHyphens w:val="0"/>
        <w:autoSpaceDE w:val="0"/>
        <w:autoSpaceDN w:val="0"/>
        <w:adjustRightInd w:val="0"/>
        <w:spacing w:before="120" w:after="120"/>
        <w:ind w:left="360"/>
        <w:jc w:val="both"/>
        <w:rPr>
          <w:lang w:eastAsia="et-EE"/>
        </w:rPr>
      </w:pPr>
    </w:p>
    <w:p w14:paraId="4169FDCE" w14:textId="0D43C68C" w:rsidR="009278D0" w:rsidRPr="00C50854" w:rsidRDefault="0067239F" w:rsidP="0067239F">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 xml:space="preserve">Nimetatud kohustusega võivad Teliale kaasneda täiendavad kulud, kui Telia peab pakkuma asendusteenuseid madalamate kuutasudega, kui on nende teenuste kulud. Samas ei ole see Teliale liigselt koormav, kuna Telia saab oma kliendiliini tehnoloogiate muutmist või lõpetamist kavandada selliselt, et asendusteenuste kasutamise aeg oleks minimaalne. Samuti on </w:t>
      </w:r>
      <w:r w:rsidR="00D806B6" w:rsidRPr="00C50854">
        <w:rPr>
          <w:lang w:eastAsia="et-EE"/>
        </w:rPr>
        <w:t>hulgitasandil kliendiliinide juurdepääsu mahud väikesed</w:t>
      </w:r>
      <w:r w:rsidR="00595A50" w:rsidRPr="00C50854">
        <w:rPr>
          <w:lang w:eastAsia="et-EE"/>
        </w:rPr>
        <w:t xml:space="preserve"> ja ajas pigem kahanevad (vt tabel 13 ja 15)</w:t>
      </w:r>
      <w:r w:rsidR="00D806B6" w:rsidRPr="00C50854">
        <w:rPr>
          <w:lang w:eastAsia="et-EE"/>
        </w:rPr>
        <w:t xml:space="preserve"> </w:t>
      </w:r>
    </w:p>
    <w:p w14:paraId="3151A9AD"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Kavandatav kohustus</w:t>
      </w:r>
    </w:p>
    <w:p w14:paraId="24E713B6" w14:textId="77777777" w:rsidR="00D67E10" w:rsidRPr="00C50854" w:rsidRDefault="00D67E10" w:rsidP="00311E1F">
      <w:pPr>
        <w:pStyle w:val="Loendilik"/>
        <w:numPr>
          <w:ilvl w:val="0"/>
          <w:numId w:val="13"/>
        </w:numPr>
        <w:suppressAutoHyphens w:val="0"/>
        <w:autoSpaceDE w:val="0"/>
        <w:autoSpaceDN w:val="0"/>
        <w:adjustRightInd w:val="0"/>
        <w:spacing w:before="120" w:after="120"/>
        <w:jc w:val="both"/>
        <w:rPr>
          <w:lang w:eastAsia="et-EE"/>
        </w:rPr>
      </w:pPr>
      <w:r w:rsidRPr="00C50854">
        <w:rPr>
          <w:lang w:eastAsia="et-EE"/>
        </w:rPr>
        <w:t>Vastavalt ESS § 50 lõige 1 punktile 3 võib TTJA sideettevõtja suhtes, kes on tunnistatud märkimisväärse turujõuga ettevõtjaks, kehtestada vastaval turul seoses juurdepääsuga mittediskrimineerimise kohustuse, mis peab tagama, et märkimisväärse turujõuga ettevõtja ning eriti vertikaalselt integreeritud märkimisväärse turujõuga ettevõtja, kes pakub teenuseid ettevõtjatele, kellega ta konkureerib jaemüügi tasandil, rakendab teiste ettevõtjate suhtes, kes osutavad sarnaseid teenuseid, samadel asjaoludel samaväärseid tingimusi ning et märkimisväärse turujõuga ettevõtja osutab teenuseid ja avaldab informatsiooni nendele ettevõtjatele samadel tingimustel ja samasuguse kvaliteediga nagu enda või oma tütarettevõtjate või partnerite puhul.</w:t>
      </w:r>
    </w:p>
    <w:p w14:paraId="4FEBF9FE" w14:textId="40B21D9D" w:rsidR="00D67E10" w:rsidRPr="00C50854" w:rsidRDefault="00D67E10" w:rsidP="00311E1F">
      <w:pPr>
        <w:pStyle w:val="Loendilik"/>
        <w:numPr>
          <w:ilvl w:val="0"/>
          <w:numId w:val="13"/>
        </w:numPr>
        <w:suppressAutoHyphens w:val="0"/>
        <w:autoSpaceDE w:val="0"/>
        <w:autoSpaceDN w:val="0"/>
        <w:adjustRightInd w:val="0"/>
        <w:spacing w:before="120" w:after="120"/>
        <w:jc w:val="both"/>
        <w:rPr>
          <w:lang w:eastAsia="et-EE"/>
        </w:rPr>
      </w:pPr>
      <w:bookmarkStart w:id="455" w:name="_Hlk39067267"/>
      <w:r w:rsidRPr="00C50854">
        <w:rPr>
          <w:lang w:eastAsia="et-EE"/>
        </w:rPr>
        <w:t>Eelnimetatud paragrahvi alusel kavandab TTJA kohustada Teliat tagama</w:t>
      </w:r>
      <w:bookmarkEnd w:id="455"/>
      <w:r w:rsidRPr="00C50854">
        <w:rPr>
          <w:lang w:eastAsia="et-EE"/>
        </w:rPr>
        <w:t xml:space="preserve">, et </w:t>
      </w:r>
      <w:r w:rsidR="009278D0" w:rsidRPr="00C50854">
        <w:rPr>
          <w:lang w:eastAsia="et-EE"/>
        </w:rPr>
        <w:t>juhul kui Telia poolt kliendiliinile juurdepääs hulgiteenuse tehnoloogia muutmist ja/või lõpetamist peab hulgitasandil teostama varem, kui jaetasandil, ning sellega kaasneb alternatiivsele sideettevõtjale vastavale lõpp-punktile juurdepääsuga seotud kuutasude suurenemine, siis nimetatud kuutasude suurenemine ei tohi toimuda varem, kui toimub jaetasandi kliendi vastava teenuse tehnoloogia muutmine ja/või lõpetamine</w:t>
      </w:r>
      <w:r w:rsidRPr="00C50854">
        <w:rPr>
          <w:lang w:eastAsia="et-EE"/>
        </w:rPr>
        <w:t>.</w:t>
      </w:r>
    </w:p>
    <w:p w14:paraId="34B63148" w14:textId="77777777" w:rsidR="00D42590" w:rsidRPr="00C50854" w:rsidRDefault="00D42590" w:rsidP="00D42590">
      <w:pPr>
        <w:pStyle w:val="Loendilik"/>
        <w:suppressAutoHyphens w:val="0"/>
        <w:autoSpaceDE w:val="0"/>
        <w:autoSpaceDN w:val="0"/>
        <w:adjustRightInd w:val="0"/>
        <w:spacing w:before="120" w:after="120"/>
        <w:ind w:left="360"/>
        <w:jc w:val="both"/>
        <w:rPr>
          <w:lang w:eastAsia="et-EE"/>
        </w:rPr>
      </w:pPr>
    </w:p>
    <w:p w14:paraId="2AE26D0D" w14:textId="77777777" w:rsidR="00D67E10" w:rsidRPr="00C50854" w:rsidRDefault="00D67E10" w:rsidP="00D67E10">
      <w:pPr>
        <w:pStyle w:val="Pealkiri3"/>
        <w:rPr>
          <w:i/>
        </w:rPr>
      </w:pPr>
      <w:bookmarkStart w:id="456" w:name="_Toc464639366"/>
      <w:bookmarkStart w:id="457" w:name="_Ref465422187"/>
      <w:bookmarkStart w:id="458" w:name="_Toc39125685"/>
      <w:bookmarkStart w:id="459" w:name="_Toc42072474"/>
      <w:r w:rsidRPr="00C50854">
        <w:rPr>
          <w:i/>
        </w:rPr>
        <w:t xml:space="preserve">6.3.4. Mittediskrimineerimise kohustuse </w:t>
      </w:r>
      <w:bookmarkEnd w:id="431"/>
      <w:bookmarkEnd w:id="432"/>
      <w:bookmarkEnd w:id="433"/>
      <w:bookmarkEnd w:id="434"/>
      <w:bookmarkEnd w:id="435"/>
      <w:bookmarkEnd w:id="436"/>
      <w:r w:rsidRPr="00C50854">
        <w:rPr>
          <w:i/>
        </w:rPr>
        <w:t>kehtestamine</w:t>
      </w:r>
      <w:bookmarkEnd w:id="437"/>
      <w:bookmarkEnd w:id="456"/>
      <w:bookmarkEnd w:id="457"/>
      <w:bookmarkEnd w:id="458"/>
      <w:bookmarkEnd w:id="459"/>
    </w:p>
    <w:p w14:paraId="745296B8" w14:textId="496C8C70" w:rsidR="00D42590" w:rsidRPr="00C50854" w:rsidRDefault="00D42590" w:rsidP="00D42590">
      <w:pPr>
        <w:pStyle w:val="Loendilik"/>
        <w:numPr>
          <w:ilvl w:val="0"/>
          <w:numId w:val="13"/>
        </w:numPr>
      </w:pPr>
      <w:bookmarkStart w:id="460" w:name="_Hlk40867362"/>
      <w:r w:rsidRPr="00C50854">
        <w:t xml:space="preserve">Selleks, et </w:t>
      </w:r>
      <w:r w:rsidR="006163E6" w:rsidRPr="00C50854">
        <w:t>selgemini</w:t>
      </w:r>
      <w:r w:rsidRPr="00C50854">
        <w:t xml:space="preserve"> välja tuua muudatusi võrreldes praegu kehtivate kohustustega on käesolevas peatükis muudatused esitatud </w:t>
      </w:r>
      <w:r w:rsidRPr="00C50854">
        <w:rPr>
          <w:i/>
          <w:iCs/>
        </w:rPr>
        <w:t>kursiivis</w:t>
      </w:r>
      <w:r w:rsidRPr="00C50854">
        <w:t>.</w:t>
      </w:r>
    </w:p>
    <w:bookmarkEnd w:id="460"/>
    <w:p w14:paraId="4B7E5527" w14:textId="02F386A1"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TTJA kavandab kehtestada Teliale kindlaksmääratud asukohas kohaliku juurdepääsu hulgiturul otsuse peatükis </w:t>
      </w:r>
      <w:r w:rsidRPr="00C50854">
        <w:rPr>
          <w:lang w:eastAsia="et-EE"/>
        </w:rPr>
        <w:fldChar w:fldCharType="begin"/>
      </w:r>
      <w:r w:rsidRPr="00C50854">
        <w:rPr>
          <w:lang w:eastAsia="et-EE"/>
        </w:rPr>
        <w:instrText xml:space="preserve"> REF _Ref465421195 \h  \* MERGEFORMAT </w:instrText>
      </w:r>
      <w:r w:rsidRPr="00C50854">
        <w:rPr>
          <w:lang w:eastAsia="et-EE"/>
        </w:rPr>
      </w:r>
      <w:r w:rsidRPr="00C50854">
        <w:rPr>
          <w:lang w:eastAsia="et-EE"/>
        </w:rPr>
        <w:fldChar w:fldCharType="separate"/>
      </w:r>
      <w:r w:rsidRPr="00C50854">
        <w:t>6.3.2 "Diskrimineerimisega seotud konkurentsiprobleemid</w:t>
      </w:r>
      <w:r w:rsidRPr="00C50854">
        <w:rPr>
          <w:lang w:eastAsia="et-EE"/>
        </w:rPr>
        <w:fldChar w:fldCharType="end"/>
      </w:r>
      <w:r w:rsidRPr="00C50854">
        <w:rPr>
          <w:lang w:eastAsia="et-EE"/>
        </w:rPr>
        <w:t>“ nimetatud konkurentsiprobleemide lahendamiseks ning konkurentsi moonutamise ja takistamise tõkestamiseks ning sideettevõtjate võrdse ja mittediskrimineeriva kohtlemise tagamiseks ESS § 50 lg 1 punktis 3 sätestatud mittediskrimineerimise kohustuse.</w:t>
      </w:r>
    </w:p>
    <w:p w14:paraId="4895934E" w14:textId="77777777" w:rsidR="00D67E10" w:rsidRPr="00C50854" w:rsidRDefault="00D67E10" w:rsidP="00311E1F">
      <w:pPr>
        <w:numPr>
          <w:ilvl w:val="0"/>
          <w:numId w:val="13"/>
        </w:numPr>
        <w:suppressAutoHyphens w:val="0"/>
        <w:autoSpaceDE w:val="0"/>
        <w:autoSpaceDN w:val="0"/>
        <w:adjustRightInd w:val="0"/>
        <w:spacing w:before="120" w:after="120"/>
        <w:jc w:val="both"/>
        <w:rPr>
          <w:i/>
          <w:iCs/>
          <w:lang w:eastAsia="et-EE"/>
        </w:rPr>
      </w:pPr>
      <w:r w:rsidRPr="00C50854">
        <w:rPr>
          <w:lang w:eastAsia="et-EE"/>
        </w:rPr>
        <w:lastRenderedPageBreak/>
        <w:t xml:space="preserve">Selle kohustuse raames peab Telia otsuse peatükis </w:t>
      </w:r>
      <w:r w:rsidRPr="00C50854">
        <w:rPr>
          <w:lang w:eastAsia="et-EE"/>
        </w:rPr>
        <w:fldChar w:fldCharType="begin"/>
      </w:r>
      <w:r w:rsidRPr="00C50854">
        <w:rPr>
          <w:lang w:eastAsia="et-EE"/>
        </w:rPr>
        <w:instrText xml:space="preserve"> REF _Ref465421258 \h  \* MERGEFORMAT </w:instrText>
      </w:r>
      <w:r w:rsidRPr="00C50854">
        <w:rPr>
          <w:lang w:eastAsia="et-EE"/>
        </w:rPr>
      </w:r>
      <w:r w:rsidRPr="00C50854">
        <w:rPr>
          <w:lang w:eastAsia="et-EE"/>
        </w:rPr>
        <w:fldChar w:fldCharType="separate"/>
      </w:r>
      <w:r w:rsidRPr="00C50854">
        <w:t>6.2.4. Juurdepääsu kohustuste kehtestamine</w:t>
      </w:r>
      <w:r w:rsidRPr="00C50854">
        <w:rPr>
          <w:lang w:eastAsia="et-EE"/>
        </w:rPr>
        <w:fldChar w:fldCharType="end"/>
      </w:r>
      <w:r w:rsidRPr="00C50854">
        <w:rPr>
          <w:lang w:eastAsia="et-EE"/>
        </w:rPr>
        <w:t xml:space="preserve">“ kirjeldatud hulgiteenuste puhul rakendama sideettevõtjatele samadel asjaoludel samaväärseid tingimusi ning osutama teenuseid ja avaldama informatsiooni sideettevõtjatele samadel tingimustel ja samasuguse kvaliteediga nagu enda või oma tütarettevõtjate või partnerite puhul ning muu hulgas rakendama sideettevõtjatele samasuguseid hindasid nagu enda või oma tütarettevõtjate või partnerite puhul, </w:t>
      </w:r>
      <w:r w:rsidRPr="00C50854">
        <w:rPr>
          <w:i/>
          <w:iCs/>
          <w:lang w:eastAsia="et-EE"/>
        </w:rPr>
        <w:t>sh:</w:t>
      </w:r>
    </w:p>
    <w:p w14:paraId="2D4104E2" w14:textId="4AF80581" w:rsidR="00D67E10" w:rsidRPr="00C50854" w:rsidRDefault="00D67E10" w:rsidP="00D67E10">
      <w:pPr>
        <w:suppressAutoHyphens w:val="0"/>
        <w:autoSpaceDE w:val="0"/>
        <w:autoSpaceDN w:val="0"/>
        <w:adjustRightInd w:val="0"/>
        <w:spacing w:before="120" w:after="120"/>
        <w:ind w:left="360"/>
        <w:jc w:val="both"/>
        <w:rPr>
          <w:i/>
          <w:iCs/>
          <w:lang w:eastAsia="et-EE"/>
        </w:rPr>
      </w:pPr>
      <w:r w:rsidRPr="00C50854">
        <w:rPr>
          <w:i/>
          <w:iCs/>
          <w:lang w:eastAsia="et-EE"/>
        </w:rPr>
        <w:t xml:space="preserve">Telia peab tagama, et </w:t>
      </w:r>
      <w:r w:rsidR="009278D0" w:rsidRPr="00C50854">
        <w:rPr>
          <w:i/>
          <w:iCs/>
          <w:lang w:eastAsia="et-EE"/>
        </w:rPr>
        <w:t xml:space="preserve">juhul kui Telia poolt kliendiliinile juurdepääs hulgiteenuse tehnoloogia muutmist ja/või lõpetamist peab hulgitasandil teostama varem, kui jaetasandil, ning sellega kaasneb alternatiivsele sideettevõtjale vastavale lõpp-punktile juurdepääsuga seotud kuutasude suurenemine, siis nimetatud kuutasude suurenemine ei tohi toimuda varem, kui toimub jaetasandi kliendi vastava teenuse tehnoloogia muutmine ja/või lõpetamine </w:t>
      </w:r>
      <w:r w:rsidR="00D42590" w:rsidRPr="00C50854">
        <w:rPr>
          <w:i/>
          <w:iCs/>
          <w:lang w:eastAsia="et-EE"/>
        </w:rPr>
        <w:t xml:space="preserve">(põhjendus </w:t>
      </w:r>
      <w:proofErr w:type="spellStart"/>
      <w:r w:rsidR="00D42590" w:rsidRPr="00C50854">
        <w:rPr>
          <w:i/>
          <w:iCs/>
          <w:lang w:eastAsia="et-EE"/>
        </w:rPr>
        <w:t>ptk</w:t>
      </w:r>
      <w:proofErr w:type="spellEnd"/>
      <w:r w:rsidR="00D42590" w:rsidRPr="00C50854">
        <w:rPr>
          <w:i/>
          <w:iCs/>
          <w:lang w:eastAsia="et-EE"/>
        </w:rPr>
        <w:t xml:space="preserve"> 6.3.3.1)</w:t>
      </w:r>
      <w:r w:rsidRPr="00C50854">
        <w:rPr>
          <w:i/>
          <w:iCs/>
          <w:lang w:eastAsia="et-EE"/>
        </w:rPr>
        <w:t>.</w:t>
      </w:r>
    </w:p>
    <w:p w14:paraId="32651B02" w14:textId="77777777" w:rsidR="00D67E10" w:rsidRPr="00C50854" w:rsidRDefault="00D67E10" w:rsidP="00D67E10">
      <w:pPr>
        <w:suppressAutoHyphens w:val="0"/>
        <w:autoSpaceDE w:val="0"/>
        <w:autoSpaceDN w:val="0"/>
        <w:adjustRightInd w:val="0"/>
        <w:spacing w:before="120" w:after="120"/>
        <w:ind w:left="720"/>
        <w:jc w:val="both"/>
        <w:rPr>
          <w:lang w:eastAsia="et-EE"/>
        </w:rPr>
      </w:pPr>
    </w:p>
    <w:p w14:paraId="6BC9EB73" w14:textId="77777777" w:rsidR="00D67E10" w:rsidRPr="00C50854" w:rsidRDefault="00D67E10" w:rsidP="00D67E10">
      <w:pPr>
        <w:pStyle w:val="Pealkiri2"/>
        <w:spacing w:before="360" w:after="180"/>
        <w:rPr>
          <w:rFonts w:cs="Times New Roman"/>
          <w:sz w:val="26"/>
          <w:szCs w:val="26"/>
        </w:rPr>
      </w:pPr>
      <w:bookmarkStart w:id="461" w:name="_Toc212974440"/>
      <w:bookmarkStart w:id="462" w:name="_Toc213122168"/>
      <w:bookmarkStart w:id="463" w:name="_Toc213140789"/>
      <w:bookmarkStart w:id="464" w:name="_Toc215466514"/>
      <w:bookmarkStart w:id="465" w:name="_Toc216228067"/>
      <w:bookmarkStart w:id="466" w:name="_Toc457983660"/>
      <w:bookmarkStart w:id="467" w:name="_Toc464639367"/>
      <w:bookmarkStart w:id="468" w:name="_Toc39125686"/>
      <w:bookmarkStart w:id="469" w:name="_Toc42072475"/>
      <w:r w:rsidRPr="00C50854">
        <w:rPr>
          <w:rFonts w:cs="Times New Roman"/>
          <w:sz w:val="26"/>
          <w:szCs w:val="26"/>
        </w:rPr>
        <w:t>6.4. Läbipaistvuskohustused</w:t>
      </w:r>
      <w:bookmarkEnd w:id="461"/>
      <w:bookmarkEnd w:id="462"/>
      <w:bookmarkEnd w:id="463"/>
      <w:bookmarkEnd w:id="464"/>
      <w:bookmarkEnd w:id="465"/>
      <w:bookmarkEnd w:id="466"/>
      <w:bookmarkEnd w:id="467"/>
      <w:bookmarkEnd w:id="468"/>
      <w:bookmarkEnd w:id="469"/>
    </w:p>
    <w:p w14:paraId="3C5A7ECF" w14:textId="77777777" w:rsidR="00D67E10" w:rsidRPr="00C50854" w:rsidRDefault="00D67E10" w:rsidP="00D67E10">
      <w:pPr>
        <w:pStyle w:val="Pealkiri3"/>
        <w:rPr>
          <w:i/>
        </w:rPr>
      </w:pPr>
      <w:bookmarkStart w:id="470" w:name="_Toc212974441"/>
      <w:bookmarkStart w:id="471" w:name="_Toc213122169"/>
      <w:bookmarkStart w:id="472" w:name="_Toc213140790"/>
      <w:bookmarkStart w:id="473" w:name="_Toc215466515"/>
      <w:bookmarkStart w:id="474" w:name="_Toc216228068"/>
      <w:bookmarkStart w:id="475" w:name="_Toc457983661"/>
      <w:bookmarkStart w:id="476" w:name="_Toc464639368"/>
      <w:bookmarkStart w:id="477" w:name="_Toc39125687"/>
      <w:bookmarkStart w:id="478" w:name="_Toc42072476"/>
      <w:r w:rsidRPr="00C50854">
        <w:rPr>
          <w:i/>
        </w:rPr>
        <w:t>6.4.1. Läbipaistvuskohustuste eesmärk</w:t>
      </w:r>
      <w:bookmarkEnd w:id="470"/>
      <w:bookmarkEnd w:id="471"/>
      <w:bookmarkEnd w:id="472"/>
      <w:bookmarkEnd w:id="473"/>
      <w:bookmarkEnd w:id="474"/>
      <w:bookmarkEnd w:id="475"/>
      <w:r w:rsidRPr="00C50854">
        <w:rPr>
          <w:i/>
        </w:rPr>
        <w:t xml:space="preserve"> ja alused</w:t>
      </w:r>
      <w:bookmarkEnd w:id="476"/>
      <w:bookmarkEnd w:id="477"/>
      <w:bookmarkEnd w:id="478"/>
    </w:p>
    <w:p w14:paraId="76BF918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Läbipaistvuskohustuste eesmärgiks</w:t>
      </w:r>
      <w:r w:rsidRPr="00C50854">
        <w:rPr>
          <w:vertAlign w:val="superscript"/>
          <w:lang w:eastAsia="et-EE"/>
        </w:rPr>
        <w:footnoteReference w:id="110"/>
      </w:r>
      <w:r w:rsidRPr="00C50854">
        <w:rPr>
          <w:lang w:eastAsia="et-EE"/>
        </w:rPr>
        <w:t xml:space="preserve"> on aidata muuta sidevõrgule juurdepääsu teenuste läbirääkimisi kiiremaks, vältida vaidlusi ja anda turul tegutsevatele ettevõtjatele kindlustunne selle kohta, et teenuste pakkumiste tingimused ei ole diskrimineerivad, ning tagada nimetatud teenuste jaoks vajaliku teabe võrdne kättesaadavus kõigile huvitatud sideettevõtjatele. Läbipaistvuskohustuste kehtestamine on suunatud sideteenuste turgudel konkurentsi moonutamise ja takistamise tõkestamise toetamisele. </w:t>
      </w:r>
    </w:p>
    <w:p w14:paraId="2E3FE3E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TJA võib</w:t>
      </w:r>
      <w:r w:rsidRPr="00C50854">
        <w:rPr>
          <w:vertAlign w:val="superscript"/>
          <w:lang w:eastAsia="et-EE"/>
        </w:rPr>
        <w:footnoteReference w:id="111"/>
      </w:r>
      <w:r w:rsidRPr="00C50854">
        <w:rPr>
          <w:lang w:eastAsia="et-EE"/>
        </w:rPr>
        <w:t xml:space="preserve"> märkimisväärse turujõuga ettevõtjale kehtestada kohustuse avaldada juurdepääsuga seotud andmed kuluarvestuse, tehniliste tingimuste, võrgu omaduste, teenuse osutamise tingimuste, sealhulgas tingimuste, mis piiravad juurdepääsu teenusele ning selle rakendusele ja kasutamisele, ja tasude kohta. Samuti võib</w:t>
      </w:r>
      <w:r w:rsidRPr="00C50854">
        <w:rPr>
          <w:vertAlign w:val="superscript"/>
          <w:lang w:eastAsia="et-EE"/>
        </w:rPr>
        <w:footnoteReference w:id="112"/>
      </w:r>
      <w:r w:rsidRPr="00C50854">
        <w:rPr>
          <w:lang w:eastAsia="et-EE"/>
        </w:rPr>
        <w:t xml:space="preserve">  TJA kehtestada märkimisväärse turujõuga ettevõtjale kohustuse avaldada näidispakkumine konkreetse juurdepääsu teenuse kohta, mis peab sisaldama vastava teenuse osutamise tingimusi, sealhulgas tasusid, vastavalt ESS §-le 53.</w:t>
      </w:r>
    </w:p>
    <w:p w14:paraId="6417F84D" w14:textId="77777777" w:rsidR="00D67E10" w:rsidRPr="00C50854" w:rsidRDefault="00D67E10" w:rsidP="00D67E10">
      <w:pPr>
        <w:pStyle w:val="Pealkiri3"/>
        <w:rPr>
          <w:i/>
        </w:rPr>
      </w:pPr>
      <w:bookmarkStart w:id="479" w:name="_Toc464639369"/>
      <w:bookmarkStart w:id="480" w:name="_Ref465421520"/>
      <w:bookmarkStart w:id="481" w:name="_Toc39125688"/>
      <w:bookmarkStart w:id="482" w:name="_Toc42072477"/>
      <w:bookmarkStart w:id="483" w:name="_Toc332865992"/>
      <w:bookmarkStart w:id="484" w:name="_Toc435703529"/>
      <w:bookmarkStart w:id="485" w:name="_Toc436038419"/>
      <w:bookmarkStart w:id="486" w:name="_Toc448402228"/>
      <w:bookmarkStart w:id="487" w:name="_Toc212974442"/>
      <w:bookmarkStart w:id="488" w:name="_Toc213122170"/>
      <w:bookmarkStart w:id="489" w:name="_Toc213140791"/>
      <w:bookmarkStart w:id="490" w:name="_Toc215466516"/>
      <w:bookmarkStart w:id="491" w:name="_Toc216228069"/>
      <w:bookmarkStart w:id="492" w:name="_Toc457983662"/>
      <w:r w:rsidRPr="00C50854">
        <w:rPr>
          <w:i/>
        </w:rPr>
        <w:t>6.4.2. Läbipaistvusega seotud konkurentsiprobleemid</w:t>
      </w:r>
      <w:bookmarkEnd w:id="479"/>
      <w:bookmarkEnd w:id="480"/>
      <w:bookmarkEnd w:id="481"/>
      <w:bookmarkEnd w:id="482"/>
    </w:p>
    <w:p w14:paraId="069D8FD2"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Läbipaistvuskohustus aitab kaasa juurdepääsuga viivitamisega, diskrimineerimisega ja hinnaga seotud  konkurentsiprobleemide  lahendamisele</w:t>
      </w:r>
      <w:r w:rsidRPr="00C50854">
        <w:rPr>
          <w:vertAlign w:val="superscript"/>
          <w:lang w:eastAsia="et-EE"/>
        </w:rPr>
        <w:footnoteReference w:id="113"/>
      </w:r>
      <w:r w:rsidRPr="00C50854">
        <w:rPr>
          <w:lang w:eastAsia="et-EE"/>
        </w:rPr>
        <w:t xml:space="preserve">. Samas ainult läbipaistvuskohustus üksi ei suuda üldjuhul nimetatud konkurentsiprobleeme lahendada või ära hoida. Läbipaistvuskohustust kasutatakse teiste kohustustega kaasneva- ning neid efektiivsemaks muutva kohustusena. Näiteks sidevõrgule juurdepääsust keeldumise konkurentsiprobleemi lahendamisele aitavad läbipaistvuskohustused kaasa sellega, et muudavad juurdepääsu tingimused kõigile kättesaadavaks, läbipaistvaks ning juurdepääsu läbirääkimised kiiremaks. Tehniliste liideste avatus ja läbipaistvus on aga sideteenuste koostalitusvõime tagamisel eriti olulised. Diskrimineerimisega seotud konkurentsiprobleemide lahendamisele aitavad läbipaistvuskohustused kaasa sellega, et annavad võimaluse tuvastada diskrimineerivat </w:t>
      </w:r>
      <w:r w:rsidRPr="00C50854">
        <w:rPr>
          <w:lang w:eastAsia="et-EE"/>
        </w:rPr>
        <w:lastRenderedPageBreak/>
        <w:t>käitumist võimaldades vabalt jälgida ja võrrelda avalikustatud teenuste tingimusi, mille puhul diskrimineerimine võiks aset leida. Ülemäära kõrgete hindade rakendamise vältimist toetab läbipaistvuskohustus läbi hindade avalikustamise, mis aitab kiiremini nimetatud konkurentsiprobleemi tuvastada.</w:t>
      </w:r>
    </w:p>
    <w:p w14:paraId="65A329B4"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BEREC on avaldanud seisukoha, mis käsitleb lairibale juurdepääsu hulgiturul märkimisväärse turujõuga ettevõtjale kohustuste kehtestamise parimaid tavasid</w:t>
      </w:r>
      <w:r w:rsidRPr="00C50854">
        <w:rPr>
          <w:vertAlign w:val="superscript"/>
          <w:lang w:eastAsia="et-EE"/>
        </w:rPr>
        <w:footnoteReference w:id="114"/>
      </w:r>
      <w:r w:rsidRPr="00C50854">
        <w:rPr>
          <w:lang w:eastAsia="et-EE"/>
        </w:rPr>
        <w:t xml:space="preserve">. Selles tuuakse välja sagedamini esineda võivad läbipaistvusega seotud konkurentsiprobleemid kohaliku juurdepääsu hulgituru teenuste osas, mis takistavad alternatiivsetel sideettevõtjatel tõhusalt konkureerida jaemüügiturul: </w:t>
      </w:r>
    </w:p>
    <w:p w14:paraId="3F83C3FE" w14:textId="77777777" w:rsidR="00D67E10" w:rsidRPr="00C50854" w:rsidRDefault="00D67E10" w:rsidP="00D67E10">
      <w:pPr>
        <w:suppressAutoHyphens w:val="0"/>
        <w:spacing w:before="120" w:after="120"/>
        <w:ind w:left="785"/>
        <w:jc w:val="both"/>
        <w:rPr>
          <w:lang w:eastAsia="et-EE"/>
        </w:rPr>
      </w:pPr>
    </w:p>
    <w:p w14:paraId="3D02CCCD" w14:textId="77777777" w:rsidR="00D67E10" w:rsidRPr="00C50854" w:rsidRDefault="00D67E10" w:rsidP="00D67E10">
      <w:pPr>
        <w:pStyle w:val="Loendilik"/>
        <w:numPr>
          <w:ilvl w:val="0"/>
          <w:numId w:val="35"/>
        </w:numPr>
      </w:pPr>
      <w:r w:rsidRPr="00C50854">
        <w:t>MTE ei paku juurdepääsutingimuste kohta piisavat selgust ega läbipaistvust.</w:t>
      </w:r>
    </w:p>
    <w:p w14:paraId="2F77B309" w14:textId="77777777" w:rsidR="00D67E10" w:rsidRPr="00C50854" w:rsidRDefault="00D67E10" w:rsidP="00D67E10">
      <w:pPr>
        <w:pStyle w:val="Loendilik"/>
        <w:ind w:left="1145"/>
      </w:pPr>
    </w:p>
    <w:p w14:paraId="1E1C1C97" w14:textId="77777777" w:rsidR="00D67E10" w:rsidRPr="00C50854" w:rsidRDefault="00D67E10" w:rsidP="00D67E10">
      <w:pPr>
        <w:pStyle w:val="Loendilik"/>
        <w:numPr>
          <w:ilvl w:val="0"/>
          <w:numId w:val="35"/>
        </w:numPr>
      </w:pPr>
      <w:r w:rsidRPr="00C50854">
        <w:t>MTE viivitab näidispakkumise avaldamisega alternatiivsetele sideettevõtjatele, viivitades seeläbi juurdepääsu pakkumisega oma sidevõrgule.</w:t>
      </w:r>
    </w:p>
    <w:p w14:paraId="378188CD" w14:textId="77777777" w:rsidR="00D67E10" w:rsidRPr="00C50854" w:rsidRDefault="00D67E10" w:rsidP="00D67E10"/>
    <w:p w14:paraId="7F69DFEF" w14:textId="77777777" w:rsidR="00D67E10" w:rsidRPr="00C50854" w:rsidRDefault="00D67E10" w:rsidP="00D67E10">
      <w:pPr>
        <w:pStyle w:val="Loendilik"/>
        <w:numPr>
          <w:ilvl w:val="0"/>
          <w:numId w:val="35"/>
        </w:numPr>
      </w:pPr>
      <w:r w:rsidRPr="00C50854">
        <w:t>MTE ei võta näidispakkumise väljatöötamisel arvesse alternatiivsetelt sideettevõtjatelt saadud mõistlikke seisukohti, mistõttu ei pruugi näidispakkumine täita oma eesmärki.</w:t>
      </w:r>
    </w:p>
    <w:p w14:paraId="1BC0CE42" w14:textId="77777777" w:rsidR="00D67E10" w:rsidRPr="00C50854" w:rsidRDefault="00D67E10" w:rsidP="00D67E10"/>
    <w:p w14:paraId="4EB58C52" w14:textId="77777777" w:rsidR="00D67E10" w:rsidRPr="00C50854" w:rsidRDefault="00D67E10" w:rsidP="00D67E10">
      <w:pPr>
        <w:pStyle w:val="Loendilik"/>
        <w:numPr>
          <w:ilvl w:val="0"/>
          <w:numId w:val="35"/>
        </w:numPr>
      </w:pPr>
      <w:r w:rsidRPr="00C50854">
        <w:t>MTE ei avalda õigeaegselt alternatiivetele sideettevõtjatele olulist teavet, millele tal on eelisjuurdepääs (nt sidevõrgu arenduse alguse või lõpetamise tähtajad).</w:t>
      </w:r>
    </w:p>
    <w:p w14:paraId="25D51788" w14:textId="77777777" w:rsidR="00D67E10" w:rsidRPr="00C50854" w:rsidRDefault="00D67E10" w:rsidP="00D67E10"/>
    <w:p w14:paraId="7AF48BE7"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TTJA hinnangul on eelkirjeldatud läbipaistvusega seotud konkurentsiprobleemide esinemine lähima kolme aasta jooksul tõenäoline, kuna puuduvad alused eeldada, et Telia vertikaalne integreeritus ja turujõud kohaliku juurdepääsu hulgiturul nimetatud perioodil märkimisväärselt väheneks. See annab Teliale võime piirata läbipaistvust kohaliku juurdepääsu hulgituru teenuste osas takistades seeläbi teiste sideettevõtjate jaeturule sisenemist ning kahjustades seeläbi konkurentsi jaemüügi tasandil ning lõppkasutajate huve.</w:t>
      </w:r>
    </w:p>
    <w:p w14:paraId="12A81269"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Turuanalüüsi küsimustiku vastustes tõid alternatiivsed sideettevõtjad esile alljärgneva teema seoses Telia kliendiliinidele juurdepääsuga, mis võib tekitada läbipaistvusega seotud konkurentsiprobleeme: </w:t>
      </w:r>
    </w:p>
    <w:p w14:paraId="54D6F26D" w14:textId="77777777" w:rsidR="00D67E10" w:rsidRPr="00C50854" w:rsidRDefault="00D67E10" w:rsidP="00D67E10">
      <w:pPr>
        <w:pStyle w:val="Loendilik"/>
        <w:suppressAutoHyphens w:val="0"/>
        <w:spacing w:before="120" w:after="120"/>
        <w:ind w:left="360"/>
        <w:jc w:val="both"/>
        <w:rPr>
          <w:lang w:eastAsia="et-EE"/>
        </w:rPr>
      </w:pPr>
      <w:bookmarkStart w:id="493" w:name="_Hlk39065972"/>
      <w:r w:rsidRPr="00C50854">
        <w:rPr>
          <w:lang w:eastAsia="et-EE"/>
        </w:rPr>
        <w:t xml:space="preserve">Telia 50mm läbimõõduga kaablikanalisatsioonile juurdepääsul  on kaablite, kiikrite ja </w:t>
      </w:r>
      <w:proofErr w:type="spellStart"/>
      <w:r w:rsidRPr="00C50854">
        <w:rPr>
          <w:lang w:eastAsia="et-EE"/>
        </w:rPr>
        <w:t>multitorude</w:t>
      </w:r>
      <w:proofErr w:type="spellEnd"/>
      <w:r w:rsidRPr="00C50854">
        <w:rPr>
          <w:lang w:eastAsia="et-EE"/>
        </w:rPr>
        <w:t xml:space="preserve"> paigaldamine lubatud vaid juhul, kui see ei sea ohtu Telia sidevõrgu toimimist, terviklikkust või turvalisust ning on tagatud vaba tehnilise reservi olemasolu. Samas Telia eeskirjadega ei ole määratud paigalduskoha ega tehnilise reservi suurust. Samuti ei ole määratud, kas ja millistel tingimustel võib 50mm läbimõõduga kaablikanalisatsiooni paigaldada kiikreid ja </w:t>
      </w:r>
      <w:proofErr w:type="spellStart"/>
      <w:r w:rsidRPr="00C50854">
        <w:rPr>
          <w:lang w:eastAsia="et-EE"/>
        </w:rPr>
        <w:t>multitorusid</w:t>
      </w:r>
      <w:bookmarkEnd w:id="493"/>
      <w:proofErr w:type="spellEnd"/>
      <w:r w:rsidRPr="00C50854">
        <w:rPr>
          <w:lang w:eastAsia="et-EE"/>
        </w:rPr>
        <w:t>.</w:t>
      </w:r>
    </w:p>
    <w:p w14:paraId="551F26D9" w14:textId="77777777" w:rsidR="00D67E10" w:rsidRPr="00C50854" w:rsidRDefault="00D67E10" w:rsidP="00D67E10">
      <w:pPr>
        <w:pStyle w:val="Loendilik"/>
        <w:suppressAutoHyphens w:val="0"/>
        <w:autoSpaceDE w:val="0"/>
        <w:autoSpaceDN w:val="0"/>
        <w:adjustRightInd w:val="0"/>
        <w:spacing w:before="120" w:after="120"/>
        <w:ind w:left="360"/>
        <w:jc w:val="both"/>
        <w:rPr>
          <w:lang w:eastAsia="et-EE"/>
        </w:rPr>
      </w:pPr>
    </w:p>
    <w:p w14:paraId="27223836" w14:textId="4D39ECE2" w:rsidR="00D67E10" w:rsidRPr="00C50854" w:rsidRDefault="00D67E10" w:rsidP="00D67E10">
      <w:pPr>
        <w:suppressAutoHyphens w:val="0"/>
        <w:autoSpaceDE w:val="0"/>
        <w:autoSpaceDN w:val="0"/>
        <w:adjustRightInd w:val="0"/>
        <w:spacing w:before="120" w:after="120"/>
        <w:ind w:left="360"/>
        <w:jc w:val="both"/>
        <w:rPr>
          <w:lang w:eastAsia="et-EE"/>
        </w:rPr>
      </w:pPr>
      <w:r w:rsidRPr="00C50854">
        <w:rPr>
          <w:lang w:eastAsia="et-EE"/>
        </w:rPr>
        <w:t>Eelnimetatud teemat analüüsitakse peatükis 6.</w:t>
      </w:r>
      <w:r w:rsidR="00E066DB" w:rsidRPr="00C50854">
        <w:rPr>
          <w:lang w:eastAsia="et-EE"/>
        </w:rPr>
        <w:t>4</w:t>
      </w:r>
      <w:r w:rsidRPr="00C50854">
        <w:rPr>
          <w:lang w:eastAsia="et-EE"/>
        </w:rPr>
        <w:t>.</w:t>
      </w:r>
      <w:r w:rsidR="00E066DB" w:rsidRPr="00C50854">
        <w:rPr>
          <w:lang w:eastAsia="et-EE"/>
        </w:rPr>
        <w:t>3</w:t>
      </w:r>
      <w:r w:rsidRPr="00C50854">
        <w:rPr>
          <w:lang w:eastAsia="et-EE"/>
        </w:rPr>
        <w:t>.1.</w:t>
      </w:r>
    </w:p>
    <w:p w14:paraId="66D3403D" w14:textId="77777777" w:rsidR="00D67E10" w:rsidRPr="00C50854" w:rsidRDefault="00D67E10" w:rsidP="00D67E10"/>
    <w:p w14:paraId="51544F15" w14:textId="77777777" w:rsidR="00D67E10" w:rsidRPr="00C50854" w:rsidRDefault="00D67E10" w:rsidP="00D67E10">
      <w:pPr>
        <w:pStyle w:val="Pealkiri3"/>
        <w:rPr>
          <w:i/>
        </w:rPr>
      </w:pPr>
      <w:bookmarkStart w:id="494" w:name="_Toc464639370"/>
      <w:bookmarkStart w:id="495" w:name="_Toc39125689"/>
      <w:bookmarkStart w:id="496" w:name="_Toc42072478"/>
      <w:r w:rsidRPr="00C50854">
        <w:rPr>
          <w:i/>
        </w:rPr>
        <w:lastRenderedPageBreak/>
        <w:t xml:space="preserve">6.4.3. Läbipaistvuskohustuste </w:t>
      </w:r>
      <w:bookmarkEnd w:id="483"/>
      <w:r w:rsidRPr="00C50854">
        <w:rPr>
          <w:i/>
        </w:rPr>
        <w:t>valiku analüüs</w:t>
      </w:r>
      <w:bookmarkEnd w:id="484"/>
      <w:bookmarkEnd w:id="485"/>
      <w:bookmarkEnd w:id="486"/>
      <w:bookmarkEnd w:id="494"/>
      <w:bookmarkEnd w:id="495"/>
      <w:bookmarkEnd w:id="496"/>
    </w:p>
    <w:p w14:paraId="2A6ABA30" w14:textId="77777777" w:rsidR="00D67E10" w:rsidRPr="00C50854" w:rsidRDefault="00D67E10" w:rsidP="00311E1F">
      <w:pPr>
        <w:numPr>
          <w:ilvl w:val="0"/>
          <w:numId w:val="13"/>
        </w:numPr>
        <w:suppressAutoHyphens w:val="0"/>
        <w:spacing w:before="120" w:after="120"/>
        <w:jc w:val="both"/>
        <w:rPr>
          <w:lang w:eastAsia="et-EE"/>
        </w:rPr>
      </w:pPr>
      <w:r w:rsidRPr="00C50854">
        <w:rPr>
          <w:lang w:eastAsia="et-EE"/>
        </w:rPr>
        <w:t>Alljärgnevalt on analüüsitud erinevaid kohustusi, mida võiks rakendada märkimisväärse turujõuga ettevõtjale, et tagada kohalikul juurdepääsu hulgiturul läbipaistvusega seotud konkurentsiprobleemide tõhusaima vältimise.</w:t>
      </w:r>
    </w:p>
    <w:p w14:paraId="5B7589F2" w14:textId="77777777" w:rsidR="00D67E10" w:rsidRPr="00C50854" w:rsidRDefault="00D67E10" w:rsidP="00311E1F">
      <w:pPr>
        <w:numPr>
          <w:ilvl w:val="0"/>
          <w:numId w:val="13"/>
        </w:numPr>
        <w:suppressAutoHyphens w:val="0"/>
        <w:spacing w:before="120" w:after="120"/>
        <w:jc w:val="both"/>
        <w:rPr>
          <w:lang w:eastAsia="et-EE"/>
        </w:rPr>
      </w:pPr>
      <w:r w:rsidRPr="00C50854">
        <w:rPr>
          <w:lang w:eastAsia="et-EE"/>
        </w:rPr>
        <w:t>Riigi reguleerivad asutused peavad tasakaalustama infrastruktuuri omaniku õiguseid kasutada oma infrastruktuuri enda huvides ja teiste teenuseosutajate õiguseid kasutada vastavat infrastruktuuri ja sellega seotud vahendeid, mis on olulised konkureerivate teenuste pakkumiseks</w:t>
      </w:r>
      <w:r w:rsidRPr="00C50854">
        <w:rPr>
          <w:rStyle w:val="Allmrkuseviide"/>
          <w:lang w:eastAsia="et-EE"/>
        </w:rPr>
        <w:footnoteReference w:id="115"/>
      </w:r>
      <w:r w:rsidRPr="00C50854">
        <w:rPr>
          <w:lang w:eastAsia="et-EE"/>
        </w:rPr>
        <w:t xml:space="preserve">. </w:t>
      </w:r>
    </w:p>
    <w:p w14:paraId="4739DFD5"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TTJA kaalus erinevaid ESS § 50 lõigetes 3, 4, 5 ja lõikes 7 sätestatud meetmete rakendamist läbipaistvusega seotud konkurentsiprobleemide lahendamiseks ja leidis, et:</w:t>
      </w:r>
    </w:p>
    <w:p w14:paraId="124CBCD5"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mittediskrimineerimise kohustus</w:t>
      </w:r>
      <w:r w:rsidRPr="00C50854">
        <w:rPr>
          <w:vertAlign w:val="superscript"/>
          <w:lang w:eastAsia="et-EE"/>
        </w:rPr>
        <w:footnoteReference w:id="116"/>
      </w:r>
      <w:r w:rsidRPr="00C50854">
        <w:rPr>
          <w:lang w:eastAsia="et-EE"/>
        </w:rPr>
        <w:t xml:space="preserve"> ei ole teabe kättesaadavuse tagamiseks piisav, kuna see tagab küll teabe võrdse kättesaadavuse, kuid ei taga teabe kompaktset (näiteks näidispakkumise kujul) avalikustamist konkreetse teenuse jaoks efektiivseimal viisil (näiteks veebilehel);</w:t>
      </w:r>
    </w:p>
    <w:p w14:paraId="24F4F1AD"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 xml:space="preserve">juurdepääsu kohustused ning hinnakontrolli ja kuluarvestuse kohustused </w:t>
      </w:r>
      <w:r w:rsidRPr="00C50854">
        <w:rPr>
          <w:vertAlign w:val="superscript"/>
          <w:lang w:eastAsia="et-EE"/>
        </w:rPr>
        <w:footnoteReference w:id="117"/>
      </w:r>
      <w:r w:rsidRPr="00C50854">
        <w:rPr>
          <w:lang w:eastAsia="et-EE"/>
        </w:rPr>
        <w:t>ei ole  piisavad, kuna nimetatud kohustused ei sätesta konkreetseid kohustusi teabe kättesaadavuse kohta.</w:t>
      </w:r>
    </w:p>
    <w:p w14:paraId="63E83976"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ESS § 135 lõike 1 kohaselt on tagatud, et läbipaistvuskohustuste kehtestamine Teliale on:</w:t>
      </w:r>
    </w:p>
    <w:p w14:paraId="5EF145DF"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mõistlik ja otstarbekas, kuna juurdepääsu teenuste osutamise tingimuste ja hindade avaldamine aitab tagada lähedalt seotud turgudel konkurentsi ja stabiilsust;</w:t>
      </w:r>
    </w:p>
    <w:p w14:paraId="69126C54"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mittediskrimineeriv, kuna Telia poolt osutatavad kohaliku juurdepääsu hulgituru koosseisu kuuluvad teenused mõjutavad konkurentsi vertikaalselt allapoole seotud jaeturgudel Telia ulatusliku infrastruktuuri olemasolu tõttu oluliselt suuremal määral kui teiste sideettevõtjate poolt nimetatud turu koosseisu kuuluvad teenused. Sellest tulenevalt on õigustatud Teliale läbipaistvuskohustuste kehtestamine, et tõkestada Telia võimalust oma märkimisväärset turujõudu ära kasutada konkurentsi takistamiseks;</w:t>
      </w:r>
    </w:p>
    <w:p w14:paraId="02D2B713"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läbipaistev, kuna kohustus on kavandatud selliselt, et Teliale oleks üheselt arusaadavad TTJA seisukohad ning millised õigused ja kohustused sellest Teliale tulenevad.</w:t>
      </w:r>
    </w:p>
    <w:p w14:paraId="68C5FE3C" w14:textId="77777777" w:rsidR="00D67E10" w:rsidRPr="00C50854" w:rsidRDefault="00D67E10" w:rsidP="00311E1F">
      <w:pPr>
        <w:numPr>
          <w:ilvl w:val="0"/>
          <w:numId w:val="13"/>
        </w:numPr>
        <w:jc w:val="both"/>
      </w:pPr>
      <w:r w:rsidRPr="00C50854">
        <w:t>Kokkuvõtvalt on TTJA seisukohal, et eeltoodut arvesse võttes ei ole kavandatavad läbipaistvuse kohustused Teliale ülemääraselt koormavad. Samuti on TTJA hinnangul Telial olemas nimetatud kohustuste täitmiseks vajalik tehniline valmisolek ja ressurss, kuna suuremas osas kehtivad sarnased juurdepääsu kohustused Teliale ka praegu</w:t>
      </w:r>
      <w:r w:rsidRPr="00C50854">
        <w:rPr>
          <w:rStyle w:val="Allmrkuseviide"/>
        </w:rPr>
        <w:footnoteReference w:id="118"/>
      </w:r>
      <w:r w:rsidRPr="00C50854">
        <w:t>.</w:t>
      </w:r>
    </w:p>
    <w:p w14:paraId="0EB735B2" w14:textId="79C9400D"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t>Järgnevas peatükis analüüsitakse, kas ja kuidas on vaja muuta kehtivaid kohaliku juurdepääsu hulgituru kohustusi</w:t>
      </w:r>
      <w:r w:rsidRPr="00C50854">
        <w:rPr>
          <w:rStyle w:val="Allmrkuseviide"/>
        </w:rPr>
        <w:footnoteReference w:id="119"/>
      </w:r>
      <w:r w:rsidRPr="00C50854">
        <w:t xml:space="preserve"> seoses alternatiivsete sideettevõtjate poolt peatükis 6.4.2 kirjeldatud olukorraga, mis võib põhjustada diskrimineerimisega seotud konkurentsiprobleeme.</w:t>
      </w:r>
    </w:p>
    <w:p w14:paraId="38AB26F0" w14:textId="5BD187C0" w:rsidR="00295865" w:rsidRPr="00C50854" w:rsidRDefault="00295865" w:rsidP="00E066DB">
      <w:pPr>
        <w:suppressAutoHyphens w:val="0"/>
        <w:autoSpaceDE w:val="0"/>
        <w:autoSpaceDN w:val="0"/>
        <w:adjustRightInd w:val="0"/>
        <w:spacing w:before="120" w:after="120"/>
        <w:ind w:left="360"/>
        <w:jc w:val="both"/>
        <w:rPr>
          <w:lang w:eastAsia="et-EE"/>
        </w:rPr>
      </w:pPr>
    </w:p>
    <w:p w14:paraId="1051B2D6" w14:textId="77777777" w:rsidR="00E066DB" w:rsidRPr="00C50854" w:rsidRDefault="00E066DB" w:rsidP="00E066DB">
      <w:pPr>
        <w:suppressAutoHyphens w:val="0"/>
        <w:autoSpaceDE w:val="0"/>
        <w:autoSpaceDN w:val="0"/>
        <w:adjustRightInd w:val="0"/>
        <w:spacing w:before="120" w:after="120"/>
        <w:ind w:left="360"/>
        <w:jc w:val="both"/>
        <w:rPr>
          <w:lang w:eastAsia="et-EE"/>
        </w:rPr>
      </w:pPr>
    </w:p>
    <w:p w14:paraId="25939561" w14:textId="4006B16D" w:rsidR="00D67E10" w:rsidRPr="00C50854" w:rsidRDefault="00D67E10" w:rsidP="009A75FA">
      <w:pPr>
        <w:pStyle w:val="Pealkiri3"/>
        <w:rPr>
          <w:b w:val="0"/>
          <w:bCs w:val="0"/>
          <w:i/>
          <w:iCs/>
        </w:rPr>
      </w:pPr>
      <w:bookmarkStart w:id="497" w:name="_Toc39125690"/>
      <w:bookmarkStart w:id="498" w:name="_Toc42072479"/>
      <w:bookmarkStart w:id="499" w:name="_Hlk38868367"/>
      <w:r w:rsidRPr="00C50854">
        <w:rPr>
          <w:b w:val="0"/>
          <w:bCs w:val="0"/>
          <w:i/>
          <w:iCs/>
        </w:rPr>
        <w:t>6.</w:t>
      </w:r>
      <w:r w:rsidR="00E066DB" w:rsidRPr="00C50854">
        <w:rPr>
          <w:b w:val="0"/>
          <w:bCs w:val="0"/>
          <w:i/>
          <w:iCs/>
        </w:rPr>
        <w:t>4</w:t>
      </w:r>
      <w:r w:rsidRPr="00C50854">
        <w:rPr>
          <w:b w:val="0"/>
          <w:bCs w:val="0"/>
          <w:i/>
          <w:iCs/>
        </w:rPr>
        <w:t>.</w:t>
      </w:r>
      <w:r w:rsidR="00E066DB" w:rsidRPr="00C50854">
        <w:rPr>
          <w:b w:val="0"/>
          <w:bCs w:val="0"/>
          <w:i/>
          <w:iCs/>
        </w:rPr>
        <w:t>3</w:t>
      </w:r>
      <w:r w:rsidRPr="00C50854">
        <w:rPr>
          <w:b w:val="0"/>
          <w:bCs w:val="0"/>
          <w:i/>
          <w:iCs/>
        </w:rPr>
        <w:t xml:space="preserve">.1 </w:t>
      </w:r>
      <w:r w:rsidR="00295865" w:rsidRPr="00C50854">
        <w:rPr>
          <w:b w:val="0"/>
          <w:bCs w:val="0"/>
          <w:i/>
          <w:iCs/>
        </w:rPr>
        <w:t>Läbimõõduga 50 mm</w:t>
      </w:r>
      <w:r w:rsidRPr="00C50854">
        <w:rPr>
          <w:b w:val="0"/>
          <w:bCs w:val="0"/>
          <w:i/>
          <w:iCs/>
        </w:rPr>
        <w:t xml:space="preserve"> kaablikanalisatsiooni paigalduskohad ja tehniline reserv</w:t>
      </w:r>
      <w:bookmarkEnd w:id="497"/>
      <w:bookmarkEnd w:id="498"/>
    </w:p>
    <w:p w14:paraId="29D6680E" w14:textId="77777777" w:rsidR="00D67E10" w:rsidRPr="00C50854" w:rsidRDefault="00D67E10" w:rsidP="00D67E10">
      <w:pPr>
        <w:suppressAutoHyphens w:val="0"/>
        <w:autoSpaceDE w:val="0"/>
        <w:autoSpaceDN w:val="0"/>
        <w:adjustRightInd w:val="0"/>
        <w:spacing w:before="120" w:after="120"/>
        <w:jc w:val="both"/>
        <w:rPr>
          <w:lang w:eastAsia="et-EE"/>
        </w:rPr>
      </w:pPr>
    </w:p>
    <w:bookmarkEnd w:id="499"/>
    <w:p w14:paraId="2162B54F"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Olukorra kirjeldus</w:t>
      </w:r>
    </w:p>
    <w:p w14:paraId="62D25178"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Telia kasutab 50mm läbimõõduga kaablikanalisatsiooni peamiselt hoonetesse sisenevate torude korral. Sellise 50mm läbimõõduga kaablikanalisatsioonile juurdepääsul</w:t>
      </w:r>
      <w:r w:rsidRPr="00C50854">
        <w:rPr>
          <w:rStyle w:val="Allmrkuseviide"/>
          <w:lang w:eastAsia="et-EE"/>
        </w:rPr>
        <w:footnoteReference w:id="120"/>
      </w:r>
      <w:r w:rsidRPr="00C50854">
        <w:rPr>
          <w:lang w:eastAsia="et-EE"/>
        </w:rPr>
        <w:t xml:space="preserve">  on kaablite, kiikrite ja </w:t>
      </w:r>
      <w:proofErr w:type="spellStart"/>
      <w:r w:rsidRPr="00C50854">
        <w:rPr>
          <w:lang w:eastAsia="et-EE"/>
        </w:rPr>
        <w:t>multitorude</w:t>
      </w:r>
      <w:proofErr w:type="spellEnd"/>
      <w:r w:rsidRPr="00C50854">
        <w:rPr>
          <w:lang w:eastAsia="et-EE"/>
        </w:rPr>
        <w:t xml:space="preserve"> paigaldamine lubatud vaid juhul, kui see ei sea ohtu Telia sidevõrgu toimimist, terviklikkust või turvalisust ning on tagatud vaba tehnilise reservi olemasolu. Samas Telia eeskirjadega ei ole määratud paigalduskoha ega tehnilise reservi suurust. Samuti ei ole määratud, kas ja millistel tingimustel võib 50mm läbimõõduga kaablikanalisatsiooni paigaldada kiikreid ja </w:t>
      </w:r>
      <w:proofErr w:type="spellStart"/>
      <w:r w:rsidRPr="00C50854">
        <w:rPr>
          <w:lang w:eastAsia="et-EE"/>
        </w:rPr>
        <w:t>multitorusid</w:t>
      </w:r>
      <w:proofErr w:type="spellEnd"/>
      <w:r w:rsidRPr="00C50854">
        <w:rPr>
          <w:lang w:eastAsia="et-EE"/>
        </w:rPr>
        <w:t>.</w:t>
      </w:r>
    </w:p>
    <w:p w14:paraId="398C4428"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551F8B05"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tuvastamine</w:t>
      </w:r>
    </w:p>
    <w:p w14:paraId="36252C83"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Kui puuduvad selged tingimused, mille alusel antakse juurdepääs kaablikanalisatsioonile, siis on keeruline hinnata, kas Telia kohtleb kaablikanalisatsioonile juurdepääsul alternatiivseid sideettevõtjaid võrdselt oma enda allüksustega ehk kas on täidetud mitte-diskrimineerimise kohustus. Samuti puudub alternatiivsetel sideettevõtjatel selged kriteeriumid, mille alusel hinnata juurdepääsu võimalusi 50 mm läbimõõduga </w:t>
      </w:r>
      <w:proofErr w:type="spellStart"/>
      <w:r w:rsidRPr="00C50854">
        <w:rPr>
          <w:lang w:eastAsia="et-EE"/>
        </w:rPr>
        <w:t>kaablikanalisatsioonle</w:t>
      </w:r>
      <w:proofErr w:type="spellEnd"/>
      <w:r w:rsidRPr="00C50854">
        <w:rPr>
          <w:lang w:eastAsia="et-EE"/>
        </w:rPr>
        <w:t xml:space="preserve"> ja selle alusel planeerida oma sidevõrgu arendamist. See omakorda pikendab alternatiivsete sideettevõtjate võrgu arendamise kiirust, mis kahjustab konkurentsitingimusi jaetasandil. </w:t>
      </w:r>
    </w:p>
    <w:p w14:paraId="4B29746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Eeltoodus tulenevalt on oluline, et Telia kaablikanalisatsioonile juurdepääsu tingimused oleks selgelt määratud ka 50 mm läbimõõduga kaablikanalisatsiooni korral. </w:t>
      </w:r>
    </w:p>
    <w:p w14:paraId="10648DCF" w14:textId="77777777" w:rsidR="00D67E10" w:rsidRPr="00C50854" w:rsidRDefault="00D67E10" w:rsidP="00D67E10">
      <w:pPr>
        <w:suppressAutoHyphens w:val="0"/>
        <w:autoSpaceDE w:val="0"/>
        <w:autoSpaceDN w:val="0"/>
        <w:adjustRightInd w:val="0"/>
        <w:spacing w:before="120" w:after="120"/>
        <w:jc w:val="both"/>
        <w:rPr>
          <w:lang w:eastAsia="et-EE"/>
        </w:rPr>
      </w:pPr>
    </w:p>
    <w:p w14:paraId="7CA0FC9C"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Konkurentsiprobleemi lahendamise valikud</w:t>
      </w:r>
    </w:p>
    <w:p w14:paraId="4707F8A3"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TTJA hinnangul on eeltoodud läbipaistvusega seotud konkurentsiprobleemi lahendamiseks otstarbekas nõuda Telialt, et 50 mm läbimõõduga kaablikanalisatsioonile (k.a. vastava läbimõõduga hoonetesse sisenevad kaablikanalisatsioonid) juurdepääsu tingimused oleksid Telia eeskirjadega määratud samasuguse detailsusega nagu 100mm läbimõõduga kaablikanalisatsiooni korral, sh paigalduskohtade arv ja suurus, tehnilise reservi suurus ning millistel tingimustel võib paigaldada kiikreid ja </w:t>
      </w:r>
      <w:proofErr w:type="spellStart"/>
      <w:r w:rsidRPr="00C50854">
        <w:rPr>
          <w:lang w:eastAsia="et-EE"/>
        </w:rPr>
        <w:t>multitorusid</w:t>
      </w:r>
      <w:proofErr w:type="spellEnd"/>
      <w:r w:rsidRPr="00C50854">
        <w:rPr>
          <w:lang w:eastAsia="et-EE"/>
        </w:rPr>
        <w:t xml:space="preserve">. </w:t>
      </w:r>
    </w:p>
    <w:p w14:paraId="17DA6ABF" w14:textId="0E4AFEDB"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Kuna Telial on kõige parem ülevaade 50mm läbimõõduga kaablikanalisatsiooni tingimustest, siis on mõistlik, kui eelkirjeldatud tingimuste esmakordsel määramisel teeb seda Telia ise. TTJA võib hiljem vajadusel analüüsida nimetatud tingimuste asjakohasust ja vajadusel nõuda nende muutmist.</w:t>
      </w:r>
    </w:p>
    <w:p w14:paraId="6E1FDF90" w14:textId="53C23884" w:rsidR="00E066DB" w:rsidRPr="00C50854" w:rsidRDefault="00E066DB" w:rsidP="00311E1F">
      <w:pPr>
        <w:numPr>
          <w:ilvl w:val="0"/>
          <w:numId w:val="13"/>
        </w:numPr>
        <w:suppressAutoHyphens w:val="0"/>
        <w:autoSpaceDE w:val="0"/>
        <w:autoSpaceDN w:val="0"/>
        <w:adjustRightInd w:val="0"/>
        <w:spacing w:before="120" w:after="120"/>
        <w:jc w:val="both"/>
        <w:rPr>
          <w:lang w:eastAsia="et-EE"/>
        </w:rPr>
      </w:pPr>
      <w:r w:rsidRPr="00C50854">
        <w:rPr>
          <w:lang w:eastAsia="et-EE"/>
        </w:rPr>
        <w:t>Kavandatav kohustu ei ole Teliale koormav, kuna näidispakkumine täiendamine ei nõua Telialt märkimisväärseid kulutusi ning kantavad kulutused võib Telia hinnakohustuses sätestatud metoodika alusel arvestada kaablikanalisatsiooni</w:t>
      </w:r>
      <w:r w:rsidR="00277509" w:rsidRPr="00C50854">
        <w:rPr>
          <w:lang w:eastAsia="et-EE"/>
        </w:rPr>
        <w:t>le juurdepääsu</w:t>
      </w:r>
      <w:r w:rsidRPr="00C50854">
        <w:rPr>
          <w:lang w:eastAsia="et-EE"/>
        </w:rPr>
        <w:t xml:space="preserve"> kuutasusse.</w:t>
      </w:r>
    </w:p>
    <w:p w14:paraId="313DD996" w14:textId="77777777" w:rsidR="00D67E10" w:rsidRPr="00C50854" w:rsidRDefault="00D67E10" w:rsidP="00D67E10">
      <w:pPr>
        <w:suppressAutoHyphens w:val="0"/>
        <w:autoSpaceDE w:val="0"/>
        <w:autoSpaceDN w:val="0"/>
        <w:adjustRightInd w:val="0"/>
        <w:spacing w:before="120" w:after="120"/>
        <w:jc w:val="both"/>
        <w:rPr>
          <w:lang w:eastAsia="et-EE"/>
        </w:rPr>
      </w:pPr>
    </w:p>
    <w:p w14:paraId="2CD10BD0"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lang w:eastAsia="et-EE"/>
        </w:rPr>
        <w:t>Kavandatav kohustus</w:t>
      </w:r>
    </w:p>
    <w:p w14:paraId="6ABEE681"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Vastavalt ESS § 50 lõige 1 punktile 1 võib TTJA sideettevõtja suhtes, kes on tunnistatud märkimisväärse turujõuga ettevõtjaks, kehtestada vastaval turul seoses juurdepääsuga </w:t>
      </w:r>
      <w:r w:rsidRPr="00C50854">
        <w:rPr>
          <w:lang w:eastAsia="et-EE"/>
        </w:rPr>
        <w:lastRenderedPageBreak/>
        <w:t>kohustuse avaldada juurdepääsuga seotud andmed kuluarvestuse, tehniliste tingimuste, võrgu omaduste, teenuse osutamise tingimuste, sealhulgas tingimuste, mis piiravad juurdepääsu teenusele ning selle rakendusele ja kasutamisele, ja tasude kohta.</w:t>
      </w:r>
    </w:p>
    <w:p w14:paraId="389DC8B1" w14:textId="17F43950" w:rsidR="00D67E10" w:rsidRPr="00C50854" w:rsidRDefault="00D67E10" w:rsidP="00311E1F">
      <w:pPr>
        <w:pStyle w:val="Loendilik"/>
        <w:numPr>
          <w:ilvl w:val="0"/>
          <w:numId w:val="13"/>
        </w:numPr>
        <w:rPr>
          <w:lang w:eastAsia="et-EE"/>
        </w:rPr>
      </w:pPr>
      <w:r w:rsidRPr="00C50854">
        <w:rPr>
          <w:lang w:eastAsia="et-EE"/>
        </w:rPr>
        <w:t xml:space="preserve">Eelnimetatud paragrahvi alusel kavandab TTJA kohustada Teliat tagama, et 50 mm läbimõõduga kaablikanalisatsioonile (k.a. vastava läbimõõduga hoonetesse siseneva kaablikanalisatsioonile) juurdepääsu  tingimused oleksid Telia eeskirjadega määratud samasuguse detailsusega nagu 100mm läbimõõduga kaablikanalisatsiooni korral, sh paigalduskohtade arv ja suurus, tehnilise reservi suurus ning millistel tingimustel võib paigaldada kiikreid ja </w:t>
      </w:r>
      <w:proofErr w:type="spellStart"/>
      <w:r w:rsidRPr="00C50854">
        <w:rPr>
          <w:lang w:eastAsia="et-EE"/>
        </w:rPr>
        <w:t>multitorusid</w:t>
      </w:r>
      <w:proofErr w:type="spellEnd"/>
      <w:r w:rsidRPr="00C50854">
        <w:rPr>
          <w:lang w:eastAsia="et-EE"/>
        </w:rPr>
        <w:t xml:space="preserve">. </w:t>
      </w:r>
    </w:p>
    <w:p w14:paraId="0F477773" w14:textId="6A786D04" w:rsidR="006163E6" w:rsidRPr="00C50854" w:rsidRDefault="006163E6" w:rsidP="006163E6">
      <w:pPr>
        <w:pStyle w:val="Loendilik"/>
        <w:ind w:left="360"/>
        <w:rPr>
          <w:lang w:eastAsia="et-EE"/>
        </w:rPr>
      </w:pPr>
    </w:p>
    <w:p w14:paraId="28FB1C54" w14:textId="798B8196" w:rsidR="006163E6" w:rsidRPr="00C50854" w:rsidRDefault="006163E6" w:rsidP="006163E6">
      <w:pPr>
        <w:pStyle w:val="Loendilik"/>
        <w:ind w:left="360"/>
        <w:rPr>
          <w:lang w:eastAsia="et-EE"/>
        </w:rPr>
      </w:pPr>
    </w:p>
    <w:p w14:paraId="77F75BF6" w14:textId="77777777" w:rsidR="006163E6" w:rsidRPr="00C50854" w:rsidRDefault="006163E6" w:rsidP="006163E6">
      <w:pPr>
        <w:pStyle w:val="Loendilik"/>
        <w:ind w:left="360"/>
        <w:rPr>
          <w:lang w:eastAsia="et-EE"/>
        </w:rPr>
      </w:pPr>
    </w:p>
    <w:p w14:paraId="18290260" w14:textId="10F613C8" w:rsidR="00D67E10" w:rsidRPr="00C50854" w:rsidRDefault="00D67E10" w:rsidP="00D67E10">
      <w:pPr>
        <w:pStyle w:val="Pealkiri3"/>
        <w:rPr>
          <w:i/>
        </w:rPr>
      </w:pPr>
      <w:bookmarkStart w:id="500" w:name="_Toc464639371"/>
      <w:bookmarkStart w:id="501" w:name="_Ref465422194"/>
      <w:bookmarkStart w:id="502" w:name="_Toc39125691"/>
      <w:bookmarkStart w:id="503" w:name="_Toc42072480"/>
      <w:r w:rsidRPr="00C50854">
        <w:rPr>
          <w:i/>
        </w:rPr>
        <w:t>6.4.4. Läbipaistvuskohustuste kehtestamine</w:t>
      </w:r>
      <w:bookmarkEnd w:id="487"/>
      <w:bookmarkEnd w:id="488"/>
      <w:bookmarkEnd w:id="489"/>
      <w:bookmarkEnd w:id="490"/>
      <w:bookmarkEnd w:id="491"/>
      <w:bookmarkEnd w:id="492"/>
      <w:bookmarkEnd w:id="500"/>
      <w:bookmarkEnd w:id="501"/>
      <w:bookmarkEnd w:id="502"/>
      <w:bookmarkEnd w:id="503"/>
    </w:p>
    <w:p w14:paraId="4B61A5CA" w14:textId="77777777" w:rsidR="006163E6" w:rsidRPr="00C50854" w:rsidRDefault="006163E6" w:rsidP="006163E6"/>
    <w:p w14:paraId="291FE5E1" w14:textId="77777777" w:rsidR="006163E6" w:rsidRPr="00C50854" w:rsidRDefault="006163E6" w:rsidP="006163E6">
      <w:pPr>
        <w:pStyle w:val="Loendilik"/>
        <w:numPr>
          <w:ilvl w:val="0"/>
          <w:numId w:val="13"/>
        </w:numPr>
        <w:rPr>
          <w:lang w:eastAsia="et-EE"/>
        </w:rPr>
      </w:pPr>
      <w:r w:rsidRPr="00C50854">
        <w:rPr>
          <w:lang w:eastAsia="et-EE"/>
        </w:rPr>
        <w:t>Selleks, et selgemini välja tuua muudatusi võrreldes praegu kehtivate kohustustega on käesolevas peatükis muudatused esitatud kursiivis.</w:t>
      </w:r>
    </w:p>
    <w:p w14:paraId="784CC8B4" w14:textId="7C2210D1"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TTJA otsustab kavandab kohaliku juurdepääsu hulgiturul otsuse peatükkides </w:t>
      </w:r>
      <w:r w:rsidRPr="00C50854">
        <w:rPr>
          <w:lang w:eastAsia="et-EE"/>
        </w:rPr>
        <w:fldChar w:fldCharType="begin"/>
      </w:r>
      <w:r w:rsidRPr="00C50854">
        <w:rPr>
          <w:lang w:eastAsia="et-EE"/>
        </w:rPr>
        <w:instrText xml:space="preserve"> REF _Ref465421593 \h  \* MERGEFORMAT </w:instrText>
      </w:r>
      <w:r w:rsidRPr="00C50854">
        <w:rPr>
          <w:lang w:eastAsia="et-EE"/>
        </w:rPr>
      </w:r>
      <w:r w:rsidRPr="00C50854">
        <w:rPr>
          <w:lang w:eastAsia="et-EE"/>
        </w:rPr>
        <w:fldChar w:fldCharType="separate"/>
      </w:r>
      <w:r w:rsidRPr="00C50854">
        <w:t>6.2.2. "Juurdepääsuga seotud konkurentsiprobleemid</w:t>
      </w:r>
      <w:r w:rsidRPr="00C50854">
        <w:rPr>
          <w:lang w:eastAsia="et-EE"/>
        </w:rPr>
        <w:fldChar w:fldCharType="end"/>
      </w:r>
      <w:r w:rsidRPr="00C50854">
        <w:rPr>
          <w:lang w:eastAsia="et-EE"/>
        </w:rPr>
        <w:t xml:space="preserve">“, </w:t>
      </w:r>
      <w:r w:rsidRPr="00C50854">
        <w:rPr>
          <w:lang w:eastAsia="et-EE"/>
        </w:rPr>
        <w:fldChar w:fldCharType="begin"/>
      </w:r>
      <w:r w:rsidRPr="00C50854">
        <w:rPr>
          <w:lang w:eastAsia="et-EE"/>
        </w:rPr>
        <w:instrText xml:space="preserve"> REF _Ref465421602 \h  \* MERGEFORMAT </w:instrText>
      </w:r>
      <w:r w:rsidRPr="00C50854">
        <w:rPr>
          <w:lang w:eastAsia="et-EE"/>
        </w:rPr>
      </w:r>
      <w:r w:rsidRPr="00C50854">
        <w:rPr>
          <w:lang w:eastAsia="et-EE"/>
        </w:rPr>
        <w:fldChar w:fldCharType="separate"/>
      </w:r>
      <w:r w:rsidRPr="00C50854">
        <w:t>6.3.2. "Diskrimineerimisega seotud konkurentsiprobleemid</w:t>
      </w:r>
      <w:r w:rsidRPr="00C50854">
        <w:rPr>
          <w:lang w:eastAsia="et-EE"/>
        </w:rPr>
        <w:fldChar w:fldCharType="end"/>
      </w:r>
      <w:r w:rsidRPr="00C50854">
        <w:rPr>
          <w:lang w:eastAsia="et-EE"/>
        </w:rPr>
        <w:t xml:space="preserve">“, </w:t>
      </w:r>
      <w:r w:rsidRPr="00C50854">
        <w:rPr>
          <w:lang w:eastAsia="et-EE"/>
        </w:rPr>
        <w:fldChar w:fldCharType="begin"/>
      </w:r>
      <w:r w:rsidRPr="00C50854">
        <w:rPr>
          <w:lang w:eastAsia="et-EE"/>
        </w:rPr>
        <w:instrText xml:space="preserve"> REF _Ref465421619 \h  \* MERGEFORMAT </w:instrText>
      </w:r>
      <w:r w:rsidRPr="00C50854">
        <w:rPr>
          <w:lang w:eastAsia="et-EE"/>
        </w:rPr>
      </w:r>
      <w:r w:rsidRPr="00C50854">
        <w:rPr>
          <w:lang w:eastAsia="et-EE"/>
        </w:rPr>
        <w:fldChar w:fldCharType="separate"/>
      </w:r>
      <w:r w:rsidRPr="00C50854">
        <w:t>6.5.2. "Hinnaga seotud konkurentsiprobleemid ja hindade analüüs</w:t>
      </w:r>
      <w:r w:rsidRPr="00C50854">
        <w:rPr>
          <w:lang w:eastAsia="et-EE"/>
        </w:rPr>
        <w:fldChar w:fldCharType="end"/>
      </w:r>
      <w:r w:rsidRPr="00C50854">
        <w:rPr>
          <w:lang w:eastAsia="et-EE"/>
        </w:rPr>
        <w:t>“ nimetatud konkurentsiprobleemide lahendamise ning sideteenuste koostalitusvõime ja läbivühendatavuse toetamiseks ESS alusel kohustada Teliat:</w:t>
      </w:r>
    </w:p>
    <w:p w14:paraId="34BCAB8F" w14:textId="77777777" w:rsidR="00D67E10" w:rsidRPr="00C50854" w:rsidRDefault="00D67E10" w:rsidP="00D67E10">
      <w:pPr>
        <w:numPr>
          <w:ilvl w:val="0"/>
          <w:numId w:val="19"/>
        </w:numPr>
        <w:suppressAutoHyphens w:val="0"/>
        <w:autoSpaceDE w:val="0"/>
        <w:autoSpaceDN w:val="0"/>
        <w:adjustRightInd w:val="0"/>
        <w:spacing w:before="120" w:after="120"/>
        <w:jc w:val="both"/>
        <w:rPr>
          <w:lang w:eastAsia="et-EE"/>
        </w:rPr>
      </w:pPr>
      <w:r w:rsidRPr="00C50854">
        <w:rPr>
          <w:lang w:eastAsia="et-EE"/>
        </w:rPr>
        <w:t xml:space="preserve">avaldama TTJA nõudmisel otsuse peatükis </w:t>
      </w:r>
      <w:r w:rsidRPr="00C50854">
        <w:rPr>
          <w:lang w:eastAsia="et-EE"/>
        </w:rPr>
        <w:fldChar w:fldCharType="begin"/>
      </w:r>
      <w:r w:rsidRPr="00C50854">
        <w:rPr>
          <w:lang w:eastAsia="et-EE"/>
        </w:rPr>
        <w:instrText xml:space="preserve"> REF _Ref465421719 \h  \* MERGEFORMAT </w:instrText>
      </w:r>
      <w:r w:rsidRPr="00C50854">
        <w:rPr>
          <w:lang w:eastAsia="et-EE"/>
        </w:rPr>
      </w:r>
      <w:r w:rsidRPr="00C50854">
        <w:rPr>
          <w:lang w:eastAsia="et-EE"/>
        </w:rPr>
        <w:fldChar w:fldCharType="separate"/>
      </w:r>
      <w:r w:rsidRPr="00C50854">
        <w:t>6.2.4. "Juurdepääsu kohustuste kehtestamine</w:t>
      </w:r>
      <w:r w:rsidRPr="00C50854">
        <w:rPr>
          <w:lang w:eastAsia="et-EE"/>
        </w:rPr>
        <w:fldChar w:fldCharType="end"/>
      </w:r>
      <w:r w:rsidRPr="00C50854">
        <w:rPr>
          <w:lang w:eastAsia="et-EE"/>
        </w:rPr>
        <w:t>“  kirjeldatud teenustega seotud andmed kuluarvestuse, tehniliste tingimuste, võrgu omaduste, teenuse osutamise tingimuste ja tasude kohta</w:t>
      </w:r>
      <w:r w:rsidRPr="00C50854">
        <w:rPr>
          <w:vertAlign w:val="superscript"/>
          <w:lang w:eastAsia="et-EE"/>
        </w:rPr>
        <w:footnoteReference w:id="121"/>
      </w:r>
      <w:r w:rsidRPr="00C50854">
        <w:rPr>
          <w:lang w:eastAsia="et-EE"/>
        </w:rPr>
        <w:t>;</w:t>
      </w:r>
    </w:p>
    <w:p w14:paraId="450E64B1" w14:textId="13CF2CCC" w:rsidR="00D67E10" w:rsidRPr="00C50854" w:rsidRDefault="00D67E10" w:rsidP="00D67E10">
      <w:pPr>
        <w:numPr>
          <w:ilvl w:val="0"/>
          <w:numId w:val="19"/>
        </w:numPr>
        <w:suppressAutoHyphens w:val="0"/>
        <w:autoSpaceDE w:val="0"/>
        <w:autoSpaceDN w:val="0"/>
        <w:adjustRightInd w:val="0"/>
        <w:spacing w:before="120" w:after="120"/>
        <w:jc w:val="both"/>
        <w:rPr>
          <w:i/>
          <w:iCs/>
          <w:lang w:eastAsia="et-EE"/>
        </w:rPr>
      </w:pPr>
      <w:r w:rsidRPr="00C50854">
        <w:rPr>
          <w:i/>
          <w:iCs/>
          <w:lang w:eastAsia="et-EE"/>
        </w:rPr>
        <w:t>avaldama huvitatud sideettevõtja taotlusel otsuse peatükis 6.2.4. "Juurdepääsu kohustuste kehtestamine“  kirjeldatud teenustega seotud andmed kuluarvestuse, tehniliste tingimuste, võrgu omaduste, teenuse osutamise tingimuste ja tasude kohta, välja arvatud juhul, kui tegemist on Telia ärisaladusega</w:t>
      </w:r>
      <w:r w:rsidR="006163E6" w:rsidRPr="00C50854">
        <w:rPr>
          <w:i/>
          <w:iCs/>
          <w:lang w:eastAsia="et-EE"/>
        </w:rPr>
        <w:t xml:space="preserve"> (vt põhjendust </w:t>
      </w:r>
      <w:proofErr w:type="spellStart"/>
      <w:r w:rsidR="006163E6" w:rsidRPr="00C50854">
        <w:rPr>
          <w:i/>
          <w:iCs/>
          <w:lang w:eastAsia="et-EE"/>
        </w:rPr>
        <w:t>ptk</w:t>
      </w:r>
      <w:proofErr w:type="spellEnd"/>
      <w:r w:rsidR="006163E6" w:rsidRPr="00C50854">
        <w:rPr>
          <w:i/>
          <w:iCs/>
          <w:lang w:eastAsia="et-EE"/>
        </w:rPr>
        <w:t xml:space="preserve"> 6.2.3.6)</w:t>
      </w:r>
      <w:r w:rsidRPr="00C50854">
        <w:rPr>
          <w:i/>
          <w:iCs/>
          <w:vertAlign w:val="superscript"/>
          <w:lang w:eastAsia="et-EE"/>
        </w:rPr>
        <w:footnoteReference w:id="122"/>
      </w:r>
      <w:r w:rsidRPr="00C50854">
        <w:rPr>
          <w:i/>
          <w:iCs/>
          <w:lang w:eastAsia="et-EE"/>
        </w:rPr>
        <w:t>;</w:t>
      </w:r>
    </w:p>
    <w:p w14:paraId="4308CE89" w14:textId="3494A8E3" w:rsidR="00D67E10" w:rsidRPr="00C50854" w:rsidRDefault="00D67E10" w:rsidP="00D67E10">
      <w:pPr>
        <w:numPr>
          <w:ilvl w:val="0"/>
          <w:numId w:val="19"/>
        </w:numPr>
        <w:suppressAutoHyphens w:val="0"/>
        <w:autoSpaceDE w:val="0"/>
        <w:autoSpaceDN w:val="0"/>
        <w:adjustRightInd w:val="0"/>
        <w:spacing w:before="120" w:after="120"/>
        <w:jc w:val="both"/>
        <w:rPr>
          <w:lang w:eastAsia="et-EE"/>
        </w:rPr>
      </w:pPr>
      <w:r w:rsidRPr="00C50854">
        <w:rPr>
          <w:lang w:eastAsia="et-EE"/>
        </w:rPr>
        <w:t xml:space="preserve">kui Telia teeb </w:t>
      </w:r>
      <w:r w:rsidRPr="00C50854">
        <w:rPr>
          <w:i/>
          <w:iCs/>
          <w:lang w:eastAsia="et-EE"/>
        </w:rPr>
        <w:fldChar w:fldCharType="begin"/>
      </w:r>
      <w:r w:rsidRPr="00C50854">
        <w:rPr>
          <w:i/>
          <w:iCs/>
          <w:lang w:eastAsia="et-EE"/>
        </w:rPr>
        <w:instrText xml:space="preserve"> REF _Ref465421762 \h  \* MERGEFORMAT </w:instrText>
      </w:r>
      <w:r w:rsidRPr="00C50854">
        <w:rPr>
          <w:i/>
          <w:iCs/>
          <w:lang w:eastAsia="et-EE"/>
        </w:rPr>
      </w:r>
      <w:r w:rsidRPr="00C50854">
        <w:rPr>
          <w:i/>
          <w:iCs/>
          <w:lang w:eastAsia="et-EE"/>
        </w:rPr>
        <w:fldChar w:fldCharType="separate"/>
      </w:r>
      <w:r w:rsidRPr="00C50854">
        <w:rPr>
          <w:i/>
          <w:iCs/>
          <w:lang w:eastAsia="et-EE"/>
        </w:rPr>
        <w:t>6.2.4. "Juurdepääsu kohustuste kehtestamine</w:t>
      </w:r>
      <w:r w:rsidRPr="00C50854">
        <w:rPr>
          <w:i/>
          <w:iCs/>
          <w:lang w:eastAsia="et-EE"/>
        </w:rPr>
        <w:fldChar w:fldCharType="end"/>
      </w:r>
      <w:r w:rsidRPr="00C50854">
        <w:rPr>
          <w:i/>
          <w:iCs/>
          <w:lang w:eastAsia="et-EE"/>
        </w:rPr>
        <w:t>“ kirjeldatud hulgiteenuste</w:t>
      </w:r>
      <w:r w:rsidRPr="00C50854">
        <w:rPr>
          <w:color w:val="0070C0"/>
          <w:lang w:eastAsia="et-EE"/>
        </w:rPr>
        <w:t xml:space="preserve"> </w:t>
      </w:r>
      <w:r w:rsidRPr="00C50854">
        <w:rPr>
          <w:lang w:eastAsia="et-EE"/>
        </w:rPr>
        <w:t>tehniliste tingimuste välja selgitamisel kindlaks, et teenust ei ole võimalik osutada, peab Telia esitama vastava teabe koos põhjendustega taotluse esitanud sideettevõtjale ning valguskaabli fiidersegmendi vabale kiule, valguskaabli fiidersegmendi kiu vabale mahule ja kaablikanalisatsioonile juurdepääsu korral ka TTJA-</w:t>
      </w:r>
      <w:proofErr w:type="spellStart"/>
      <w:r w:rsidRPr="00C50854">
        <w:rPr>
          <w:lang w:eastAsia="et-EE"/>
        </w:rPr>
        <w:t>le</w:t>
      </w:r>
      <w:proofErr w:type="spellEnd"/>
      <w:r w:rsidRPr="00C50854">
        <w:rPr>
          <w:vertAlign w:val="superscript"/>
          <w:lang w:eastAsia="et-EE"/>
        </w:rPr>
        <w:footnoteReference w:id="123"/>
      </w:r>
      <w:r w:rsidRPr="00C50854">
        <w:rPr>
          <w:lang w:eastAsia="et-EE"/>
        </w:rPr>
        <w:t>;</w:t>
      </w:r>
    </w:p>
    <w:p w14:paraId="4119F148" w14:textId="77777777" w:rsidR="00D67E10" w:rsidRPr="00C50854" w:rsidRDefault="00D67E10" w:rsidP="00D67E10">
      <w:pPr>
        <w:numPr>
          <w:ilvl w:val="0"/>
          <w:numId w:val="19"/>
        </w:numPr>
        <w:suppressAutoHyphens w:val="0"/>
        <w:autoSpaceDE w:val="0"/>
        <w:autoSpaceDN w:val="0"/>
        <w:adjustRightInd w:val="0"/>
        <w:spacing w:before="120" w:after="120"/>
        <w:jc w:val="both"/>
        <w:rPr>
          <w:lang w:eastAsia="et-EE"/>
        </w:rPr>
      </w:pPr>
      <w:r w:rsidRPr="00C50854">
        <w:rPr>
          <w:lang w:eastAsia="et-EE"/>
        </w:rPr>
        <w:t>koostama ja avaldama vaskpaarile, valguskaablile ja kaablikanalisatsioonile juurdepääsu teenuste näidispakkumine ja selle muudatused vastavalt ESS § 53 lõikele 4 ning esitada vastav näidispakkumine ja selle muudatused TTJA-e üks kuu enne avaldamist</w:t>
      </w:r>
      <w:r w:rsidRPr="00C50854">
        <w:rPr>
          <w:vertAlign w:val="superscript"/>
          <w:lang w:eastAsia="et-EE"/>
        </w:rPr>
        <w:footnoteReference w:id="124"/>
      </w:r>
      <w:r w:rsidRPr="00C50854">
        <w:rPr>
          <w:lang w:eastAsia="et-EE"/>
        </w:rPr>
        <w:t>;</w:t>
      </w:r>
    </w:p>
    <w:p w14:paraId="1B4A24A2" w14:textId="77777777" w:rsidR="00D67E10" w:rsidRPr="00C50854" w:rsidRDefault="00D67E10" w:rsidP="00D67E10">
      <w:pPr>
        <w:numPr>
          <w:ilvl w:val="0"/>
          <w:numId w:val="19"/>
        </w:numPr>
        <w:suppressAutoHyphens w:val="0"/>
        <w:autoSpaceDE w:val="0"/>
        <w:autoSpaceDN w:val="0"/>
        <w:adjustRightInd w:val="0"/>
        <w:spacing w:before="120" w:after="120"/>
        <w:jc w:val="both"/>
        <w:rPr>
          <w:lang w:eastAsia="et-EE"/>
        </w:rPr>
      </w:pPr>
      <w:r w:rsidRPr="00C50854">
        <w:rPr>
          <w:lang w:eastAsia="et-EE"/>
        </w:rPr>
        <w:t>eelmises punktis nimetatud näidispakkumine peab sisaldama muu hulgas</w:t>
      </w:r>
      <w:r w:rsidRPr="00C50854">
        <w:rPr>
          <w:vertAlign w:val="superscript"/>
          <w:lang w:eastAsia="et-EE"/>
        </w:rPr>
        <w:footnoteReference w:id="125"/>
      </w:r>
      <w:r w:rsidRPr="00C50854">
        <w:rPr>
          <w:lang w:eastAsia="et-EE"/>
        </w:rPr>
        <w:t>:</w:t>
      </w:r>
    </w:p>
    <w:p w14:paraId="066C2DA7" w14:textId="77777777" w:rsidR="00D67E10" w:rsidRPr="00C50854" w:rsidRDefault="00D67E10" w:rsidP="00D67E10">
      <w:pPr>
        <w:suppressAutoHyphens w:val="0"/>
        <w:autoSpaceDE w:val="0"/>
        <w:autoSpaceDN w:val="0"/>
        <w:adjustRightInd w:val="0"/>
        <w:spacing w:before="120" w:after="120"/>
        <w:ind w:left="851"/>
        <w:jc w:val="both"/>
        <w:rPr>
          <w:lang w:eastAsia="et-EE"/>
        </w:rPr>
      </w:pPr>
      <w:r w:rsidRPr="00C50854">
        <w:rPr>
          <w:lang w:eastAsia="et-EE"/>
        </w:rPr>
        <w:t>a) ESS § 53 lõikes 1 sätestatud tingimusi;</w:t>
      </w:r>
    </w:p>
    <w:p w14:paraId="7F200820" w14:textId="77777777" w:rsidR="00D67E10" w:rsidRPr="00C50854" w:rsidRDefault="00D67E10" w:rsidP="00D67E10">
      <w:pPr>
        <w:suppressAutoHyphens w:val="0"/>
        <w:autoSpaceDE w:val="0"/>
        <w:autoSpaceDN w:val="0"/>
        <w:adjustRightInd w:val="0"/>
        <w:spacing w:before="120" w:after="120"/>
        <w:ind w:left="851"/>
        <w:jc w:val="both"/>
        <w:rPr>
          <w:lang w:eastAsia="et-EE"/>
        </w:rPr>
      </w:pPr>
      <w:r w:rsidRPr="00C50854">
        <w:rPr>
          <w:lang w:eastAsia="et-EE"/>
        </w:rPr>
        <w:t>b) teenuste tellimise ja tellimuste täitmiste korda (sh taotluste täitmiste tähtaegasid);</w:t>
      </w:r>
    </w:p>
    <w:p w14:paraId="0AE4B721" w14:textId="77777777" w:rsidR="00D67E10" w:rsidRPr="00C50854" w:rsidRDefault="00D67E10" w:rsidP="00D67E10">
      <w:pPr>
        <w:suppressAutoHyphens w:val="0"/>
        <w:autoSpaceDE w:val="0"/>
        <w:autoSpaceDN w:val="0"/>
        <w:adjustRightInd w:val="0"/>
        <w:spacing w:before="120" w:after="120"/>
        <w:ind w:left="851"/>
        <w:jc w:val="both"/>
        <w:rPr>
          <w:lang w:eastAsia="et-EE"/>
        </w:rPr>
      </w:pPr>
      <w:r w:rsidRPr="00C50854">
        <w:rPr>
          <w:lang w:eastAsia="et-EE"/>
        </w:rPr>
        <w:t>c) tellitava teenuse kvaliteedi testimise korda;</w:t>
      </w:r>
    </w:p>
    <w:p w14:paraId="03521813" w14:textId="77777777" w:rsidR="00D67E10" w:rsidRPr="00C50854" w:rsidRDefault="00D67E10" w:rsidP="00D67E10">
      <w:pPr>
        <w:suppressAutoHyphens w:val="0"/>
        <w:autoSpaceDE w:val="0"/>
        <w:autoSpaceDN w:val="0"/>
        <w:adjustRightInd w:val="0"/>
        <w:spacing w:before="120" w:after="120"/>
        <w:ind w:left="851"/>
        <w:jc w:val="both"/>
        <w:rPr>
          <w:lang w:eastAsia="et-EE"/>
        </w:rPr>
      </w:pPr>
      <w:r w:rsidRPr="00C50854">
        <w:rPr>
          <w:lang w:eastAsia="et-EE"/>
        </w:rPr>
        <w:lastRenderedPageBreak/>
        <w:t>d) lõppkasutaja poolt kasutatava sideteenuse katkestuse tingimusi (sh katkestuse pikkus ja katkestusest teatamise viis) üleminekul Telia poolt osutatavalt jaeteenuselt vaskpaari ja/või valguskaabli fiidersegmendi juurdepääsu hulgiteenust kasutava sideettevõtja  osutatavale jaeteenusele;</w:t>
      </w:r>
    </w:p>
    <w:p w14:paraId="7F725562" w14:textId="77777777" w:rsidR="00D67E10" w:rsidRPr="00C50854" w:rsidRDefault="00D67E10" w:rsidP="00D67E10">
      <w:pPr>
        <w:suppressAutoHyphens w:val="0"/>
        <w:autoSpaceDE w:val="0"/>
        <w:autoSpaceDN w:val="0"/>
        <w:adjustRightInd w:val="0"/>
        <w:spacing w:before="120" w:after="120"/>
        <w:ind w:left="851"/>
        <w:jc w:val="both"/>
        <w:rPr>
          <w:i/>
          <w:iCs/>
          <w:lang w:eastAsia="et-EE"/>
        </w:rPr>
      </w:pPr>
      <w:r w:rsidRPr="00C50854">
        <w:rPr>
          <w:i/>
          <w:iCs/>
          <w:lang w:eastAsia="et-EE"/>
        </w:rPr>
        <w:t>e) 50 mm läbimõõduga kaablikanalisatsioonile juurdepääsu tingimusi samasuguse detailsusega nagu 100mm läbimõõduga kaablikanalisatsiooni korral, sh paigalduskohtade arv ja suurus, tehnilise reservi suurus</w:t>
      </w:r>
      <w:r w:rsidRPr="00C50854">
        <w:rPr>
          <w:i/>
          <w:iCs/>
        </w:rPr>
        <w:t xml:space="preserve"> </w:t>
      </w:r>
      <w:r w:rsidRPr="00C50854">
        <w:rPr>
          <w:i/>
          <w:iCs/>
          <w:lang w:eastAsia="et-EE"/>
        </w:rPr>
        <w:t xml:space="preserve">ning millistel tingimustel võib paigaldada kiikreid ja </w:t>
      </w:r>
      <w:proofErr w:type="spellStart"/>
      <w:r w:rsidRPr="00C50854">
        <w:rPr>
          <w:i/>
          <w:iCs/>
          <w:lang w:eastAsia="et-EE"/>
        </w:rPr>
        <w:t>multitorusid</w:t>
      </w:r>
      <w:proofErr w:type="spellEnd"/>
      <w:r w:rsidRPr="00C50854">
        <w:rPr>
          <w:i/>
          <w:iCs/>
          <w:lang w:eastAsia="et-EE"/>
        </w:rPr>
        <w:t>.</w:t>
      </w:r>
    </w:p>
    <w:p w14:paraId="6042918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Vastavalt ESS § 53 lõikele 5 on TJA-l õigus nõuda sideettevõtjalt muudatuste tegemist näidispakkumisse, kui see ei ole kooskõlas näidispakkumise avaldamise kohustuse eesmärkidega.</w:t>
      </w:r>
    </w:p>
    <w:p w14:paraId="0681C0A3"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3AC7E2B7" w14:textId="77777777" w:rsidR="00D67E10" w:rsidRPr="00C50854" w:rsidRDefault="00D67E10" w:rsidP="00D67E10">
      <w:pPr>
        <w:pStyle w:val="Pealkiri2"/>
        <w:spacing w:before="360" w:after="180"/>
        <w:rPr>
          <w:rFonts w:cs="Times New Roman"/>
          <w:sz w:val="26"/>
          <w:szCs w:val="26"/>
        </w:rPr>
      </w:pPr>
      <w:bookmarkStart w:id="504" w:name="_Toc212974444"/>
      <w:bookmarkStart w:id="505" w:name="_Toc213122172"/>
      <w:bookmarkStart w:id="506" w:name="_Toc213140793"/>
      <w:bookmarkStart w:id="507" w:name="_Toc215466518"/>
      <w:bookmarkStart w:id="508" w:name="_Toc225751405"/>
      <w:bookmarkStart w:id="509" w:name="_Toc457983664"/>
      <w:bookmarkStart w:id="510" w:name="_Toc464639372"/>
      <w:bookmarkStart w:id="511" w:name="_Toc39125692"/>
      <w:bookmarkStart w:id="512" w:name="_Toc42072481"/>
      <w:r w:rsidRPr="00C50854">
        <w:rPr>
          <w:rFonts w:cs="Times New Roman"/>
          <w:sz w:val="26"/>
          <w:szCs w:val="26"/>
        </w:rPr>
        <w:t xml:space="preserve">6.5. </w:t>
      </w:r>
      <w:bookmarkEnd w:id="504"/>
      <w:bookmarkEnd w:id="505"/>
      <w:bookmarkEnd w:id="506"/>
      <w:bookmarkEnd w:id="507"/>
      <w:bookmarkEnd w:id="508"/>
      <w:r w:rsidRPr="00C50854">
        <w:rPr>
          <w:rFonts w:cs="Times New Roman"/>
          <w:sz w:val="26"/>
          <w:szCs w:val="26"/>
        </w:rPr>
        <w:t>Hinnakohustus</w:t>
      </w:r>
      <w:bookmarkEnd w:id="509"/>
      <w:bookmarkEnd w:id="510"/>
      <w:bookmarkEnd w:id="511"/>
      <w:bookmarkEnd w:id="512"/>
    </w:p>
    <w:p w14:paraId="2151547C" w14:textId="77777777" w:rsidR="00D67E10" w:rsidRPr="00C50854" w:rsidRDefault="00D67E10" w:rsidP="00D67E10">
      <w:pPr>
        <w:pStyle w:val="Pealkiri3"/>
        <w:rPr>
          <w:i/>
        </w:rPr>
      </w:pPr>
      <w:bookmarkStart w:id="513" w:name="_Toc212974445"/>
      <w:bookmarkStart w:id="514" w:name="_Toc213122173"/>
      <w:bookmarkStart w:id="515" w:name="_Toc213140794"/>
      <w:bookmarkStart w:id="516" w:name="_Toc215466519"/>
      <w:bookmarkStart w:id="517" w:name="_Toc225751406"/>
      <w:bookmarkStart w:id="518" w:name="_Toc457983665"/>
      <w:bookmarkStart w:id="519" w:name="_Toc464639373"/>
      <w:bookmarkStart w:id="520" w:name="_Toc39125693"/>
      <w:bookmarkStart w:id="521" w:name="_Toc42072482"/>
      <w:r w:rsidRPr="00C50854">
        <w:rPr>
          <w:i/>
        </w:rPr>
        <w:t xml:space="preserve">6.5.1. </w:t>
      </w:r>
      <w:bookmarkEnd w:id="513"/>
      <w:bookmarkEnd w:id="514"/>
      <w:bookmarkEnd w:id="515"/>
      <w:bookmarkEnd w:id="516"/>
      <w:bookmarkEnd w:id="517"/>
      <w:r w:rsidRPr="00C50854">
        <w:rPr>
          <w:i/>
        </w:rPr>
        <w:t>Hinnakohustuste eesmärk</w:t>
      </w:r>
      <w:bookmarkEnd w:id="518"/>
      <w:r w:rsidRPr="00C50854">
        <w:rPr>
          <w:i/>
        </w:rPr>
        <w:t xml:space="preserve"> ja alused</w:t>
      </w:r>
      <w:bookmarkEnd w:id="519"/>
      <w:bookmarkEnd w:id="520"/>
      <w:bookmarkEnd w:id="521"/>
    </w:p>
    <w:p w14:paraId="4822CFE5"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Hinnakohustus võib osutuda vajalikuks, kui turuanalüüs näitab, et konkurents konkreetsel turul ei ole tulemuslik</w:t>
      </w:r>
      <w:r w:rsidRPr="00C50854">
        <w:rPr>
          <w:vertAlign w:val="superscript"/>
          <w:lang w:eastAsia="et-EE"/>
        </w:rPr>
        <w:footnoteReference w:id="126"/>
      </w:r>
      <w:r w:rsidRPr="00C50854">
        <w:rPr>
          <w:lang w:eastAsia="et-EE"/>
        </w:rPr>
        <w:t xml:space="preserve">. Hinnakohustus on suunatud käesoleva otsuse peatükis </w:t>
      </w:r>
      <w:r w:rsidRPr="00C50854">
        <w:rPr>
          <w:lang w:eastAsia="et-EE"/>
        </w:rPr>
        <w:fldChar w:fldCharType="begin"/>
      </w:r>
      <w:r w:rsidRPr="00C50854">
        <w:rPr>
          <w:lang w:eastAsia="et-EE"/>
        </w:rPr>
        <w:instrText xml:space="preserve"> REF _Ref465331603 \h  \* MERGEFORMAT </w:instrText>
      </w:r>
      <w:r w:rsidRPr="00C50854">
        <w:rPr>
          <w:lang w:eastAsia="et-EE"/>
        </w:rPr>
      </w:r>
      <w:r w:rsidRPr="00C50854">
        <w:rPr>
          <w:lang w:eastAsia="et-EE"/>
        </w:rPr>
        <w:fldChar w:fldCharType="separate"/>
      </w:r>
      <w:r w:rsidRPr="00C50854">
        <w:t>6.5.2. "Hinnaga seotud konkurentsiprobleemid ja hindade analüüs</w:t>
      </w:r>
      <w:r w:rsidRPr="00C50854">
        <w:rPr>
          <w:lang w:eastAsia="et-EE"/>
        </w:rPr>
        <w:fldChar w:fldCharType="end"/>
      </w:r>
      <w:r w:rsidRPr="00C50854">
        <w:rPr>
          <w:lang w:eastAsia="et-EE"/>
        </w:rPr>
        <w:t>“ kirjeldatud hinnaga seotud konkurentsiprobleemide vältimisele.</w:t>
      </w:r>
    </w:p>
    <w:p w14:paraId="7A8E5C87"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Hinnakohustuste kehtestamine edendab konkurentsi elektroonilise side ja sellega seotud teenuste osutamisel</w:t>
      </w:r>
      <w:r w:rsidRPr="00C50854">
        <w:rPr>
          <w:vertAlign w:val="superscript"/>
          <w:lang w:eastAsia="et-EE"/>
        </w:rPr>
        <w:footnoteReference w:id="127"/>
      </w:r>
      <w:r w:rsidRPr="00C50854">
        <w:rPr>
          <w:lang w:eastAsia="et-EE"/>
        </w:rPr>
        <w:t xml:space="preserve"> ja aitab kaasa sideteenuste turu arengule</w:t>
      </w:r>
      <w:r w:rsidRPr="00C50854">
        <w:rPr>
          <w:vertAlign w:val="superscript"/>
          <w:lang w:eastAsia="et-EE"/>
        </w:rPr>
        <w:footnoteReference w:id="128"/>
      </w:r>
      <w:r w:rsidRPr="00C50854">
        <w:rPr>
          <w:lang w:eastAsia="et-EE"/>
        </w:rPr>
        <w:t>. Nimetatud kohustus väldib ülemäärase hinna rakendamist, hinnadiskrimineerimisega ja ristsubsideerimisega seotud konkurentsiprobleeme. See omakorda tõkestab konkurentsi moonutamise või takistamise sideteenuste turgudel ning toetab üleeuroopaliste sidevõrkude loomist ja arendamist ning üle-euroopaliste sideteenuste koostalitusvõimet ja läbivühendatavust.</w:t>
      </w:r>
    </w:p>
    <w:p w14:paraId="4280AD2A"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TTJA võib</w:t>
      </w:r>
      <w:r w:rsidRPr="00C50854">
        <w:rPr>
          <w:vertAlign w:val="superscript"/>
          <w:lang w:eastAsia="et-EE"/>
        </w:rPr>
        <w:footnoteReference w:id="129"/>
      </w:r>
      <w:r w:rsidRPr="00C50854">
        <w:rPr>
          <w:lang w:eastAsia="et-EE"/>
        </w:rPr>
        <w:t xml:space="preserve"> sideettevõtja suhtes, kes on tunnistatud märkimisväärse turujõuga ettevõtjaks, kehtestada juurdepääsuga seotud tegevuste kohta eraldi arvestuse pidamise kohustuse, mille raames TJA võib nõuda, et vertikaalselt integreeritud ettevõtja muudaks läbipaistvaks oma hulgimüügi hinnad ja sisemised transferthinnad (siirdehinnad).</w:t>
      </w:r>
    </w:p>
    <w:p w14:paraId="5D80037D"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TTJA võib</w:t>
      </w:r>
      <w:r w:rsidRPr="00C50854">
        <w:rPr>
          <w:vertAlign w:val="superscript"/>
          <w:lang w:eastAsia="et-EE"/>
        </w:rPr>
        <w:footnoteReference w:id="130"/>
      </w:r>
      <w:r w:rsidRPr="00C50854">
        <w:rPr>
          <w:lang w:eastAsia="et-EE"/>
        </w:rPr>
        <w:t xml:space="preserve"> sideettevõtja suhtes, kes on tunnistatud märkimisväärse turujõuga ettevõtjaks, kehtestada vastaval turul juurdepääsu puudutavate kulude katmise ja hinnakontrolliga seotud kohustuse ning kuludele orienteeritud tasudega ja kuluarvestussüsteemiga seotud kohustuse (edaspidi </w:t>
      </w:r>
      <w:r w:rsidRPr="00C50854">
        <w:rPr>
          <w:i/>
          <w:lang w:eastAsia="et-EE"/>
        </w:rPr>
        <w:t>hinnakohustused</w:t>
      </w:r>
      <w:r w:rsidRPr="00C50854">
        <w:rPr>
          <w:lang w:eastAsia="et-EE"/>
        </w:rPr>
        <w:t xml:space="preserve">). </w:t>
      </w:r>
    </w:p>
    <w:p w14:paraId="1312CD72"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Nimetatud hinnakohustusi võib</w:t>
      </w:r>
      <w:r w:rsidRPr="00C50854">
        <w:rPr>
          <w:vertAlign w:val="superscript"/>
          <w:lang w:eastAsia="et-EE"/>
        </w:rPr>
        <w:footnoteReference w:id="131"/>
      </w:r>
      <w:r w:rsidRPr="00C50854">
        <w:rPr>
          <w:lang w:eastAsia="et-EE"/>
        </w:rPr>
        <w:t xml:space="preserve"> TTJA kehtestada tingimusel, et ta on turuanalüüsi käigus tuvastanud, et konkurentsi mittetoimimise tõttu on märkimisväärse turujõuga ettevõtjal võimalik hoida hindu ülemäära kõrgel või madalal tasemel, moonutades konkurentsi ja kahjustades lõppkasutajate huve.</w:t>
      </w:r>
    </w:p>
    <w:p w14:paraId="53604BA1"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Kehtestades hinnakohustusi</w:t>
      </w:r>
      <w:r w:rsidRPr="00C50854">
        <w:rPr>
          <w:vertAlign w:val="superscript"/>
          <w:lang w:eastAsia="et-EE"/>
        </w:rPr>
        <w:footnoteReference w:id="132"/>
      </w:r>
      <w:r w:rsidRPr="00C50854">
        <w:rPr>
          <w:lang w:eastAsia="et-EE"/>
        </w:rPr>
        <w:t xml:space="preserve"> ja soodustades sideettevõtja investeerimist järgmise põlvkonna sidevõrkudesse, võtab TTJA arvesse sideettevõtja tehtud investeeringuid ning et märkimisväärse turujõuga ettevõtjal peab olema võimalik teenida otstarbekalt kasutatud kapitalilt mõistlikku kasumit, võttes arvesse kaasnevaid riske, mis on omased nimetud konkreetse uue võrguprojekti investeeringutele. Samuti lähtub TTJA sideettevõtjale hinnakohustuste kehtestamisel põhimõttest, et igasugune TTJA nõutav kulude katmise mehhanism või hinna kujundamise meetod peab teenima efektiivse ja pideva konkurentsi huvi ja suurendama tarbijate kasu. Selleks võib TTJA arvestada ka hindu, mis on kasutusel teistel võrreldavatel turgudel.</w:t>
      </w:r>
    </w:p>
    <w:p w14:paraId="304248B0"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Kohustuse valikul arvestab</w:t>
      </w:r>
      <w:r w:rsidRPr="00C50854">
        <w:rPr>
          <w:vertAlign w:val="superscript"/>
          <w:lang w:eastAsia="et-EE"/>
        </w:rPr>
        <w:footnoteReference w:id="133"/>
      </w:r>
      <w:r w:rsidRPr="00C50854">
        <w:rPr>
          <w:lang w:eastAsia="et-EE"/>
        </w:rPr>
        <w:t xml:space="preserve"> TTJA muu hulgas Euroopa Komisjoni elektroonilise side turgu puudutavate soovituste ja seisukohtadega ning Euroopa Liidu sideturu regulaatorite koostöös kujundatud vastava praktikaga.</w:t>
      </w:r>
    </w:p>
    <w:p w14:paraId="79EB62AC"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Euroopa Komisjon on kehtestanud soovituse</w:t>
      </w:r>
      <w:r w:rsidRPr="00C50854">
        <w:rPr>
          <w:vertAlign w:val="superscript"/>
          <w:lang w:eastAsia="et-EE"/>
        </w:rPr>
        <w:footnoteReference w:id="134"/>
      </w:r>
      <w:r w:rsidRPr="00C50854">
        <w:rPr>
          <w:lang w:eastAsia="et-EE"/>
        </w:rPr>
        <w:t xml:space="preserve"> järjepidevate mitte-diskrimineerimiskohustuste ja kuluarvestuse meetodite kohta (edaspidi </w:t>
      </w:r>
      <w:r w:rsidRPr="00C50854">
        <w:rPr>
          <w:i/>
          <w:lang w:eastAsia="et-EE"/>
        </w:rPr>
        <w:t>EK kuluarvestuse soovitus</w:t>
      </w:r>
      <w:r w:rsidRPr="00C50854">
        <w:rPr>
          <w:lang w:eastAsia="et-EE"/>
        </w:rPr>
        <w:t>). Selles leiab Euroopa Komisjon kokkuvõtvalt</w:t>
      </w:r>
      <w:r w:rsidRPr="00C50854">
        <w:rPr>
          <w:rStyle w:val="Allmrkuseviide"/>
          <w:lang w:eastAsia="et-EE"/>
        </w:rPr>
        <w:footnoteReference w:id="135"/>
      </w:r>
      <w:r w:rsidRPr="00C50854">
        <w:rPr>
          <w:lang w:eastAsia="et-EE"/>
        </w:rPr>
        <w:t>, et vaskpaarile juurdepääsul ja valguskaabli fiidersegmendi kiule juurdepääsu hindade arvestamisel tuleks kasutada alt-üles pikaajaliste lisanduvate kulude arvestamise täiendatud meetodit (</w:t>
      </w:r>
      <w:proofErr w:type="spellStart"/>
      <w:r w:rsidRPr="00C50854">
        <w:rPr>
          <w:i/>
          <w:lang w:eastAsia="et-EE"/>
        </w:rPr>
        <w:t>bottom-up</w:t>
      </w:r>
      <w:proofErr w:type="spellEnd"/>
      <w:r w:rsidRPr="00C50854">
        <w:rPr>
          <w:i/>
          <w:lang w:eastAsia="et-EE"/>
        </w:rPr>
        <w:t xml:space="preserve"> </w:t>
      </w:r>
      <w:proofErr w:type="spellStart"/>
      <w:r w:rsidRPr="00C50854">
        <w:rPr>
          <w:i/>
          <w:lang w:eastAsia="et-EE"/>
        </w:rPr>
        <w:t>long</w:t>
      </w:r>
      <w:proofErr w:type="spellEnd"/>
      <w:r w:rsidRPr="00C50854">
        <w:rPr>
          <w:i/>
          <w:lang w:eastAsia="et-EE"/>
        </w:rPr>
        <w:t xml:space="preserve"> </w:t>
      </w:r>
      <w:proofErr w:type="spellStart"/>
      <w:r w:rsidRPr="00C50854">
        <w:rPr>
          <w:i/>
          <w:lang w:eastAsia="et-EE"/>
        </w:rPr>
        <w:t>run</w:t>
      </w:r>
      <w:proofErr w:type="spellEnd"/>
      <w:r w:rsidRPr="00C50854">
        <w:rPr>
          <w:i/>
          <w:lang w:eastAsia="et-EE"/>
        </w:rPr>
        <w:t xml:space="preserve"> </w:t>
      </w:r>
      <w:proofErr w:type="spellStart"/>
      <w:r w:rsidRPr="00C50854">
        <w:rPr>
          <w:i/>
          <w:lang w:eastAsia="et-EE"/>
        </w:rPr>
        <w:t>incremental</w:t>
      </w:r>
      <w:proofErr w:type="spellEnd"/>
      <w:r w:rsidRPr="00C50854">
        <w:rPr>
          <w:i/>
          <w:lang w:eastAsia="et-EE"/>
        </w:rPr>
        <w:t xml:space="preserve"> </w:t>
      </w:r>
      <w:proofErr w:type="spellStart"/>
      <w:r w:rsidRPr="00C50854">
        <w:rPr>
          <w:i/>
          <w:lang w:eastAsia="et-EE"/>
        </w:rPr>
        <w:t>cost</w:t>
      </w:r>
      <w:proofErr w:type="spellEnd"/>
      <w:r w:rsidRPr="00C50854">
        <w:rPr>
          <w:lang w:eastAsia="et-EE"/>
        </w:rPr>
        <w:t xml:space="preserve">, edaspidi </w:t>
      </w:r>
      <w:r w:rsidRPr="00C50854">
        <w:rPr>
          <w:i/>
          <w:lang w:eastAsia="et-EE"/>
        </w:rPr>
        <w:t>BU LRIC+ meetod</w:t>
      </w:r>
      <w:r w:rsidRPr="00C50854">
        <w:rPr>
          <w:lang w:eastAsia="et-EE"/>
        </w:rPr>
        <w:t>), mille abil on võimalik prognoosida jooksevkulusid, mida hüpoteetiline tõhus operaator kannaks tänapäevase tõhusa võrgu, st järgmise põlvkonna juurdepääsuvõrgu ehitamise korral. Samas ei peaks eeldama, et järgmise põlvkonna juurdepääsuvõrgu kasutuselevõtuks tuleks ehitada täiesti uus tsiviilehituse infrastruktuuri võrk (sh kaablikanalisatsioon). Tsiviilehituse infrastruktuuri puhul peaksid riikide reguleerivad asutused määrama reguleeritavate varade väärtuseks sellise raamatupidamisväärtuse, millest on maha arvatud arvutamise hetkel valitsev akumuleeritud kulum ning mida on indekseeritud asjakohase hinnaindeksi, näiteks jaehinnaindeksiga. Samas võib kulupõhiste juurdepääsuhindade arvestamiseks kohaldada ka soovitatavast BU LRIC+ meetodist erinevat meetodit</w:t>
      </w:r>
      <w:r w:rsidRPr="00C50854">
        <w:rPr>
          <w:vertAlign w:val="superscript"/>
          <w:lang w:eastAsia="et-EE"/>
        </w:rPr>
        <w:footnoteReference w:id="136"/>
      </w:r>
      <w:r w:rsidRPr="00C50854">
        <w:rPr>
          <w:lang w:eastAsia="et-EE"/>
        </w:rPr>
        <w:t xml:space="preserve">, kui see kehtis EK kuluarvestuse soovituse jõustumise ajal ja </w:t>
      </w:r>
      <w:proofErr w:type="spellStart"/>
      <w:r w:rsidRPr="00C50854">
        <w:rPr>
          <w:lang w:eastAsia="et-EE"/>
        </w:rPr>
        <w:t>ja</w:t>
      </w:r>
      <w:proofErr w:type="spellEnd"/>
      <w:r w:rsidRPr="00C50854">
        <w:rPr>
          <w:lang w:eastAsia="et-EE"/>
        </w:rPr>
        <w:t xml:space="preserve"> see vastab selle soovituse punktis 40 sätestatud eesmärkidele ja kriteeriumidele.</w:t>
      </w:r>
    </w:p>
    <w:p w14:paraId="56355F69" w14:textId="77777777" w:rsidR="00D67E10" w:rsidRPr="00C50854" w:rsidRDefault="00D67E10" w:rsidP="00D67E10">
      <w:pPr>
        <w:pStyle w:val="Pealkiri3"/>
        <w:rPr>
          <w:i/>
        </w:rPr>
      </w:pPr>
      <w:bookmarkStart w:id="522" w:name="_Toc435703533"/>
      <w:bookmarkStart w:id="523" w:name="_Toc436038423"/>
      <w:bookmarkStart w:id="524" w:name="_Toc448402232"/>
      <w:bookmarkStart w:id="525" w:name="_Toc464639374"/>
      <w:bookmarkStart w:id="526" w:name="_Ref465331593"/>
      <w:bookmarkStart w:id="527" w:name="_Ref465331603"/>
      <w:bookmarkStart w:id="528" w:name="_Ref465421375"/>
      <w:bookmarkStart w:id="529" w:name="_Ref465421619"/>
      <w:bookmarkStart w:id="530" w:name="_Ref465422104"/>
      <w:bookmarkStart w:id="531" w:name="_Toc39125694"/>
      <w:bookmarkStart w:id="532" w:name="_Toc42072483"/>
      <w:bookmarkStart w:id="533" w:name="_Toc212974450"/>
      <w:bookmarkStart w:id="534" w:name="_Toc213122175"/>
      <w:bookmarkStart w:id="535" w:name="_Toc213140796"/>
      <w:bookmarkStart w:id="536" w:name="_Toc215466520"/>
      <w:bookmarkStart w:id="537" w:name="_Toc225751407"/>
      <w:bookmarkStart w:id="538" w:name="_Toc457983666"/>
      <w:r w:rsidRPr="00C50854">
        <w:rPr>
          <w:i/>
        </w:rPr>
        <w:t>6.5.2. Hinnaga seotud konkurentsiprobleemid</w:t>
      </w:r>
      <w:bookmarkEnd w:id="522"/>
      <w:bookmarkEnd w:id="523"/>
      <w:bookmarkEnd w:id="524"/>
      <w:r w:rsidRPr="00C50854">
        <w:rPr>
          <w:i/>
        </w:rPr>
        <w:t xml:space="preserve"> ja hindade analüüs</w:t>
      </w:r>
      <w:bookmarkEnd w:id="525"/>
      <w:bookmarkEnd w:id="526"/>
      <w:bookmarkEnd w:id="527"/>
      <w:bookmarkEnd w:id="528"/>
      <w:bookmarkEnd w:id="529"/>
      <w:bookmarkEnd w:id="530"/>
      <w:bookmarkEnd w:id="531"/>
      <w:bookmarkEnd w:id="532"/>
    </w:p>
    <w:p w14:paraId="589A33F5"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Alljärgnevalt on esitatud võimalikud hinnaga seotud konkurentsiprobleemid ja analüüsitud nende esinemise võimalusi praktikas. </w:t>
      </w:r>
    </w:p>
    <w:p w14:paraId="2EC81EAA" w14:textId="657F6FDA"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Kohaliku juurdepääsu hulgiturul võivad eksisteerida peamiselt ülemäärase hinna, hinnadiskrimineerimisega ja ristsubsideerimisega seotud konkurentsiprobleemid. Ülemäärane hind on hind, mis võimaldab ettevõtjal teenida kõrgemaid kasumeid, kui võiks teenida efektiivse konkurentsiga turul. Selle konkurentsiprobleemi põhiliseks allikaks on </w:t>
      </w:r>
      <w:r w:rsidR="002A5D20" w:rsidRPr="00C50854">
        <w:rPr>
          <w:lang w:eastAsia="et-EE"/>
        </w:rPr>
        <w:t>sideettevõtja</w:t>
      </w:r>
      <w:r w:rsidRPr="00C50854">
        <w:rPr>
          <w:lang w:eastAsia="et-EE"/>
        </w:rPr>
        <w:t xml:space="preserve">te märkimisväärne turujõud. </w:t>
      </w:r>
    </w:p>
    <w:p w14:paraId="4E4D1F5F"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 xml:space="preserve">Hinnadiskrimineerimine jaguneb hinnadiskrimineerimiseks sideettevõtjate vahel ja hinna-diskrimineerimiseks sisemise ja välimise varustamise vahel. </w:t>
      </w:r>
    </w:p>
    <w:p w14:paraId="7FB96184"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Hinnadiskrimineerimine sideettevõtjate vahel seisneb erinevate sidevõrgule juurdepääsu hindade rakendamises erinevatele sideettevõtjatele. </w:t>
      </w:r>
    </w:p>
    <w:p w14:paraId="05DEF546"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Hinnadiskrimineerimisega sisemise ja välimise varustamise vahel on tegemist juhul, kui vertikaalselt integreeritud sideettevõtja nõuab temaga jaeturul konkureerivalt sideettevõtjalt hulgiteenuste eest kõrgemat hinda, kui oma jaeteenust pakkuvalt üksuselt. Ehk teisisõnu toimub diskrimineerimine sisemise ja välimise varustamise vahel. Hulgiteenuste turul märkimisväärse turujõuga vertikaalselt integreeritud sideettevõtja võib läbi hinnadiskrimineerimise tõsta oma konkurentide kulusid jaemüügiturul rakendades ülemäärast hulgiteenuse hinda, mis võib viia konkurentide jaemüügi piiramiseni ning seeläbi üleüldise konkurentsiolukorra kahjustamiseni.</w:t>
      </w:r>
    </w:p>
    <w:p w14:paraId="55743CB2"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Ristsubsideerimisega on tegemist juhul, kui vertikaalselt integreeritud märkimisväärse turujõuga ettevõtja poolt nõutakse hulgiturul kuludest kõrgemat (ülemäärast) hinda ning vertikaalselt allapoole seotud turul rakendatakse kuludest madalamat hinda (kuludest madalama hinna rakendamine on käsitatav ka röövelliku hinnakujundusena). Juhul kui hulgitasandi hind on ülemäärane ning jaetasandi hind röövellik (allapoole kulusid), annab see vertikaalselt integreeritud märkimisväärse turujõuga ettevõtjale võimaluse laiendada oma turujõudu vertikaalselt allapoole seotud turule. Seega on ristsubsideerimise üheks teguriks hulgiteenuste ülemäärane hind, mis võimaldab ettevõtjal teenida kõrgemaid kasumeid, kui võiks teenida efektiivse konkurentsiga turul.</w:t>
      </w:r>
    </w:p>
    <w:p w14:paraId="67495054"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Eeltoodust järeldub, et ülemäärane hind hulgitasandil takistab efektiivse konkurentsi toimimist jaetasandil, mis omakorda kahjustab lõppkasutajate huve.</w:t>
      </w:r>
    </w:p>
    <w:p w14:paraId="029B944A"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Kuivõrd </w:t>
      </w:r>
      <w:proofErr w:type="spellStart"/>
      <w:r w:rsidRPr="00C50854">
        <w:rPr>
          <w:i/>
          <w:lang w:eastAsia="et-EE"/>
        </w:rPr>
        <w:t>ex</w:t>
      </w:r>
      <w:proofErr w:type="spellEnd"/>
      <w:r w:rsidRPr="00C50854">
        <w:rPr>
          <w:i/>
          <w:lang w:eastAsia="et-EE"/>
        </w:rPr>
        <w:t xml:space="preserve"> </w:t>
      </w:r>
      <w:proofErr w:type="spellStart"/>
      <w:r w:rsidRPr="00C50854">
        <w:rPr>
          <w:i/>
          <w:lang w:eastAsia="et-EE"/>
        </w:rPr>
        <w:t>ante</w:t>
      </w:r>
      <w:proofErr w:type="spellEnd"/>
      <w:r w:rsidRPr="00C50854">
        <w:rPr>
          <w:lang w:eastAsia="et-EE"/>
        </w:rPr>
        <w:t xml:space="preserve"> regulatsiooni kehtestamine ei sisalda endas hinnangut sellele, kas ettevõtja on pannud toime õiguserikkumise ning oluline on üksnes kindlaks teha, kas tema majanduslik tugevus annab talle võime käituda märgatavas ulatuses sõltumatuna konkurentidest, klientidest ja lõpuks ka lõppkasutajatest</w:t>
      </w:r>
      <w:r w:rsidRPr="00C50854">
        <w:rPr>
          <w:vertAlign w:val="superscript"/>
          <w:lang w:eastAsia="et-EE"/>
        </w:rPr>
        <w:footnoteReference w:id="137"/>
      </w:r>
      <w:r w:rsidRPr="00C50854">
        <w:rPr>
          <w:lang w:eastAsia="et-EE"/>
        </w:rPr>
        <w:t>, tuleb ka kohaliku juurdepääsu hulgiturul esineda võivaid hinnaga seotud konkurentsiprobleeme hinnata ennekõike  potentsiaalselt esineda võivate konkurentsiprobleemidena.</w:t>
      </w:r>
    </w:p>
    <w:p w14:paraId="25949255"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Kuivõrd Telia on vertikaalselt integreeritud ettevõtja ja omab kohaliku juurdepääsu hulgiturul märkimisväärset turujõudu, siis on tal võimalus laiendada oma turujõudu kohaliku juurdepääsu </w:t>
      </w:r>
      <w:proofErr w:type="spellStart"/>
      <w:r w:rsidRPr="00C50854">
        <w:rPr>
          <w:lang w:eastAsia="et-EE"/>
        </w:rPr>
        <w:t>hulgiturult</w:t>
      </w:r>
      <w:proofErr w:type="spellEnd"/>
      <w:r w:rsidRPr="00C50854">
        <w:rPr>
          <w:lang w:eastAsia="et-EE"/>
        </w:rPr>
        <w:t xml:space="preserve"> vertikaalselt allapoole seotud jaeturgudele. Seega on Telial olemas võime kasutada oma turujõudu konkurentsi moonutamiseks läbi eelkirjeldatud ülemäärase hinna ja/või hinnadiskrimineerimise ja/või ristsubsideerimise rakendamise. </w:t>
      </w:r>
    </w:p>
    <w:p w14:paraId="4FBE8A3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Teliale on rakendunud kohaliku juurdepääsu hulgituru teenustega seotud hinnakohustused (sideturu regulaatori erinevate otsuste alusel</w:t>
      </w:r>
      <w:r w:rsidRPr="00C50854">
        <w:rPr>
          <w:vertAlign w:val="superscript"/>
          <w:lang w:eastAsia="et-EE"/>
        </w:rPr>
        <w:footnoteReference w:id="138"/>
      </w:r>
      <w:r w:rsidRPr="00C50854">
        <w:rPr>
          <w:lang w:eastAsia="et-EE"/>
        </w:rPr>
        <w:t>) alates 2007 aastast. Käesoleval ajal rakendub Teliale Tehnilise Järelevalve Ameti 16.06.17 otsus nr 1-10/17-228, mille alusel peab Telia rakendama vaskpaar- ja valguskaabel kliendiliinile ning kaablikanalisatsioonile juurdepääsul hindasid, mis on kuludele orienteeritud ja arvestatud lähtudes ülevalt-alla täielikult jaotatud ajalooliste kulude meetodist (</w:t>
      </w:r>
      <w:proofErr w:type="spellStart"/>
      <w:r w:rsidRPr="00C50854">
        <w:rPr>
          <w:i/>
          <w:lang w:eastAsia="et-EE"/>
        </w:rPr>
        <w:t>top-down</w:t>
      </w:r>
      <w:proofErr w:type="spellEnd"/>
      <w:r w:rsidRPr="00C50854">
        <w:rPr>
          <w:i/>
          <w:lang w:eastAsia="et-EE"/>
        </w:rPr>
        <w:t xml:space="preserve"> </w:t>
      </w:r>
      <w:proofErr w:type="spellStart"/>
      <w:r w:rsidRPr="00C50854">
        <w:rPr>
          <w:i/>
          <w:lang w:eastAsia="et-EE"/>
        </w:rPr>
        <w:t>full</w:t>
      </w:r>
      <w:proofErr w:type="spellEnd"/>
      <w:r w:rsidRPr="00C50854">
        <w:rPr>
          <w:i/>
          <w:lang w:eastAsia="et-EE"/>
        </w:rPr>
        <w:t xml:space="preserve"> </w:t>
      </w:r>
      <w:proofErr w:type="spellStart"/>
      <w:r w:rsidRPr="00C50854">
        <w:rPr>
          <w:i/>
          <w:lang w:eastAsia="et-EE"/>
        </w:rPr>
        <w:t>distributed</w:t>
      </w:r>
      <w:proofErr w:type="spellEnd"/>
      <w:r w:rsidRPr="00C50854">
        <w:rPr>
          <w:i/>
          <w:lang w:eastAsia="et-EE"/>
        </w:rPr>
        <w:t xml:space="preserve"> </w:t>
      </w:r>
      <w:proofErr w:type="spellStart"/>
      <w:r w:rsidRPr="00C50854">
        <w:rPr>
          <w:i/>
          <w:lang w:eastAsia="et-EE"/>
        </w:rPr>
        <w:t>historical</w:t>
      </w:r>
      <w:proofErr w:type="spellEnd"/>
      <w:r w:rsidRPr="00C50854">
        <w:rPr>
          <w:i/>
          <w:lang w:eastAsia="et-EE"/>
        </w:rPr>
        <w:t xml:space="preserve"> </w:t>
      </w:r>
      <w:proofErr w:type="spellStart"/>
      <w:r w:rsidRPr="00C50854">
        <w:rPr>
          <w:i/>
          <w:lang w:eastAsia="et-EE"/>
        </w:rPr>
        <w:t>costs</w:t>
      </w:r>
      <w:proofErr w:type="spellEnd"/>
      <w:r w:rsidRPr="00C50854">
        <w:rPr>
          <w:i/>
          <w:lang w:eastAsia="et-EE"/>
        </w:rPr>
        <w:t xml:space="preserve"> – TD FDC HC</w:t>
      </w:r>
      <w:r w:rsidRPr="00C50854">
        <w:rPr>
          <w:lang w:eastAsia="et-EE"/>
        </w:rPr>
        <w:t xml:space="preserve">). </w:t>
      </w:r>
    </w:p>
    <w:p w14:paraId="5BCA4251" w14:textId="3F09BCB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Telia valitud vaskpaarile juurdepääsu hulgiteenuse reguleeritud kuutasu on olnud stabiilne  (vt alltoodud </w:t>
      </w:r>
      <w:r w:rsidR="004D4AF8" w:rsidRPr="00C50854">
        <w:rPr>
          <w:lang w:eastAsia="et-EE"/>
        </w:rPr>
        <w:fldChar w:fldCharType="begin"/>
      </w:r>
      <w:r w:rsidR="004D4AF8" w:rsidRPr="00C50854">
        <w:rPr>
          <w:lang w:eastAsia="et-EE"/>
        </w:rPr>
        <w:instrText xml:space="preserve"> REF _Ref465257244 \h </w:instrText>
      </w:r>
      <w:r w:rsidR="00C50854">
        <w:rPr>
          <w:lang w:eastAsia="et-EE"/>
        </w:rPr>
        <w:instrText xml:space="preserve"> \* MERGEFORMAT </w:instrText>
      </w:r>
      <w:r w:rsidR="004D4AF8" w:rsidRPr="00C50854">
        <w:rPr>
          <w:lang w:eastAsia="et-EE"/>
        </w:rPr>
      </w:r>
      <w:r w:rsidR="004D4AF8" w:rsidRPr="00C50854">
        <w:rPr>
          <w:lang w:eastAsia="et-EE"/>
        </w:rPr>
        <w:fldChar w:fldCharType="separate"/>
      </w:r>
      <w:r w:rsidR="00697B2B" w:rsidRPr="00C50854">
        <w:t xml:space="preserve">Joonis </w:t>
      </w:r>
      <w:r w:rsidR="00697B2B" w:rsidRPr="00C50854">
        <w:rPr>
          <w:noProof/>
        </w:rPr>
        <w:t>12</w:t>
      </w:r>
      <w:r w:rsidR="004D4AF8" w:rsidRPr="00C50854">
        <w:rPr>
          <w:lang w:eastAsia="et-EE"/>
        </w:rPr>
        <w:fldChar w:fldCharType="end"/>
      </w:r>
      <w:r w:rsidRPr="00C50854">
        <w:rPr>
          <w:lang w:eastAsia="et-EE"/>
        </w:rPr>
        <w:t xml:space="preserve">). Stabiilse hinna on taganud juba 2010 aastast rakendunud regulatsioon, mille kohaselt on iga aastane lubatud kuutasu muutus maksimaalselt +- 5%. </w:t>
      </w:r>
    </w:p>
    <w:p w14:paraId="795EF670"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Seega ülemäärase hinna, hinnadiskrimineerimisega ja ristsubsideerimisega seotud konkurentsiprobleemid vaskpaarile juurdepääsu hulgitasandi teenuste korral reaalselt ei ole </w:t>
      </w:r>
      <w:r w:rsidRPr="00C50854">
        <w:rPr>
          <w:lang w:eastAsia="et-EE"/>
        </w:rPr>
        <w:lastRenderedPageBreak/>
        <w:t>esinenud, kuna selle välistab rakendatud hinnakohustus. Samas ilma vastava hinnakohustuse rakendamiseta oleks Telial võimalus vaskpaarile juurdepääsu hulgitasandi teenuste osutamisel kasutades ära oma turujõudu ja vertikaalset integreeritust ülemäärase hinna rakendamise kaudu kahjustada teiste sideettevõtjate võimet konkureerida jaetasandil sideteenuste osutamisel läbi vaskpaar juurdepääsuvõrgu.</w:t>
      </w:r>
    </w:p>
    <w:p w14:paraId="4B211ECC"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noProof/>
          <w:lang w:eastAsia="et-EE"/>
        </w:rPr>
        <w:drawing>
          <wp:inline distT="0" distB="0" distL="0" distR="0" wp14:anchorId="550077D8" wp14:editId="0E026A2B">
            <wp:extent cx="5828030" cy="1755775"/>
            <wp:effectExtent l="0" t="0" r="1270" b="0"/>
            <wp:docPr id="177" name="Pilt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8030" cy="1755775"/>
                    </a:xfrm>
                    <a:prstGeom prst="rect">
                      <a:avLst/>
                    </a:prstGeom>
                    <a:noFill/>
                  </pic:spPr>
                </pic:pic>
              </a:graphicData>
            </a:graphic>
          </wp:inline>
        </w:drawing>
      </w:r>
    </w:p>
    <w:p w14:paraId="50A7588B" w14:textId="2012FF6D" w:rsidR="00D67E10" w:rsidRPr="00C50854" w:rsidRDefault="00D67E10" w:rsidP="00D67E10">
      <w:pPr>
        <w:pStyle w:val="Pealdis"/>
        <w:jc w:val="both"/>
        <w:rPr>
          <w:lang w:val="x-none" w:eastAsia="et-EE"/>
        </w:rPr>
      </w:pPr>
      <w:bookmarkStart w:id="539" w:name="_Ref465257244"/>
      <w:r w:rsidRPr="00C50854">
        <w:t xml:space="preserve">Joonis </w:t>
      </w:r>
      <w:fldSimple w:instr=" SEQ Joonis \* ARABIC ">
        <w:r w:rsidR="00697B2B" w:rsidRPr="00C50854">
          <w:rPr>
            <w:noProof/>
          </w:rPr>
          <w:t>12</w:t>
        </w:r>
      </w:fldSimple>
      <w:bookmarkEnd w:id="539"/>
      <w:r w:rsidRPr="00C50854">
        <w:rPr>
          <w:lang w:eastAsia="et-EE"/>
        </w:rPr>
        <w:t xml:space="preserve">. </w:t>
      </w:r>
      <w:r w:rsidRPr="00C50854">
        <w:rPr>
          <w:b w:val="0"/>
          <w:lang w:eastAsia="et-EE"/>
        </w:rPr>
        <w:t>Telia vaskpaarile juurdepääsu kuutasud (€, ilma käibemaksuta)</w:t>
      </w:r>
    </w:p>
    <w:p w14:paraId="3EFC9D92"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Telia valguskaabli fiidersegmendi kiule juurdepääsu (</w:t>
      </w:r>
      <w:proofErr w:type="spellStart"/>
      <w:r w:rsidRPr="00C50854">
        <w:rPr>
          <w:lang w:eastAsia="et-EE"/>
        </w:rPr>
        <w:t>hulgitasand</w:t>
      </w:r>
      <w:proofErr w:type="spellEnd"/>
      <w:r w:rsidRPr="00C50854">
        <w:rPr>
          <w:lang w:eastAsia="et-EE"/>
        </w:rPr>
        <w:t xml:space="preserve">) kuutasule rakendus kuludele orienteeritusele kohustus esmakordselt 2014 aastal ning sellest ajast kuutasu ei ole muutunud:  60 €/kuu kuni 3 km ja 38,3 €/kuu iga km eest üle 3 km. Kuni 3 km kuutasu arvestuse aluseks on kõigi Telia sidevõrgu fiidersegmentide kaalutud keskmine pikkus. Telia jaeteenuse üksus kasutab ühte valguskaabli fiidersegmendi kiudu üldjuhul mitmele lõpp-kasutajale jaeteenuse osutamiseks (ühe kiuga ühendatakse korter- või ärimaja, milles toimub kiu jagunemine klientide vahel). Kuna Telia jaotab kiu </w:t>
      </w:r>
      <w:proofErr w:type="spellStart"/>
      <w:r w:rsidRPr="00C50854">
        <w:rPr>
          <w:lang w:eastAsia="et-EE"/>
        </w:rPr>
        <w:t>hulgikulud</w:t>
      </w:r>
      <w:proofErr w:type="spellEnd"/>
      <w:r w:rsidRPr="00C50854">
        <w:rPr>
          <w:lang w:eastAsia="et-EE"/>
        </w:rPr>
        <w:t xml:space="preserve"> mitme lõpp-kasutaja jaeteenuse vahel, siis on ka teistele sideettevõtjatele renditava valguskaabli fiidersegmendi kiu puhul mõistlik eeldada, et selle kuutasu tuleb üldjuhul jaotada mitme lõpp-kasutaja jaeteenuse vahel. Seega näiteks alla 3 km valguskaabli fiidersegmendi kiu kuutasu jaotamisel 10 kliendi teenuse vahel tuleb ühe kliendi ühenduse kuutasuks 6 € (60 €/10), mis on küll 22% kallim, kui vaskpaarile juurdepääsu kuutasu 4,94 € kuus, kuid võimaldada võimaldab osutada oluliselt kiiremaid ja kvaliteetsemaid lairiba ühendusi kui vaskpaar.  </w:t>
      </w:r>
    </w:p>
    <w:p w14:paraId="7C35B20B"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Seega ülemäärase hinna, hinnadiskrimineerimisega ja ristsubsideerimisega seotud konkurentsiprobleemid valguskaabel kliendiliinile juurdepääsu hulgiteenuste korral reaalselt ei ole esinenud, kuna selle välistab rakendatud hinnakohustus. Samas ilma vastava hinnakohustuse rakendamiseta oleks Telial võimalus valguskaabli kliendiliinile juurdepääsu hulgiteenuste osutamisel kasutades ära oma turujõudu ja vertikaalset integreeritust ülemäärase hinna rakendamise kaudu kahjustada teiste sideettevõtjate võimet konkureerida jaetasandil sideteenuste osutamisel läbi valguskaabli juurdepääsuvõrgu.</w:t>
      </w:r>
    </w:p>
    <w:p w14:paraId="32FC3F31" w14:textId="32836B25"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Telia kaablikanalisatsioonile (kaabli paigalduskohale) juurdepääsu kuutasu on olnud viimasel neljal aastal (2016 – 2019) stabiilselt 4,90 € senti meeter (vt alltoodud </w:t>
      </w:r>
      <w:r w:rsidR="0090523D" w:rsidRPr="00C50854">
        <w:rPr>
          <w:lang w:eastAsia="et-EE"/>
        </w:rPr>
        <w:fldChar w:fldCharType="begin"/>
      </w:r>
      <w:r w:rsidR="0090523D" w:rsidRPr="00C50854">
        <w:rPr>
          <w:lang w:eastAsia="et-EE"/>
        </w:rPr>
        <w:instrText xml:space="preserve"> REF _Ref40787657 \h </w:instrText>
      </w:r>
      <w:r w:rsidR="0040093D" w:rsidRPr="00C50854">
        <w:rPr>
          <w:lang w:eastAsia="et-EE"/>
        </w:rPr>
        <w:instrText xml:space="preserve"> \* MERGEFORMAT </w:instrText>
      </w:r>
      <w:r w:rsidR="0090523D" w:rsidRPr="00C50854">
        <w:rPr>
          <w:lang w:eastAsia="et-EE"/>
        </w:rPr>
      </w:r>
      <w:r w:rsidR="0090523D" w:rsidRPr="00C50854">
        <w:rPr>
          <w:lang w:eastAsia="et-EE"/>
        </w:rPr>
        <w:fldChar w:fldCharType="separate"/>
      </w:r>
      <w:r w:rsidR="002A07B5" w:rsidRPr="00C50854">
        <w:t xml:space="preserve">Joonis </w:t>
      </w:r>
      <w:r w:rsidR="002A07B5" w:rsidRPr="00C50854">
        <w:rPr>
          <w:noProof/>
        </w:rPr>
        <w:t>13</w:t>
      </w:r>
      <w:r w:rsidR="0090523D" w:rsidRPr="00C50854">
        <w:rPr>
          <w:lang w:eastAsia="et-EE"/>
        </w:rPr>
        <w:fldChar w:fldCharType="end"/>
      </w:r>
      <w:r w:rsidRPr="00C50854">
        <w:rPr>
          <w:lang w:eastAsia="et-EE"/>
        </w:rPr>
        <w:t xml:space="preserve"> ).</w:t>
      </w:r>
    </w:p>
    <w:p w14:paraId="1211038F" w14:textId="77777777" w:rsidR="00D67E10" w:rsidRPr="00C50854" w:rsidRDefault="00D67E10" w:rsidP="00D67E10">
      <w:pPr>
        <w:suppressAutoHyphens w:val="0"/>
        <w:autoSpaceDE w:val="0"/>
        <w:autoSpaceDN w:val="0"/>
        <w:adjustRightInd w:val="0"/>
        <w:spacing w:before="120" w:after="120"/>
        <w:jc w:val="both"/>
        <w:rPr>
          <w:lang w:eastAsia="et-EE"/>
        </w:rPr>
      </w:pPr>
    </w:p>
    <w:p w14:paraId="31C246BD" w14:textId="77777777" w:rsidR="00D67E10" w:rsidRPr="00C50854" w:rsidRDefault="00D67E10" w:rsidP="00D67E10">
      <w:pPr>
        <w:suppressAutoHyphens w:val="0"/>
        <w:autoSpaceDE w:val="0"/>
        <w:autoSpaceDN w:val="0"/>
        <w:adjustRightInd w:val="0"/>
        <w:spacing w:before="120" w:after="120"/>
        <w:jc w:val="both"/>
        <w:rPr>
          <w:lang w:eastAsia="et-EE"/>
        </w:rPr>
      </w:pPr>
    </w:p>
    <w:p w14:paraId="05208692"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noProof/>
          <w:lang w:eastAsia="et-EE"/>
        </w:rPr>
        <w:lastRenderedPageBreak/>
        <w:drawing>
          <wp:inline distT="0" distB="0" distL="0" distR="0" wp14:anchorId="0DAFBF27" wp14:editId="2A44F23E">
            <wp:extent cx="4584700" cy="2755900"/>
            <wp:effectExtent l="0" t="0" r="6350" b="6350"/>
            <wp:docPr id="178" name="Pilt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BD75492" w14:textId="5EA5F380" w:rsidR="00D67E10" w:rsidRPr="00C50854" w:rsidRDefault="004D4AF8" w:rsidP="00D67E10">
      <w:pPr>
        <w:pStyle w:val="Pealdis"/>
        <w:jc w:val="both"/>
        <w:rPr>
          <w:lang w:eastAsia="et-EE"/>
        </w:rPr>
      </w:pPr>
      <w:bookmarkStart w:id="540" w:name="_Ref40787657"/>
      <w:r w:rsidRPr="00C50854">
        <w:t xml:space="preserve">Joonis </w:t>
      </w:r>
      <w:fldSimple w:instr=" SEQ Joonis \* ARABIC ">
        <w:r w:rsidR="00697B2B" w:rsidRPr="00C50854">
          <w:rPr>
            <w:noProof/>
          </w:rPr>
          <w:t>13</w:t>
        </w:r>
      </w:fldSimple>
      <w:bookmarkEnd w:id="540"/>
      <w:r w:rsidR="00D67E10" w:rsidRPr="00C50854">
        <w:t xml:space="preserve">. </w:t>
      </w:r>
      <w:r w:rsidR="00D67E10" w:rsidRPr="00C50854">
        <w:rPr>
          <w:b w:val="0"/>
          <w:lang w:eastAsia="et-EE"/>
        </w:rPr>
        <w:t>Telia kaablikanalisatsioonile juurdepääsu kuutasud (€ senti kaabli paigalduskoha meetri kohta, ilma käibemaksuta)</w:t>
      </w:r>
    </w:p>
    <w:p w14:paraId="1ED45476" w14:textId="77777777" w:rsidR="00D67E10" w:rsidRPr="00C50854" w:rsidRDefault="00D67E10" w:rsidP="00D67E10">
      <w:pPr>
        <w:suppressAutoHyphens w:val="0"/>
        <w:autoSpaceDE w:val="0"/>
        <w:autoSpaceDN w:val="0"/>
        <w:adjustRightInd w:val="0"/>
        <w:spacing w:before="120" w:after="120"/>
        <w:ind w:left="360"/>
        <w:jc w:val="both"/>
        <w:rPr>
          <w:lang w:eastAsia="et-EE"/>
        </w:rPr>
      </w:pPr>
      <w:r w:rsidRPr="00C50854">
        <w:rPr>
          <w:lang w:eastAsia="et-EE"/>
        </w:rPr>
        <w:t xml:space="preserve"> </w:t>
      </w:r>
    </w:p>
    <w:p w14:paraId="52B8EA2A"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Seega ülemäärase hinna, hinnadiskrimineerimisega ja ristsubsideerimisega seotud konkurentsiprobleemid kaablikanalisatsioonile juurdepääsu hulgitasandi teenuste korral reaalselt ei ole esinenud, kuna selle välistab rakendatud hinnakohustus. Samas ilma vastava hinnakohustuse rakendamiseta oleks Telial võimalus kaablikanalisatsioonile juurdepääsu hulgitasandi teenuste osutamisel kasutades ära oma turujõudu ja vertikaalset integreeritust ülemäärase hinna rakendamise kaudu kahjustada teiste sideettevõtjate suutlikkust arendada oma juurdepääsuvõrku Telia kaablikanalisatsiooni rendi vahendusel ning seeläbi konkureerida jaetasandil sideteenuste osutamisel.</w:t>
      </w:r>
    </w:p>
    <w:p w14:paraId="1AFC290C" w14:textId="77777777" w:rsidR="00D67E10" w:rsidRPr="00C50854" w:rsidRDefault="00D67E10" w:rsidP="00D67E10">
      <w:pPr>
        <w:pStyle w:val="Pealkiri3"/>
        <w:rPr>
          <w:i/>
        </w:rPr>
      </w:pPr>
      <w:bookmarkStart w:id="541" w:name="_Toc332865995"/>
      <w:bookmarkStart w:id="542" w:name="_Toc435703534"/>
      <w:bookmarkStart w:id="543" w:name="_Toc436038424"/>
      <w:bookmarkStart w:id="544" w:name="_Toc448402233"/>
      <w:bookmarkStart w:id="545" w:name="_Toc464639375"/>
      <w:bookmarkStart w:id="546" w:name="_Toc39125695"/>
      <w:bookmarkStart w:id="547" w:name="_Toc42072484"/>
      <w:r w:rsidRPr="00C50854">
        <w:rPr>
          <w:i/>
        </w:rPr>
        <w:t>6.5.3. Hinnakohustus</w:t>
      </w:r>
      <w:bookmarkEnd w:id="541"/>
      <w:r w:rsidRPr="00C50854">
        <w:rPr>
          <w:i/>
        </w:rPr>
        <w:t>te valiku analüüs</w:t>
      </w:r>
      <w:bookmarkEnd w:id="542"/>
      <w:bookmarkEnd w:id="543"/>
      <w:bookmarkEnd w:id="544"/>
      <w:bookmarkEnd w:id="545"/>
      <w:bookmarkEnd w:id="546"/>
      <w:bookmarkEnd w:id="547"/>
      <w:r w:rsidRPr="00C50854">
        <w:rPr>
          <w:i/>
        </w:rPr>
        <w:t xml:space="preserve"> </w:t>
      </w:r>
    </w:p>
    <w:p w14:paraId="56BF7864" w14:textId="77777777" w:rsidR="00D67E10" w:rsidRPr="00C50854" w:rsidRDefault="00D67E10" w:rsidP="00311E1F">
      <w:pPr>
        <w:numPr>
          <w:ilvl w:val="0"/>
          <w:numId w:val="13"/>
        </w:numPr>
        <w:suppressAutoHyphens w:val="0"/>
        <w:spacing w:before="120" w:after="120"/>
        <w:jc w:val="both"/>
        <w:rPr>
          <w:lang w:eastAsia="et-EE"/>
        </w:rPr>
      </w:pPr>
      <w:r w:rsidRPr="00C50854">
        <w:rPr>
          <w:lang w:eastAsia="et-EE"/>
        </w:rPr>
        <w:t>Alljärgnevalt on analüüsitud erinevaid kohustusi, mida võiks rakendada märkimisväärse turujõuga ettevõtjale, et tagada kohalikul juurdepääsu hulgiturul hinnaga seotud konkurentsiprobleemide tõhusaima vältimise.</w:t>
      </w:r>
    </w:p>
    <w:p w14:paraId="0A7A75AA" w14:textId="77777777" w:rsidR="00D67E10" w:rsidRPr="00C50854" w:rsidRDefault="00D67E10" w:rsidP="00311E1F">
      <w:pPr>
        <w:numPr>
          <w:ilvl w:val="0"/>
          <w:numId w:val="13"/>
        </w:numPr>
        <w:suppressAutoHyphens w:val="0"/>
        <w:spacing w:before="120" w:after="120"/>
        <w:jc w:val="both"/>
        <w:rPr>
          <w:lang w:eastAsia="et-EE"/>
        </w:rPr>
      </w:pPr>
      <w:r w:rsidRPr="00C50854">
        <w:rPr>
          <w:lang w:eastAsia="et-EE"/>
        </w:rPr>
        <w:t>Riigi reguleerivad asutused peavad tasakaalustama infrastruktuuri omaniku õiguseid kasutada oma infrastruktuuri enda huvides ja teiste teenuseosutajate õiguseid kasutada vastavat infrastruktuuri ja sellega seotud vahendeid, mis on olulised konkureerivate teenuste pakkumiseks</w:t>
      </w:r>
      <w:r w:rsidRPr="00C50854">
        <w:rPr>
          <w:rStyle w:val="Allmrkuseviide"/>
          <w:lang w:eastAsia="et-EE"/>
        </w:rPr>
        <w:footnoteReference w:id="139"/>
      </w:r>
      <w:r w:rsidRPr="00C50854">
        <w:rPr>
          <w:lang w:eastAsia="et-EE"/>
        </w:rPr>
        <w:t xml:space="preserve">. </w:t>
      </w:r>
    </w:p>
    <w:p w14:paraId="1700AC5D" w14:textId="77777777" w:rsidR="00D67E10" w:rsidRPr="00C50854" w:rsidRDefault="00D67E10" w:rsidP="009A75FA">
      <w:pPr>
        <w:pStyle w:val="Pealkiri3"/>
        <w:rPr>
          <w:b w:val="0"/>
          <w:bCs w:val="0"/>
          <w:i/>
          <w:iCs/>
        </w:rPr>
      </w:pPr>
      <w:bookmarkStart w:id="548" w:name="_Toc435703535"/>
      <w:bookmarkStart w:id="549" w:name="_Toc436038425"/>
      <w:bookmarkStart w:id="550" w:name="_Toc448402234"/>
      <w:bookmarkStart w:id="551" w:name="_Toc464639376"/>
      <w:bookmarkStart w:id="552" w:name="_Toc42072485"/>
      <w:r w:rsidRPr="00C50854">
        <w:rPr>
          <w:b w:val="0"/>
          <w:bCs w:val="0"/>
          <w:i/>
          <w:iCs/>
        </w:rPr>
        <w:t>6.5.3.1 Hinnakohustuse teiste kohustustega asendamise võimalikkuse analüüs</w:t>
      </w:r>
      <w:bookmarkEnd w:id="548"/>
      <w:bookmarkEnd w:id="549"/>
      <w:bookmarkEnd w:id="550"/>
      <w:bookmarkEnd w:id="551"/>
      <w:bookmarkEnd w:id="552"/>
      <w:r w:rsidRPr="00C50854">
        <w:rPr>
          <w:b w:val="0"/>
          <w:bCs w:val="0"/>
          <w:i/>
          <w:iCs/>
        </w:rPr>
        <w:t xml:space="preserve"> </w:t>
      </w:r>
    </w:p>
    <w:p w14:paraId="0FE128B5"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Peatükis hinnatakse, kas märkimisväärse turujõuga ettevõtjale rakendatavat hinnakohustust on võimalik ja otstarbekas asendada mõne muu ESS-is sätestatud kohustusega nagu juurdepääsu-, läbipaistvuse-, mittediskrimineerimise - või kuluarvestuse lahususe kohustusega.</w:t>
      </w:r>
    </w:p>
    <w:p w14:paraId="4BE34EB7"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Juurdepääsukohustused</w:t>
      </w:r>
      <w:r w:rsidRPr="00C50854">
        <w:rPr>
          <w:vertAlign w:val="superscript"/>
          <w:lang w:eastAsia="et-EE"/>
        </w:rPr>
        <w:footnoteReference w:id="140"/>
      </w:r>
      <w:r w:rsidRPr="00C50854">
        <w:rPr>
          <w:lang w:eastAsia="et-EE"/>
        </w:rPr>
        <w:t xml:space="preserve"> ei ole piisavad hinnaga seotud konkurentsiprobleemide vältimiseks, kuna nimetatud kohustused ei sätesta konkreetseid kohustusi ülemäära kõrgete hindade alandamise kohta.</w:t>
      </w:r>
    </w:p>
    <w:p w14:paraId="6A4FADB3" w14:textId="1D93F86D"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Mittediskrimineerimis-</w:t>
      </w:r>
      <w:r w:rsidRPr="00C50854">
        <w:rPr>
          <w:vertAlign w:val="superscript"/>
          <w:lang w:eastAsia="et-EE"/>
        </w:rPr>
        <w:footnoteReference w:id="141"/>
      </w:r>
      <w:r w:rsidRPr="00C50854">
        <w:rPr>
          <w:lang w:eastAsia="et-EE"/>
        </w:rPr>
        <w:t xml:space="preserve"> ja läbipaistvuskohustuse koos kuluarvestuse lahususe kohustusega</w:t>
      </w:r>
      <w:r w:rsidRPr="00C50854">
        <w:rPr>
          <w:vertAlign w:val="superscript"/>
          <w:lang w:eastAsia="et-EE"/>
        </w:rPr>
        <w:footnoteReference w:id="142"/>
      </w:r>
      <w:r w:rsidRPr="00C50854">
        <w:rPr>
          <w:vertAlign w:val="superscript"/>
          <w:lang w:eastAsia="et-EE"/>
        </w:rPr>
        <w:t xml:space="preserve"> </w:t>
      </w:r>
      <w:r w:rsidRPr="00C50854">
        <w:rPr>
          <w:lang w:eastAsia="et-EE"/>
        </w:rPr>
        <w:t xml:space="preserve">rakendamine ei takista märkimisväärse turujõuga ettevõtjat rakendamast ülemääraseid hindasid. Sellised kohustused muudaksid reguleeritavate teenuste hinnad ja kulud nähtavaks ja kohustaksid märkimisväärse turujõuga ettevõtjat pakkuma nii oma </w:t>
      </w:r>
      <w:proofErr w:type="spellStart"/>
      <w:r w:rsidRPr="00C50854">
        <w:rPr>
          <w:lang w:eastAsia="et-EE"/>
        </w:rPr>
        <w:t>jaeüksusele</w:t>
      </w:r>
      <w:proofErr w:type="spellEnd"/>
      <w:r w:rsidRPr="00C50854">
        <w:rPr>
          <w:lang w:eastAsia="et-EE"/>
        </w:rPr>
        <w:t xml:space="preserve">, kui ka teistele </w:t>
      </w:r>
      <w:r w:rsidR="002A5D20" w:rsidRPr="00C50854">
        <w:rPr>
          <w:lang w:eastAsia="et-EE"/>
        </w:rPr>
        <w:t>sideettevõtja</w:t>
      </w:r>
      <w:r w:rsidRPr="00C50854">
        <w:rPr>
          <w:lang w:eastAsia="et-EE"/>
        </w:rPr>
        <w:t xml:space="preserve">tele samaväärseid hulgiteenuste hindasid. Samas ei kohusta nimetatud sätted märkimisväärse turujõuga ettevõtjat pakkuma teistele sideettevõtjatele reguleeritud teenuseid kuludele orienteeritud hinnaga. Seega võib märkimisväärse turujõuga ettevõtja nii teistele </w:t>
      </w:r>
      <w:r w:rsidR="002A5D20" w:rsidRPr="00C50854">
        <w:rPr>
          <w:lang w:eastAsia="et-EE"/>
        </w:rPr>
        <w:t>sideettevõtja</w:t>
      </w:r>
      <w:r w:rsidRPr="00C50854">
        <w:rPr>
          <w:lang w:eastAsia="et-EE"/>
        </w:rPr>
        <w:t xml:space="preserve">tele kui ka oma </w:t>
      </w:r>
      <w:proofErr w:type="spellStart"/>
      <w:r w:rsidRPr="00C50854">
        <w:rPr>
          <w:lang w:eastAsia="et-EE"/>
        </w:rPr>
        <w:t>jaeüksusele</w:t>
      </w:r>
      <w:proofErr w:type="spellEnd"/>
      <w:r w:rsidRPr="00C50854">
        <w:rPr>
          <w:lang w:eastAsia="et-EE"/>
        </w:rPr>
        <w:t xml:space="preserve"> ülemäära kõrgete kõne lõpetamise hindade rakendamisel samaaegselt rakendada lõpp-kasutajatele oluliselt madalamaid jaehindu, mis ei arvesta teenuse täielike kuludega ning seeläbi piirata teiste </w:t>
      </w:r>
      <w:r w:rsidR="002A5D20" w:rsidRPr="00C50854">
        <w:rPr>
          <w:lang w:eastAsia="et-EE"/>
        </w:rPr>
        <w:t>sideettevõtja</w:t>
      </w:r>
      <w:r w:rsidRPr="00C50854">
        <w:rPr>
          <w:lang w:eastAsia="et-EE"/>
        </w:rPr>
        <w:t xml:space="preserve">te jaemüüki. </w:t>
      </w:r>
    </w:p>
    <w:p w14:paraId="0DC7A976"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Kuna eelkirjeldatud kohustused ei ole hinnaga seotud konkurentsiprobleemide lahendamiseks piisavad, on vajalik ja otstarbekas kindlaksmääratud asukohas kohaliku juurdepääsu hulgiturul hinnaga seotud konkurentsiprobleemide vältimiseks, samuti lõppkasutajate kasu suurendamiseks ning efektiivse ja pideva konkurentsi kaitseks rakendada märkimisväärse turujõuga ettevõtjale hinnakohustusi</w:t>
      </w:r>
      <w:r w:rsidRPr="00C50854">
        <w:rPr>
          <w:vertAlign w:val="superscript"/>
          <w:lang w:eastAsia="et-EE"/>
        </w:rPr>
        <w:footnoteReference w:id="143"/>
      </w:r>
      <w:r w:rsidRPr="00C50854">
        <w:rPr>
          <w:lang w:eastAsia="et-EE"/>
        </w:rPr>
        <w:t>, mis sätestavad rakendatava hinna arvestamise meetodi.</w:t>
      </w:r>
    </w:p>
    <w:p w14:paraId="3FBCC9E4" w14:textId="77777777" w:rsidR="00D67E10" w:rsidRPr="00C50854" w:rsidRDefault="00D67E10" w:rsidP="009A75FA">
      <w:pPr>
        <w:pStyle w:val="Pealkiri3"/>
        <w:rPr>
          <w:b w:val="0"/>
          <w:bCs w:val="0"/>
          <w:i/>
          <w:iCs/>
        </w:rPr>
      </w:pPr>
      <w:bookmarkStart w:id="553" w:name="_Toc435703536"/>
      <w:bookmarkStart w:id="554" w:name="_Toc436038426"/>
      <w:bookmarkStart w:id="555" w:name="_Toc448402235"/>
      <w:bookmarkStart w:id="556" w:name="_Toc464639377"/>
      <w:bookmarkStart w:id="557" w:name="_Toc42072486"/>
      <w:r w:rsidRPr="00C50854">
        <w:rPr>
          <w:b w:val="0"/>
          <w:bCs w:val="0"/>
          <w:i/>
          <w:iCs/>
        </w:rPr>
        <w:t>6.5.3.2 Erinevate hinna arvestamise meetodite valiku analüüs</w:t>
      </w:r>
      <w:bookmarkEnd w:id="553"/>
      <w:bookmarkEnd w:id="554"/>
      <w:bookmarkEnd w:id="555"/>
      <w:bookmarkEnd w:id="556"/>
      <w:bookmarkEnd w:id="557"/>
    </w:p>
    <w:p w14:paraId="489A083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Hinnakohustuste valimisel peab eelkõige lähtuma ESS § 52 lõikest 1 ja 2, mis sätestavad, et TJA võib kehtestada märkimisväärse turujõuga ettevõtjale juurdepääsu kulude ja tasudega seotud kohustusi, sealhulgas kuludele orienteerituse ja kuluarvestussüsteemiga seotud kohustusi, tingimusel, et ta on turuanalüüsi käigus tuvastanud, et konkurentsi mittetoimimise tõttu on märkimisväärse turujõuga ettevõtjal võimalik hoida hindu ülemäära kõrgel või madalal tasemel, moonutades konkurentsi ja kahjustades lõppkasutajate huve. Soodustades sideettevõtja investeerimist järgmise põlvkonna sidevõrkudesse, võtab TJA arvesse sideettevõtja tehtud investeeringuid.  Märkimisväärse turujõuga ettevõtjal peab olema võimalik teenida otstarbekalt kasutatud kapitalilt mõistlikku kasumit, võttes arvesse kaasnevaid riske, mis on omased nimetud konkreetse uue võrguprojekti investeeringutele. Samuti lähtub TJA sideettevõtjale hinnakohustuste kehtestamisel põhimõttest, et igasugune nõutav kulude katmise mehhanism või hinna kujundamise meetod peab teenima efektiivse ja pideva konkurentsi huvi ja suurendama tarbijate kasu. Hinnakohustuste määramisel võib TJA võtta arvesse ka hindu, mis on kasutusel teistel võrreldavatel turgudel.</w:t>
      </w:r>
    </w:p>
    <w:p w14:paraId="583B1940"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Kuludele orienteeritud tasude kohustust täiendab ESS § 50 lg 1 punktis 4 nimetatud kulude eraldamise kohustus, kuna see võimaldab veenduda, et ettevõtja ei ole lisanud fikseeritud juurdepääsu hulgituru koosseisu kuuluvate teenuste hindadele mittevajalikke kulusid. Samuti aitab see kaasa hinnaga seotud konkurentsiprobleemide tuvastamisele, kuna võimaldab eraldada jae- ja hulgiteenustega seotud kulusid ja tulusid.</w:t>
      </w:r>
    </w:p>
    <w:p w14:paraId="6E448736"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Kindlaksmääratud asukohas kohaliku juurdepääsu hulgiturul märkimisväärse turujõuga ettevõtjatele hinnakohustuste kehtestamisel kaalus TJA hinnakohustuste rakendamisel järgnevaid meetodeid:</w:t>
      </w:r>
    </w:p>
    <w:p w14:paraId="56041016"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„jaehind miinus meetod“;</w:t>
      </w:r>
    </w:p>
    <w:p w14:paraId="74EA045D"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„võrreldavate hindade (</w:t>
      </w:r>
      <w:proofErr w:type="spellStart"/>
      <w:r w:rsidRPr="00C50854">
        <w:rPr>
          <w:i/>
          <w:lang w:eastAsia="et-EE"/>
        </w:rPr>
        <w:t>benchmark</w:t>
      </w:r>
      <w:proofErr w:type="spellEnd"/>
      <w:r w:rsidRPr="00C50854">
        <w:rPr>
          <w:lang w:eastAsia="et-EE"/>
        </w:rPr>
        <w:t>) meetod“;</w:t>
      </w:r>
    </w:p>
    <w:p w14:paraId="50B664F6"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„kuludele orienteeritud hinna arvestamise meetod“.</w:t>
      </w:r>
    </w:p>
    <w:p w14:paraId="004C10E8"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„Jaehind miinus meetodi“ korral määratakse reguleeritava hulgiteenuse hind järgnevalt: jaeteenuse tuludelt lahutatakse hulgiteenusega mitteseotud jaeteenuste kulud ja liidetakse hulgiteenusega seotud põhjendatud kulud. Arvestades andmeside ja kõne jaeteenuste turgude konkurentsiolukorda, on „jaehind miinus meetodi“  puuduseks võimalus, et konkurentsiolukord jaeturul surub jaeteenuste hinnad alla teenuse osutamise kulude, mis viiks ka kindlaksmääratud asukohas kohaliku juurdepääsu hulgituru teenuste hinnad alla teenuste osutamise kulude. See aga ei ole kooskõlas ESS § 52 lõikega 2, kuna sellisel juhul ei arvestataks sideettevõtjate poolt tehtud investeeringuid ja mõistliku kasumi teenimise võimaldamist. Samuti puuduvad kaablikanalisatsioonile juurdepääsu hulgiteenuse korral vastavad jaeteenused, mille alusel arvestada „jaehind miinus meetodi“ kohast hulgiteenuse hinda.</w:t>
      </w:r>
    </w:p>
    <w:p w14:paraId="0131381A"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„Võrreldavate hindade (</w:t>
      </w:r>
      <w:proofErr w:type="spellStart"/>
      <w:r w:rsidRPr="00C50854">
        <w:rPr>
          <w:i/>
          <w:lang w:eastAsia="et-EE"/>
        </w:rPr>
        <w:t>benchmark</w:t>
      </w:r>
      <w:proofErr w:type="spellEnd"/>
      <w:r w:rsidRPr="00C50854">
        <w:rPr>
          <w:lang w:eastAsia="et-EE"/>
        </w:rPr>
        <w:t>) meetod“ seob ühe teenuse hinna teise võrreldava teenuse hinnaga (mõnikord ka teistes riikides osutatava võrreldava teenuse hinnaga) ja on iseäranis kasulik varem reguleerimata teenuste korral seni, kuni on välja töötatud asjakohased kuludele orienteerituse meetodid. Käesoleval ajal Telia juba rakendab „kuludele orienteeritud hinna arvestamise meetodi“ (kuluarvestuse TD FDC HC meetod) alusel arvestatud hindasid. „Kuludele orienteeritud hinna arvestamise meetodi“ põhine hind arvestab oluliselt rohkem kohaliku turu olukorraga ja eripäradega (rahvastiku tihedus, sidevõrkude katvus jne), kui  „võrreldavate hindade (</w:t>
      </w:r>
      <w:proofErr w:type="spellStart"/>
      <w:r w:rsidRPr="00C50854">
        <w:rPr>
          <w:lang w:eastAsia="et-EE"/>
        </w:rPr>
        <w:t>benchmark</w:t>
      </w:r>
      <w:proofErr w:type="spellEnd"/>
      <w:r w:rsidRPr="00C50854">
        <w:rPr>
          <w:lang w:eastAsia="et-EE"/>
        </w:rPr>
        <w:t>) meetodi“ kohased hinnad. Seega ei ole mõistlik ja otstarbekas võtta hindade määramisel kasutusele „võrreldavate hindade (</w:t>
      </w:r>
      <w:proofErr w:type="spellStart"/>
      <w:r w:rsidRPr="00C50854">
        <w:rPr>
          <w:lang w:eastAsia="et-EE"/>
        </w:rPr>
        <w:t>benchmark</w:t>
      </w:r>
      <w:proofErr w:type="spellEnd"/>
      <w:r w:rsidRPr="00C50854">
        <w:rPr>
          <w:lang w:eastAsia="et-EE"/>
        </w:rPr>
        <w:t>) meetod“.</w:t>
      </w:r>
    </w:p>
    <w:p w14:paraId="5841EA2E" w14:textId="77777777" w:rsidR="00D67E10" w:rsidRPr="00C50854" w:rsidRDefault="00D67E10" w:rsidP="00311E1F">
      <w:pPr>
        <w:numPr>
          <w:ilvl w:val="0"/>
          <w:numId w:val="13"/>
        </w:numPr>
        <w:suppressAutoHyphens w:val="0"/>
        <w:autoSpaceDE w:val="0"/>
        <w:autoSpaceDN w:val="0"/>
        <w:adjustRightInd w:val="0"/>
        <w:spacing w:before="240" w:after="120"/>
        <w:jc w:val="both"/>
        <w:rPr>
          <w:lang w:eastAsia="et-EE"/>
        </w:rPr>
      </w:pPr>
      <w:r w:rsidRPr="00C50854">
        <w:rPr>
          <w:lang w:eastAsia="et-EE"/>
        </w:rPr>
        <w:t xml:space="preserve"> „Kuludele orienteeritud hinna arvestamise meetod“ on kõige sobivamad olukorras, kus turujõud võrguteenuste pakkumise tasandil võimaldab märkimisväärse turujõuga ettevõtjal nõuda ülemääraseid hindu ja kus on ebatõenäoline, et märkimisväärse turujõuga ettevõtja turujõud konkurentsi abil mõistliku aja jooksul väheneks (eriti juhtudel, kus sidevõrgu dubleerimine on raskesti teostatav). Seda, et kohaliku juurdepääsu hulgiturul kasutatava juurdepääsuvõrgu osade dubleerimine on raskesti teostatav, põhjendas TTJA otsuse peatükis </w:t>
      </w:r>
      <w:r w:rsidRPr="00C50854">
        <w:rPr>
          <w:lang w:eastAsia="et-EE"/>
        </w:rPr>
        <w:fldChar w:fldCharType="begin"/>
      </w:r>
      <w:r w:rsidRPr="00C50854">
        <w:rPr>
          <w:lang w:eastAsia="et-EE"/>
        </w:rPr>
        <w:instrText xml:space="preserve"> REF _Ref465256007 \h  \* MERGEFORMAT </w:instrText>
      </w:r>
      <w:r w:rsidRPr="00C50854">
        <w:rPr>
          <w:lang w:eastAsia="et-EE"/>
        </w:rPr>
      </w:r>
      <w:r w:rsidRPr="00C50854">
        <w:rPr>
          <w:lang w:eastAsia="et-EE"/>
        </w:rPr>
        <w:fldChar w:fldCharType="separate"/>
      </w:r>
      <w:r w:rsidRPr="00C50854">
        <w:t>4.3.3. "Sisenemistõkked</w:t>
      </w:r>
      <w:r w:rsidRPr="00C50854">
        <w:rPr>
          <w:lang w:eastAsia="et-EE"/>
        </w:rPr>
        <w:fldChar w:fldCharType="end"/>
      </w:r>
      <w:r w:rsidRPr="00C50854">
        <w:rPr>
          <w:lang w:eastAsia="et-EE"/>
        </w:rPr>
        <w:t>“ (koos alapunktidega).</w:t>
      </w:r>
    </w:p>
    <w:p w14:paraId="73C1B96B"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„Kuludele orienteeritud hinna arvestamise meetodi“ kehtestamisel tuleb jälgida, et leitaks õige hinnatase. Eksisteerib oht kehtestada liiga madal juurdepääsuhind, kui ka oht kehtestada see liiga kõrgena, mis võimaldab ettevõtjal oma turujõudu ära kasutades saada ülemäärast kasumit ning takistada efektiivset sisenemist jaeturule. Hindamaks, kas valitud meetod on sobiv, peab arvestama, et need vastaksid ESS § 52 lõikes 2 esitatud kriteeriumitele</w:t>
      </w:r>
      <w:r w:rsidRPr="00C50854">
        <w:rPr>
          <w:vertAlign w:val="superscript"/>
          <w:lang w:eastAsia="et-EE"/>
        </w:rPr>
        <w:footnoteReference w:id="144"/>
      </w:r>
      <w:r w:rsidRPr="00C50854">
        <w:rPr>
          <w:lang w:eastAsia="et-EE"/>
        </w:rPr>
        <w:t xml:space="preserve">. </w:t>
      </w:r>
    </w:p>
    <w:p w14:paraId="69F320B3"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Olenevalt regulatsiooni eesmärgist saab „kuludele orienteeritud hinna arvestuse meetodi“ koostamisel lähtuda järgmistest valikutest:</w:t>
      </w:r>
    </w:p>
    <w:p w14:paraId="2F3A6359" w14:textId="77777777" w:rsidR="00D67E10" w:rsidRPr="00C50854" w:rsidRDefault="00D67E10" w:rsidP="00D67E10">
      <w:pPr>
        <w:numPr>
          <w:ilvl w:val="0"/>
          <w:numId w:val="20"/>
        </w:numPr>
        <w:suppressAutoHyphens w:val="0"/>
        <w:autoSpaceDE w:val="0"/>
        <w:autoSpaceDN w:val="0"/>
        <w:adjustRightInd w:val="0"/>
        <w:spacing w:before="120" w:after="120"/>
        <w:jc w:val="both"/>
        <w:rPr>
          <w:lang w:eastAsia="et-EE"/>
        </w:rPr>
      </w:pPr>
      <w:r w:rsidRPr="00C50854">
        <w:rPr>
          <w:lang w:eastAsia="et-EE"/>
        </w:rPr>
        <w:t>teenuse jaoks vajalike varade (sidevõrgu) mahu hindamise meetodid</w:t>
      </w:r>
    </w:p>
    <w:p w14:paraId="6E020B85" w14:textId="77777777" w:rsidR="00D67E10" w:rsidRPr="00C50854" w:rsidRDefault="00D67E10" w:rsidP="00D67E10">
      <w:pPr>
        <w:numPr>
          <w:ilvl w:val="1"/>
          <w:numId w:val="21"/>
        </w:numPr>
        <w:suppressAutoHyphens w:val="0"/>
        <w:autoSpaceDE w:val="0"/>
        <w:autoSpaceDN w:val="0"/>
        <w:adjustRightInd w:val="0"/>
        <w:spacing w:before="120" w:after="120"/>
        <w:jc w:val="both"/>
        <w:rPr>
          <w:lang w:eastAsia="et-EE"/>
        </w:rPr>
      </w:pPr>
      <w:r w:rsidRPr="00C50854">
        <w:rPr>
          <w:lang w:eastAsia="et-EE"/>
        </w:rPr>
        <w:lastRenderedPageBreak/>
        <w:t>tegelikult kasutusel olev sidevõrk ehk varasid hinnatakse ülevalt-alla (</w:t>
      </w:r>
      <w:proofErr w:type="spellStart"/>
      <w:r w:rsidRPr="00C50854">
        <w:rPr>
          <w:i/>
          <w:lang w:eastAsia="et-EE"/>
        </w:rPr>
        <w:t>top-down</w:t>
      </w:r>
      <w:proofErr w:type="spellEnd"/>
      <w:r w:rsidRPr="00C50854">
        <w:rPr>
          <w:lang w:eastAsia="et-EE"/>
        </w:rPr>
        <w:t>)</w:t>
      </w:r>
    </w:p>
    <w:p w14:paraId="5F80E460" w14:textId="77777777" w:rsidR="00D67E10" w:rsidRPr="00C50854" w:rsidRDefault="00D67E10" w:rsidP="00D67E10">
      <w:pPr>
        <w:numPr>
          <w:ilvl w:val="1"/>
          <w:numId w:val="21"/>
        </w:numPr>
        <w:suppressAutoHyphens w:val="0"/>
        <w:autoSpaceDE w:val="0"/>
        <w:autoSpaceDN w:val="0"/>
        <w:adjustRightInd w:val="0"/>
        <w:spacing w:before="120" w:after="120"/>
        <w:jc w:val="both"/>
        <w:rPr>
          <w:lang w:eastAsia="et-EE"/>
        </w:rPr>
      </w:pPr>
      <w:r w:rsidRPr="00C50854">
        <w:rPr>
          <w:lang w:eastAsia="et-EE"/>
        </w:rPr>
        <w:t>teoreetiliselt antud riigi jaoks optimaalseim ja efektiivsetele konkurentsitingimustele vastav sidevõrk ehk varasid hinnatakse alt-üles (</w:t>
      </w:r>
      <w:proofErr w:type="spellStart"/>
      <w:r w:rsidRPr="00C50854">
        <w:rPr>
          <w:i/>
          <w:lang w:eastAsia="et-EE"/>
        </w:rPr>
        <w:t>bottom-up</w:t>
      </w:r>
      <w:proofErr w:type="spellEnd"/>
      <w:r w:rsidRPr="00C50854">
        <w:rPr>
          <w:lang w:eastAsia="et-EE"/>
        </w:rPr>
        <w:t>)</w:t>
      </w:r>
    </w:p>
    <w:p w14:paraId="6EC628D7" w14:textId="77777777" w:rsidR="00D67E10" w:rsidRPr="00C50854" w:rsidRDefault="00D67E10" w:rsidP="00D67E10">
      <w:pPr>
        <w:numPr>
          <w:ilvl w:val="0"/>
          <w:numId w:val="20"/>
        </w:numPr>
        <w:suppressAutoHyphens w:val="0"/>
        <w:autoSpaceDE w:val="0"/>
        <w:autoSpaceDN w:val="0"/>
        <w:adjustRightInd w:val="0"/>
        <w:spacing w:before="120" w:after="120"/>
        <w:jc w:val="both"/>
        <w:rPr>
          <w:lang w:eastAsia="et-EE"/>
        </w:rPr>
      </w:pPr>
      <w:r w:rsidRPr="00C50854">
        <w:rPr>
          <w:lang w:eastAsia="et-EE"/>
        </w:rPr>
        <w:t>varade kulubaas</w:t>
      </w:r>
    </w:p>
    <w:p w14:paraId="4319A482" w14:textId="77777777" w:rsidR="00D67E10" w:rsidRPr="00C50854" w:rsidRDefault="00D67E10" w:rsidP="00D67E10">
      <w:pPr>
        <w:numPr>
          <w:ilvl w:val="1"/>
          <w:numId w:val="22"/>
        </w:numPr>
        <w:suppressAutoHyphens w:val="0"/>
        <w:autoSpaceDE w:val="0"/>
        <w:autoSpaceDN w:val="0"/>
        <w:adjustRightInd w:val="0"/>
        <w:spacing w:before="120" w:after="120"/>
        <w:jc w:val="both"/>
        <w:rPr>
          <w:lang w:eastAsia="et-EE"/>
        </w:rPr>
      </w:pPr>
      <w:r w:rsidRPr="00C50854">
        <w:rPr>
          <w:lang w:eastAsia="et-EE"/>
        </w:rPr>
        <w:t>varade tegelikud ajaloolised väärtused (</w:t>
      </w:r>
      <w:r w:rsidRPr="00C50854">
        <w:rPr>
          <w:i/>
          <w:lang w:eastAsia="et-EE"/>
        </w:rPr>
        <w:t>HCA</w:t>
      </w:r>
      <w:r w:rsidRPr="00C50854">
        <w:rPr>
          <w:lang w:eastAsia="et-EE"/>
        </w:rPr>
        <w:t xml:space="preserve"> - </w:t>
      </w:r>
      <w:proofErr w:type="spellStart"/>
      <w:r w:rsidRPr="00C50854">
        <w:rPr>
          <w:i/>
          <w:lang w:eastAsia="et-EE"/>
        </w:rPr>
        <w:t>historical</w:t>
      </w:r>
      <w:proofErr w:type="spellEnd"/>
      <w:r w:rsidRPr="00C50854">
        <w:rPr>
          <w:i/>
          <w:lang w:eastAsia="et-EE"/>
        </w:rPr>
        <w:t xml:space="preserve"> </w:t>
      </w:r>
      <w:proofErr w:type="spellStart"/>
      <w:r w:rsidRPr="00C50854">
        <w:rPr>
          <w:i/>
          <w:lang w:eastAsia="et-EE"/>
        </w:rPr>
        <w:t>cost</w:t>
      </w:r>
      <w:proofErr w:type="spellEnd"/>
      <w:r w:rsidRPr="00C50854">
        <w:rPr>
          <w:i/>
          <w:lang w:eastAsia="et-EE"/>
        </w:rPr>
        <w:t xml:space="preserve"> </w:t>
      </w:r>
      <w:proofErr w:type="spellStart"/>
      <w:r w:rsidRPr="00C50854">
        <w:rPr>
          <w:i/>
          <w:lang w:eastAsia="et-EE"/>
        </w:rPr>
        <w:t>accounting</w:t>
      </w:r>
      <w:proofErr w:type="spellEnd"/>
      <w:r w:rsidRPr="00C50854">
        <w:rPr>
          <w:lang w:eastAsia="et-EE"/>
        </w:rPr>
        <w:t>)</w:t>
      </w:r>
    </w:p>
    <w:p w14:paraId="49C8F85A" w14:textId="77777777" w:rsidR="00D67E10" w:rsidRPr="00C50854" w:rsidRDefault="00D67E10" w:rsidP="00D67E10">
      <w:pPr>
        <w:numPr>
          <w:ilvl w:val="1"/>
          <w:numId w:val="22"/>
        </w:numPr>
        <w:suppressAutoHyphens w:val="0"/>
        <w:autoSpaceDE w:val="0"/>
        <w:autoSpaceDN w:val="0"/>
        <w:adjustRightInd w:val="0"/>
        <w:spacing w:before="120" w:after="120"/>
        <w:jc w:val="both"/>
        <w:rPr>
          <w:lang w:eastAsia="et-EE"/>
        </w:rPr>
      </w:pPr>
      <w:r w:rsidRPr="00C50854">
        <w:rPr>
          <w:lang w:eastAsia="et-EE"/>
        </w:rPr>
        <w:t>varade käesoleva aja väärtused (</w:t>
      </w:r>
      <w:r w:rsidRPr="00C50854">
        <w:rPr>
          <w:i/>
          <w:lang w:eastAsia="et-EE"/>
        </w:rPr>
        <w:t xml:space="preserve">CCA - </w:t>
      </w:r>
      <w:proofErr w:type="spellStart"/>
      <w:r w:rsidRPr="00C50854">
        <w:rPr>
          <w:i/>
          <w:lang w:eastAsia="et-EE"/>
        </w:rPr>
        <w:t>current</w:t>
      </w:r>
      <w:proofErr w:type="spellEnd"/>
      <w:r w:rsidRPr="00C50854">
        <w:rPr>
          <w:i/>
          <w:lang w:eastAsia="et-EE"/>
        </w:rPr>
        <w:t xml:space="preserve"> </w:t>
      </w:r>
      <w:proofErr w:type="spellStart"/>
      <w:r w:rsidRPr="00C50854">
        <w:rPr>
          <w:i/>
          <w:lang w:eastAsia="et-EE"/>
        </w:rPr>
        <w:t>cost</w:t>
      </w:r>
      <w:proofErr w:type="spellEnd"/>
      <w:r w:rsidRPr="00C50854">
        <w:rPr>
          <w:i/>
          <w:lang w:eastAsia="et-EE"/>
        </w:rPr>
        <w:t xml:space="preserve"> </w:t>
      </w:r>
      <w:proofErr w:type="spellStart"/>
      <w:r w:rsidRPr="00C50854">
        <w:rPr>
          <w:i/>
          <w:lang w:eastAsia="et-EE"/>
        </w:rPr>
        <w:t>accounting</w:t>
      </w:r>
      <w:proofErr w:type="spellEnd"/>
      <w:r w:rsidRPr="00C50854">
        <w:rPr>
          <w:lang w:eastAsia="et-EE"/>
        </w:rPr>
        <w:t>)</w:t>
      </w:r>
    </w:p>
    <w:p w14:paraId="3DEC6877" w14:textId="77777777" w:rsidR="00D67E10" w:rsidRPr="00C50854" w:rsidRDefault="00D67E10" w:rsidP="00D67E10">
      <w:pPr>
        <w:numPr>
          <w:ilvl w:val="0"/>
          <w:numId w:val="20"/>
        </w:numPr>
        <w:suppressAutoHyphens w:val="0"/>
        <w:autoSpaceDE w:val="0"/>
        <w:autoSpaceDN w:val="0"/>
        <w:adjustRightInd w:val="0"/>
        <w:spacing w:before="120" w:after="120"/>
        <w:jc w:val="both"/>
        <w:rPr>
          <w:lang w:eastAsia="et-EE"/>
        </w:rPr>
      </w:pPr>
      <w:r w:rsidRPr="00C50854">
        <w:rPr>
          <w:lang w:eastAsia="et-EE"/>
        </w:rPr>
        <w:t>kulude jaotuse meetodid</w:t>
      </w:r>
    </w:p>
    <w:p w14:paraId="317079EB" w14:textId="77777777" w:rsidR="00D67E10" w:rsidRPr="00C50854" w:rsidRDefault="00D67E10" w:rsidP="00D67E10">
      <w:pPr>
        <w:numPr>
          <w:ilvl w:val="1"/>
          <w:numId w:val="23"/>
        </w:numPr>
        <w:suppressAutoHyphens w:val="0"/>
        <w:autoSpaceDE w:val="0"/>
        <w:autoSpaceDN w:val="0"/>
        <w:adjustRightInd w:val="0"/>
        <w:spacing w:before="120" w:after="120"/>
        <w:jc w:val="both"/>
        <w:rPr>
          <w:lang w:eastAsia="et-EE"/>
        </w:rPr>
      </w:pPr>
      <w:r w:rsidRPr="00C50854">
        <w:rPr>
          <w:lang w:eastAsia="et-EE"/>
        </w:rPr>
        <w:t>teenustele jaotatakse kõik kulud proportsionaalselt ehk täielikult jaotatud kulud (</w:t>
      </w:r>
      <w:r w:rsidRPr="00C50854">
        <w:rPr>
          <w:i/>
          <w:lang w:eastAsia="et-EE"/>
        </w:rPr>
        <w:t xml:space="preserve">FDC – </w:t>
      </w:r>
      <w:proofErr w:type="spellStart"/>
      <w:r w:rsidRPr="00C50854">
        <w:rPr>
          <w:i/>
          <w:lang w:eastAsia="et-EE"/>
        </w:rPr>
        <w:t>full</w:t>
      </w:r>
      <w:proofErr w:type="spellEnd"/>
      <w:r w:rsidRPr="00C50854">
        <w:rPr>
          <w:i/>
          <w:lang w:eastAsia="et-EE"/>
        </w:rPr>
        <w:t xml:space="preserve"> </w:t>
      </w:r>
      <w:proofErr w:type="spellStart"/>
      <w:r w:rsidRPr="00C50854">
        <w:rPr>
          <w:i/>
          <w:lang w:eastAsia="et-EE"/>
        </w:rPr>
        <w:t>distributed</w:t>
      </w:r>
      <w:proofErr w:type="spellEnd"/>
      <w:r w:rsidRPr="00C50854">
        <w:rPr>
          <w:i/>
          <w:lang w:eastAsia="et-EE"/>
        </w:rPr>
        <w:t xml:space="preserve"> </w:t>
      </w:r>
      <w:proofErr w:type="spellStart"/>
      <w:r w:rsidRPr="00C50854">
        <w:rPr>
          <w:i/>
          <w:lang w:eastAsia="et-EE"/>
        </w:rPr>
        <w:t>costs</w:t>
      </w:r>
      <w:proofErr w:type="spellEnd"/>
      <w:r w:rsidRPr="00C50854">
        <w:rPr>
          <w:lang w:eastAsia="et-EE"/>
        </w:rPr>
        <w:t>)</w:t>
      </w:r>
    </w:p>
    <w:p w14:paraId="4301FA4C" w14:textId="77777777" w:rsidR="00D67E10" w:rsidRPr="00C50854" w:rsidRDefault="00D67E10" w:rsidP="00D67E10">
      <w:pPr>
        <w:numPr>
          <w:ilvl w:val="1"/>
          <w:numId w:val="23"/>
        </w:numPr>
        <w:suppressAutoHyphens w:val="0"/>
        <w:autoSpaceDE w:val="0"/>
        <w:autoSpaceDN w:val="0"/>
        <w:adjustRightInd w:val="0"/>
        <w:spacing w:before="120" w:after="120"/>
        <w:jc w:val="both"/>
        <w:rPr>
          <w:lang w:eastAsia="et-EE"/>
        </w:rPr>
      </w:pPr>
      <w:r w:rsidRPr="00C50854">
        <w:rPr>
          <w:lang w:eastAsia="et-EE"/>
        </w:rPr>
        <w:t>teenusele jaotatakse ainult kulud, mis ei eksisteeri (välditavad kulud), kui teenust ei osutata ehk teenusega lisanduvad kulud (</w:t>
      </w:r>
      <w:r w:rsidRPr="00C50854">
        <w:rPr>
          <w:i/>
          <w:lang w:eastAsia="et-EE"/>
        </w:rPr>
        <w:t xml:space="preserve">IC – </w:t>
      </w:r>
      <w:proofErr w:type="spellStart"/>
      <w:r w:rsidRPr="00C50854">
        <w:rPr>
          <w:i/>
          <w:lang w:eastAsia="et-EE"/>
        </w:rPr>
        <w:t>incremental</w:t>
      </w:r>
      <w:proofErr w:type="spellEnd"/>
      <w:r w:rsidRPr="00C50854">
        <w:rPr>
          <w:i/>
          <w:lang w:eastAsia="et-EE"/>
        </w:rPr>
        <w:t xml:space="preserve"> </w:t>
      </w:r>
      <w:proofErr w:type="spellStart"/>
      <w:r w:rsidRPr="00C50854">
        <w:rPr>
          <w:i/>
          <w:lang w:eastAsia="et-EE"/>
        </w:rPr>
        <w:t>costs</w:t>
      </w:r>
      <w:proofErr w:type="spellEnd"/>
      <w:r w:rsidRPr="00C50854">
        <w:rPr>
          <w:lang w:eastAsia="et-EE"/>
        </w:rPr>
        <w:t xml:space="preserve">) </w:t>
      </w:r>
    </w:p>
    <w:p w14:paraId="3DEC0BDA" w14:textId="77777777" w:rsidR="00D67E10" w:rsidRPr="00C50854" w:rsidRDefault="00D67E10" w:rsidP="00D67E10">
      <w:pPr>
        <w:numPr>
          <w:ilvl w:val="2"/>
          <w:numId w:val="24"/>
        </w:numPr>
        <w:suppressAutoHyphens w:val="0"/>
        <w:autoSpaceDE w:val="0"/>
        <w:autoSpaceDN w:val="0"/>
        <w:adjustRightInd w:val="0"/>
        <w:spacing w:before="120" w:after="120"/>
        <w:jc w:val="both"/>
        <w:rPr>
          <w:lang w:eastAsia="et-EE"/>
        </w:rPr>
      </w:pPr>
      <w:r w:rsidRPr="00C50854">
        <w:rPr>
          <w:lang w:eastAsia="et-EE"/>
        </w:rPr>
        <w:t>teenusele jaotatakse ainult kliendiliiniga otse seotud pikaajaliselt lisanduvad kulud   (</w:t>
      </w:r>
      <w:r w:rsidRPr="00C50854">
        <w:rPr>
          <w:i/>
          <w:lang w:eastAsia="et-EE"/>
        </w:rPr>
        <w:t xml:space="preserve">pure LRIC – pure </w:t>
      </w:r>
      <w:proofErr w:type="spellStart"/>
      <w:r w:rsidRPr="00C50854">
        <w:rPr>
          <w:i/>
          <w:lang w:eastAsia="et-EE"/>
        </w:rPr>
        <w:t>long</w:t>
      </w:r>
      <w:proofErr w:type="spellEnd"/>
      <w:r w:rsidRPr="00C50854">
        <w:rPr>
          <w:i/>
          <w:lang w:eastAsia="et-EE"/>
        </w:rPr>
        <w:t xml:space="preserve"> </w:t>
      </w:r>
      <w:proofErr w:type="spellStart"/>
      <w:r w:rsidRPr="00C50854">
        <w:rPr>
          <w:i/>
          <w:lang w:eastAsia="et-EE"/>
        </w:rPr>
        <w:t>run</w:t>
      </w:r>
      <w:proofErr w:type="spellEnd"/>
      <w:r w:rsidRPr="00C50854">
        <w:rPr>
          <w:i/>
          <w:lang w:eastAsia="et-EE"/>
        </w:rPr>
        <w:t xml:space="preserve"> </w:t>
      </w:r>
      <w:proofErr w:type="spellStart"/>
      <w:r w:rsidRPr="00C50854">
        <w:rPr>
          <w:i/>
          <w:lang w:eastAsia="et-EE"/>
        </w:rPr>
        <w:t>incremental</w:t>
      </w:r>
      <w:proofErr w:type="spellEnd"/>
      <w:r w:rsidRPr="00C50854">
        <w:rPr>
          <w:i/>
          <w:lang w:eastAsia="et-EE"/>
        </w:rPr>
        <w:t xml:space="preserve"> </w:t>
      </w:r>
      <w:proofErr w:type="spellStart"/>
      <w:r w:rsidRPr="00C50854">
        <w:rPr>
          <w:i/>
          <w:lang w:eastAsia="et-EE"/>
        </w:rPr>
        <w:t>costs</w:t>
      </w:r>
      <w:proofErr w:type="spellEnd"/>
      <w:r w:rsidRPr="00C50854">
        <w:rPr>
          <w:lang w:eastAsia="et-EE"/>
        </w:rPr>
        <w:t>)</w:t>
      </w:r>
    </w:p>
    <w:p w14:paraId="238F86A9" w14:textId="77777777" w:rsidR="00D67E10" w:rsidRPr="00C50854" w:rsidRDefault="00D67E10" w:rsidP="00D67E10">
      <w:pPr>
        <w:numPr>
          <w:ilvl w:val="2"/>
          <w:numId w:val="24"/>
        </w:numPr>
        <w:suppressAutoHyphens w:val="0"/>
        <w:autoSpaceDE w:val="0"/>
        <w:autoSpaceDN w:val="0"/>
        <w:adjustRightInd w:val="0"/>
        <w:spacing w:before="120" w:after="120"/>
        <w:jc w:val="both"/>
        <w:rPr>
          <w:lang w:eastAsia="et-EE"/>
        </w:rPr>
      </w:pPr>
      <w:r w:rsidRPr="00C50854">
        <w:rPr>
          <w:lang w:eastAsia="et-EE"/>
        </w:rPr>
        <w:t>teenusele jaotatakse kliendiliiniga otse ja kaudselt seotud pikaajaliselt lisanduvad kulud (</w:t>
      </w:r>
      <w:r w:rsidRPr="00C50854">
        <w:rPr>
          <w:i/>
          <w:lang w:eastAsia="et-EE"/>
        </w:rPr>
        <w:t xml:space="preserve">LRIC - </w:t>
      </w:r>
      <w:proofErr w:type="spellStart"/>
      <w:r w:rsidRPr="00C50854">
        <w:rPr>
          <w:i/>
          <w:lang w:eastAsia="et-EE"/>
        </w:rPr>
        <w:t>long</w:t>
      </w:r>
      <w:proofErr w:type="spellEnd"/>
      <w:r w:rsidRPr="00C50854">
        <w:rPr>
          <w:i/>
          <w:lang w:eastAsia="et-EE"/>
        </w:rPr>
        <w:t xml:space="preserve"> </w:t>
      </w:r>
      <w:proofErr w:type="spellStart"/>
      <w:r w:rsidRPr="00C50854">
        <w:rPr>
          <w:i/>
          <w:lang w:eastAsia="et-EE"/>
        </w:rPr>
        <w:t>run</w:t>
      </w:r>
      <w:proofErr w:type="spellEnd"/>
      <w:r w:rsidRPr="00C50854">
        <w:rPr>
          <w:i/>
          <w:lang w:eastAsia="et-EE"/>
        </w:rPr>
        <w:t xml:space="preserve"> </w:t>
      </w:r>
      <w:proofErr w:type="spellStart"/>
      <w:r w:rsidRPr="00C50854">
        <w:rPr>
          <w:i/>
          <w:lang w:eastAsia="et-EE"/>
        </w:rPr>
        <w:t>incremental</w:t>
      </w:r>
      <w:proofErr w:type="spellEnd"/>
      <w:r w:rsidRPr="00C50854">
        <w:rPr>
          <w:i/>
          <w:lang w:eastAsia="et-EE"/>
        </w:rPr>
        <w:t xml:space="preserve"> </w:t>
      </w:r>
      <w:proofErr w:type="spellStart"/>
      <w:r w:rsidRPr="00C50854">
        <w:rPr>
          <w:i/>
          <w:lang w:eastAsia="et-EE"/>
        </w:rPr>
        <w:t>costs</w:t>
      </w:r>
      <w:proofErr w:type="spellEnd"/>
      <w:r w:rsidRPr="00C50854">
        <w:rPr>
          <w:lang w:eastAsia="et-EE"/>
        </w:rPr>
        <w:t xml:space="preserve">) </w:t>
      </w:r>
    </w:p>
    <w:p w14:paraId="542DBA6A" w14:textId="77777777" w:rsidR="00D67E10" w:rsidRPr="00C50854" w:rsidRDefault="00D67E10" w:rsidP="00D67E10">
      <w:pPr>
        <w:numPr>
          <w:ilvl w:val="2"/>
          <w:numId w:val="24"/>
        </w:numPr>
        <w:suppressAutoHyphens w:val="0"/>
        <w:autoSpaceDE w:val="0"/>
        <w:autoSpaceDN w:val="0"/>
        <w:adjustRightInd w:val="0"/>
        <w:spacing w:before="120" w:after="120"/>
        <w:jc w:val="both"/>
        <w:rPr>
          <w:lang w:eastAsia="et-EE"/>
        </w:rPr>
      </w:pPr>
      <w:r w:rsidRPr="00C50854">
        <w:rPr>
          <w:lang w:eastAsia="et-EE"/>
        </w:rPr>
        <w:t>teenusele jaotatakse kliendiliiniga otse ja kaudselt seotud pikaajalised lisanduvad kulud ning teatud osa üldistest püsikuludest (</w:t>
      </w:r>
      <w:r w:rsidRPr="00C50854">
        <w:rPr>
          <w:i/>
          <w:lang w:eastAsia="et-EE"/>
        </w:rPr>
        <w:t xml:space="preserve">LRIC+  </w:t>
      </w:r>
      <w:proofErr w:type="spellStart"/>
      <w:r w:rsidRPr="00C50854">
        <w:rPr>
          <w:i/>
          <w:lang w:eastAsia="et-EE"/>
        </w:rPr>
        <w:t>long</w:t>
      </w:r>
      <w:proofErr w:type="spellEnd"/>
      <w:r w:rsidRPr="00C50854">
        <w:rPr>
          <w:i/>
          <w:lang w:eastAsia="et-EE"/>
        </w:rPr>
        <w:t xml:space="preserve"> </w:t>
      </w:r>
      <w:proofErr w:type="spellStart"/>
      <w:r w:rsidRPr="00C50854">
        <w:rPr>
          <w:i/>
          <w:lang w:eastAsia="et-EE"/>
        </w:rPr>
        <w:t>run</w:t>
      </w:r>
      <w:proofErr w:type="spellEnd"/>
      <w:r w:rsidRPr="00C50854">
        <w:rPr>
          <w:i/>
          <w:lang w:eastAsia="et-EE"/>
        </w:rPr>
        <w:t xml:space="preserve"> </w:t>
      </w:r>
      <w:proofErr w:type="spellStart"/>
      <w:r w:rsidRPr="00C50854">
        <w:rPr>
          <w:i/>
          <w:lang w:eastAsia="et-EE"/>
        </w:rPr>
        <w:t>incremental</w:t>
      </w:r>
      <w:proofErr w:type="spellEnd"/>
      <w:r w:rsidRPr="00C50854">
        <w:rPr>
          <w:i/>
          <w:lang w:eastAsia="et-EE"/>
        </w:rPr>
        <w:t xml:space="preserve"> </w:t>
      </w:r>
      <w:proofErr w:type="spellStart"/>
      <w:r w:rsidRPr="00C50854">
        <w:rPr>
          <w:i/>
          <w:lang w:eastAsia="et-EE"/>
        </w:rPr>
        <w:t>costs</w:t>
      </w:r>
      <w:proofErr w:type="spellEnd"/>
      <w:r w:rsidRPr="00C50854">
        <w:rPr>
          <w:i/>
          <w:lang w:eastAsia="et-EE"/>
        </w:rPr>
        <w:t xml:space="preserve"> </w:t>
      </w:r>
      <w:proofErr w:type="spellStart"/>
      <w:r w:rsidRPr="00C50854">
        <w:rPr>
          <w:i/>
          <w:lang w:eastAsia="et-EE"/>
        </w:rPr>
        <w:t>plus</w:t>
      </w:r>
      <w:proofErr w:type="spellEnd"/>
      <w:r w:rsidRPr="00C50854">
        <w:rPr>
          <w:lang w:eastAsia="et-EE"/>
        </w:rPr>
        <w:t xml:space="preserve">) </w:t>
      </w:r>
    </w:p>
    <w:p w14:paraId="7955571C"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Iga eelkirjeldatud erinev valik „kuludele orienteeritud hinna arvestamise meetodi“ koostamisel annab tulemuseks erineva teenuse hinna. EK kuluarvestuse soovituses</w:t>
      </w:r>
      <w:r w:rsidRPr="00C50854">
        <w:rPr>
          <w:vertAlign w:val="superscript"/>
          <w:lang w:eastAsia="et-EE"/>
        </w:rPr>
        <w:footnoteReference w:id="145"/>
      </w:r>
      <w:r w:rsidRPr="00C50854">
        <w:rPr>
          <w:lang w:eastAsia="et-EE"/>
        </w:rPr>
        <w:t xml:space="preserve"> leiab Euroopa Komisjon kokkuvõtvalt, et vaskpaarile juurdepääsu ja valguskaabli fiidersegmendi kiule juurdepääsu hindade arvestamisel tuleks rakendada alt-üles pikaajaliste lisanduvate kulude arvestamise täiendatud meetodit (edaspidi </w:t>
      </w:r>
      <w:r w:rsidRPr="00C50854">
        <w:rPr>
          <w:i/>
          <w:lang w:eastAsia="et-EE"/>
        </w:rPr>
        <w:t>BU LRIC+ meetod</w:t>
      </w:r>
      <w:r w:rsidRPr="00C50854">
        <w:rPr>
          <w:lang w:eastAsia="et-EE"/>
        </w:rPr>
        <w:t>), mille abil on võimalik prognoosida jooksevkulusid, mida hüpoteetiline tõhus operaator kannaks tänapäevase tõhusa võrgu, st järgmise põlvkonna juurdepääsuvõrgu ehitamise korral. Samas ei peaks eeldama, et järgmise põlvkonna juurdepääsuvõrgu kasutuselevõtuks tuleks ehitada täiesti uus tsiviilehituse infrastruktuuri võrk (sh kaablikanalisatsioon). Tsiviilehituse infrastruktuuri puhul peaksid riikide reguleerivad asutused määrama reguleeritavate varade väärtuseks sellise raamatupidamisväärtuse, millest on maha arvatud arvutamise hetkel valitsev akumuleeritud kulum ning mida on indekseeritud asjakohase hinnaindeksi, näiteks jaehinnaindeksiga. Kulupõhiste juurdepääsuhindade arvestamiseks võib kohaldada ka soovitatavast BU LRIC+ meetodist erinevat meetodit, kui see kehtis EK kuluarvestuse soovituse jõustumise ajal ja vastab järgmistele eesmärkidele ja kriteeriumidele:</w:t>
      </w:r>
    </w:p>
    <w:p w14:paraId="59FBCEDF" w14:textId="77777777" w:rsidR="00D67E10" w:rsidRPr="00C50854" w:rsidRDefault="00D67E10" w:rsidP="00D67E10">
      <w:pPr>
        <w:suppressAutoHyphens w:val="0"/>
        <w:autoSpaceDE w:val="0"/>
        <w:autoSpaceDN w:val="0"/>
        <w:adjustRightInd w:val="0"/>
        <w:spacing w:before="120" w:after="120"/>
        <w:ind w:left="708"/>
        <w:jc w:val="both"/>
        <w:rPr>
          <w:lang w:eastAsia="et-EE"/>
        </w:rPr>
      </w:pPr>
      <w:r w:rsidRPr="00C50854">
        <w:rPr>
          <w:lang w:eastAsia="et-EE"/>
        </w:rPr>
        <w:t xml:space="preserve">1) Kuluarvestuse meetodi tulemusel kujunevad juurdepääsuhinnad, mis vastavad võimalikult suurel määral tõhusal konkurentsivõimelisel turul oodatavatele hindadele. Selline kuluarvestuse meetod peaks põhinema tänapäevasel tõhusal võrgul, peegeldama vajadust tagada aja jooksul stabiilsed ja prognoositavad vaskpaar-juurdepääsuvõrguga seotud hulgimüügihinnad, mille abil välditakse märkimisväärseid hinnakõikumisi ja -šokke, et pakkuda selget raamistikku investeerimiseks, ning selle abil peab olema võimalik määrata kulupõhiseid vaskpaar-juurdepääsuvõrguga seotud hulgimüügihindu, mis toimivad ankruna järgmise põlvkonna juurdepääsuvõrgu teenuste puhul, ning tulla toime asjakohaselt ja järjepidevalt vähenevatest mahtudest tuleneva mõjuga, mida põhjustab üleminek vaskpaar-võrkudelt järgmise põlvkonna juurdepääsuvõrkudele, st kuluarvestuse </w:t>
      </w:r>
      <w:r w:rsidRPr="00C50854">
        <w:rPr>
          <w:lang w:eastAsia="et-EE"/>
        </w:rPr>
        <w:lastRenderedPageBreak/>
        <w:t>meetod peaks võimaldama vältida vaskpaar-juurdepääsuvõrguga seotud hulgimüügihindade kunstlikku tõusu, mis muidu leiaks aset selle tulemusel, kui kliendid lähevad üle märkimisväärse turujõuga ettevõtja järgmise põlvkonna juurdepääsuvõrku.</w:t>
      </w:r>
    </w:p>
    <w:p w14:paraId="2C3C2B09" w14:textId="50AE1F80" w:rsidR="00D67E10" w:rsidRPr="00C50854" w:rsidRDefault="00D67E10" w:rsidP="00D67E10">
      <w:pPr>
        <w:suppressAutoHyphens w:val="0"/>
        <w:autoSpaceDE w:val="0"/>
        <w:autoSpaceDN w:val="0"/>
        <w:adjustRightInd w:val="0"/>
        <w:spacing w:before="120" w:after="120"/>
        <w:ind w:left="708"/>
        <w:jc w:val="both"/>
        <w:rPr>
          <w:lang w:eastAsia="et-EE"/>
        </w:rPr>
      </w:pPr>
      <w:r w:rsidRPr="00C50854">
        <w:rPr>
          <w:lang w:eastAsia="et-EE"/>
        </w:rPr>
        <w:t xml:space="preserve">2) Kulude tagasiteenimine on kuluarvestuse meetodi peamine põhimõte. Sellega tagatakse, et </w:t>
      </w:r>
      <w:r w:rsidR="002A5D20" w:rsidRPr="00C50854">
        <w:rPr>
          <w:lang w:eastAsia="et-EE"/>
        </w:rPr>
        <w:t>sideettevõtja</w:t>
      </w:r>
      <w:r w:rsidRPr="00C50854">
        <w:rPr>
          <w:lang w:eastAsia="et-EE"/>
        </w:rPr>
        <w:t>d suudavad katta kulusid, mis on kantud tõhusa tegevuse käigus, ning saada asjakohast tulu investeeritud kapitalilt.</w:t>
      </w:r>
    </w:p>
    <w:p w14:paraId="1B4BD2EF" w14:textId="77777777" w:rsidR="00D67E10" w:rsidRPr="00C50854" w:rsidRDefault="00D67E10" w:rsidP="00D67E10">
      <w:pPr>
        <w:suppressAutoHyphens w:val="0"/>
        <w:autoSpaceDE w:val="0"/>
        <w:autoSpaceDN w:val="0"/>
        <w:adjustRightInd w:val="0"/>
        <w:spacing w:before="120" w:after="120"/>
        <w:ind w:left="708"/>
        <w:jc w:val="both"/>
        <w:rPr>
          <w:lang w:eastAsia="et-EE"/>
        </w:rPr>
      </w:pPr>
      <w:r w:rsidRPr="00C50854">
        <w:rPr>
          <w:lang w:eastAsia="et-EE"/>
        </w:rPr>
        <w:t>3) Kuluarvestuse meetod, mis annab nn asjakohaseid ostu- või müügisignaale, võimaldab saavutada sobiva tasakaalu tõhusa turule sisenemise tagamise ning piisavate investeerimisstiimulite ja eelkõige järgmise põlvkonna juurdepääsuvõrkude kasutuselevõtu vahel ning seeläbi osutada uusi, kiiremaid ja parema kvaliteediga lairibateenuseid.</w:t>
      </w:r>
    </w:p>
    <w:p w14:paraId="46E7EC6C" w14:textId="77777777" w:rsidR="00D67E10" w:rsidRPr="00C50854" w:rsidRDefault="00D67E10" w:rsidP="00D67E10">
      <w:pPr>
        <w:suppressAutoHyphens w:val="0"/>
        <w:autoSpaceDE w:val="0"/>
        <w:autoSpaceDN w:val="0"/>
        <w:adjustRightInd w:val="0"/>
        <w:spacing w:before="120" w:after="120"/>
        <w:ind w:left="708"/>
        <w:jc w:val="both"/>
        <w:rPr>
          <w:lang w:eastAsia="et-EE"/>
        </w:rPr>
      </w:pPr>
      <w:r w:rsidRPr="00C50854">
        <w:rPr>
          <w:lang w:eastAsia="et-EE"/>
        </w:rPr>
        <w:t>4) Kuluarvestuse meetodiga peaks olema võimalik tagada liidus läbipaistvus ja ühtsus. Samuti peaks sellega olema võimalik tagada, et ühtse mudeli abil peegeldatakse konkreetseid siseriiklikke olusid.</w:t>
      </w:r>
    </w:p>
    <w:p w14:paraId="4A65BDA8" w14:textId="77777777" w:rsidR="00D67E10" w:rsidRPr="00C50854" w:rsidRDefault="00D67E10" w:rsidP="00D67E10">
      <w:pPr>
        <w:suppressAutoHyphens w:val="0"/>
        <w:autoSpaceDE w:val="0"/>
        <w:autoSpaceDN w:val="0"/>
        <w:adjustRightInd w:val="0"/>
        <w:spacing w:before="120" w:after="120"/>
        <w:ind w:left="708"/>
        <w:jc w:val="both"/>
        <w:rPr>
          <w:lang w:eastAsia="et-EE"/>
        </w:rPr>
      </w:pPr>
      <w:r w:rsidRPr="00C50854">
        <w:rPr>
          <w:lang w:eastAsia="et-EE"/>
        </w:rPr>
        <w:t>5) Kui ei modelleerita järgmise põlvkonna juurdepääsuvõrku, peaks see kuluarvestuse meetod peegeldama järkjärgulist üleminekut vaskpaar-võrgult järgmise põlvkonna juurdepääsuvõrgule.</w:t>
      </w:r>
    </w:p>
    <w:p w14:paraId="3C29A861" w14:textId="77777777" w:rsidR="00D67E10" w:rsidRPr="00C50854" w:rsidRDefault="00D67E10" w:rsidP="00D67E10">
      <w:pPr>
        <w:suppressAutoHyphens w:val="0"/>
        <w:autoSpaceDE w:val="0"/>
        <w:autoSpaceDN w:val="0"/>
        <w:adjustRightInd w:val="0"/>
        <w:spacing w:before="120" w:after="120"/>
        <w:ind w:left="708"/>
        <w:jc w:val="both"/>
        <w:rPr>
          <w:lang w:eastAsia="et-EE"/>
        </w:rPr>
      </w:pPr>
      <w:r w:rsidRPr="00C50854">
        <w:rPr>
          <w:lang w:eastAsia="et-EE"/>
        </w:rPr>
        <w:t>6) Kuluarvestuse meetod peaks võimaldama kohaldada sellist varade väärtuse hindamise meetodit, mille puhul võetakse arvesse, et teatavaid tsiviilehituse infrastruktuuri varasid ei dubleerita konkurentsiprotsessis.</w:t>
      </w:r>
    </w:p>
    <w:p w14:paraId="252D5C9E" w14:textId="77777777" w:rsidR="00D67E10" w:rsidRPr="00C50854" w:rsidRDefault="00D67E10" w:rsidP="00D67E10">
      <w:pPr>
        <w:suppressAutoHyphens w:val="0"/>
        <w:autoSpaceDE w:val="0"/>
        <w:autoSpaceDN w:val="0"/>
        <w:adjustRightInd w:val="0"/>
        <w:spacing w:before="120" w:after="120"/>
        <w:ind w:left="708"/>
        <w:jc w:val="both"/>
        <w:rPr>
          <w:lang w:eastAsia="et-EE"/>
        </w:rPr>
      </w:pPr>
      <w:r w:rsidRPr="00C50854">
        <w:rPr>
          <w:lang w:eastAsia="et-EE"/>
        </w:rPr>
        <w:t xml:space="preserve">7) Kuluarvestuse meetodile peavad olema lisatud vaskpaar-juurdepääsuvõrgu hindade dokumenteeritud prognoosid, mis tõendavad, et need hinnad ei kõigu märkimisväärselt ja püsivad seega stabiilsed pika aja jooksul ning et alternatiivne meetod vastab regulatiivse läbipaistvuse ja </w:t>
      </w:r>
      <w:proofErr w:type="spellStart"/>
      <w:r w:rsidRPr="00C50854">
        <w:rPr>
          <w:lang w:eastAsia="et-EE"/>
        </w:rPr>
        <w:t>prognoositavuse</w:t>
      </w:r>
      <w:proofErr w:type="spellEnd"/>
      <w:r w:rsidRPr="00C50854">
        <w:rPr>
          <w:lang w:eastAsia="et-EE"/>
        </w:rPr>
        <w:t xml:space="preserve"> põhimõtetele ning arvestab samuti vajadusega tagada hinnastabiilsus.</w:t>
      </w:r>
    </w:p>
    <w:p w14:paraId="5846E8E5" w14:textId="77777777" w:rsidR="00D67E10" w:rsidRPr="00C50854" w:rsidRDefault="00D67E10" w:rsidP="00D67E10">
      <w:pPr>
        <w:suppressAutoHyphens w:val="0"/>
        <w:autoSpaceDE w:val="0"/>
        <w:autoSpaceDN w:val="0"/>
        <w:adjustRightInd w:val="0"/>
        <w:spacing w:before="120" w:after="120"/>
        <w:ind w:left="708"/>
        <w:jc w:val="both"/>
        <w:rPr>
          <w:lang w:eastAsia="et-EE"/>
        </w:rPr>
      </w:pPr>
      <w:r w:rsidRPr="00C50854">
        <w:rPr>
          <w:lang w:eastAsia="et-EE"/>
        </w:rPr>
        <w:t>8) Eeltoodud lõikude 5-7 nimetatud kriteeriumite täitmiseks tuleks selles liikmesriigis juba kehtivat kuluarvestuse meetodit muuta minimaalselt.</w:t>
      </w:r>
    </w:p>
    <w:p w14:paraId="33618EA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 Järgnevalt analüüsitakse kuludele orienteeritud hinna arvestamise meetodites kasutatavaid teenuse jaoks vajalike varade mahu, kulubaaside ja kulude jaotuse hindamise meetodeid.</w:t>
      </w:r>
    </w:p>
    <w:p w14:paraId="40AB7BDB"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558" w:name="_Ref464569373"/>
      <w:r w:rsidRPr="00C50854">
        <w:rPr>
          <w:lang w:eastAsia="et-EE"/>
        </w:rPr>
        <w:t>Reguleeritud teenuste hinna arvestamist mõjutab oluliselt see, kas varade hindamisel võetakse aluseks tegelikult kasutusel olev sidevõrgu maht ehk kas varasid hinnatakse ülevalt-alla (</w:t>
      </w:r>
      <w:proofErr w:type="spellStart"/>
      <w:r w:rsidRPr="00C50854">
        <w:rPr>
          <w:i/>
          <w:lang w:eastAsia="et-EE"/>
        </w:rPr>
        <w:t>top-down</w:t>
      </w:r>
      <w:proofErr w:type="spellEnd"/>
      <w:r w:rsidRPr="00C50854">
        <w:rPr>
          <w:lang w:eastAsia="et-EE"/>
        </w:rPr>
        <w:t>) või võetakse aluseks teoreetiliselt antud riigi jaoks optimaalseim sidevõrgu maht ehk hinnatakse varasid alt-üles (</w:t>
      </w:r>
      <w:proofErr w:type="spellStart"/>
      <w:r w:rsidRPr="00C50854">
        <w:rPr>
          <w:i/>
          <w:lang w:eastAsia="et-EE"/>
        </w:rPr>
        <w:t>bottom-up</w:t>
      </w:r>
      <w:proofErr w:type="spellEnd"/>
      <w:r w:rsidRPr="00C50854">
        <w:rPr>
          <w:lang w:eastAsia="et-EE"/>
        </w:rPr>
        <w:t>) meetodist lähtuvalt. Nii reguleeritavale sideettevõtjale, kui ka regulaatorile on ressursse säästvam ülevalt-alla varade hindamise meetod, sest sellisel juhul jääb ära komplitseeritud ja ressursimahukas „ideaalse“ sidevõrgu modelleerimine. Varade alt-üles (</w:t>
      </w:r>
      <w:proofErr w:type="spellStart"/>
      <w:r w:rsidRPr="00C50854">
        <w:rPr>
          <w:i/>
          <w:lang w:eastAsia="et-EE"/>
        </w:rPr>
        <w:t>bottom-up</w:t>
      </w:r>
      <w:proofErr w:type="spellEnd"/>
      <w:r w:rsidRPr="00C50854">
        <w:rPr>
          <w:lang w:eastAsia="et-EE"/>
        </w:rPr>
        <w:t>) hindamist kasutataks eesmärgiga välistada juba olemasoleva monopoolse sidevõrgu ebaefektiivsusi. Kuna Eestis on andmeside- ja kõneteenuste turul sideettevõtjate vaheline konkurents (kui võtta arvesse ka mobiiltelefoni võrgu operaatoreid) tihe, siis on vähetõenäoline, et Telia sidevõrk sisaldaks olulisi ebaefektiivsusi, mida tuleks alt-üles (</w:t>
      </w:r>
      <w:proofErr w:type="spellStart"/>
      <w:r w:rsidRPr="00C50854">
        <w:rPr>
          <w:i/>
          <w:lang w:eastAsia="et-EE"/>
        </w:rPr>
        <w:t>bottom-up</w:t>
      </w:r>
      <w:proofErr w:type="spellEnd"/>
      <w:r w:rsidRPr="00C50854">
        <w:rPr>
          <w:lang w:eastAsia="et-EE"/>
        </w:rPr>
        <w:t>) mudeliga korrigeerida.</w:t>
      </w:r>
      <w:bookmarkEnd w:id="558"/>
    </w:p>
    <w:p w14:paraId="0DBB67D0" w14:textId="18BA60D5" w:rsidR="00D67E10" w:rsidRPr="00C50854" w:rsidRDefault="00D67E10" w:rsidP="00311E1F">
      <w:pPr>
        <w:numPr>
          <w:ilvl w:val="0"/>
          <w:numId w:val="13"/>
        </w:numPr>
        <w:spacing w:before="120" w:after="120"/>
        <w:jc w:val="both"/>
        <w:rPr>
          <w:lang w:eastAsia="et-EE"/>
        </w:rPr>
      </w:pPr>
      <w:r w:rsidRPr="00C50854">
        <w:rPr>
          <w:lang w:eastAsia="et-EE"/>
        </w:rPr>
        <w:t xml:space="preserve">Euroopa riikide sideturu regulaatorite poolt kasutatakse kohaliku juurdepääsu turul (vt </w:t>
      </w:r>
      <w:r w:rsidR="0090523D" w:rsidRPr="00C50854">
        <w:rPr>
          <w:lang w:eastAsia="et-EE"/>
        </w:rPr>
        <w:fldChar w:fldCharType="begin"/>
      </w:r>
      <w:r w:rsidR="0090523D" w:rsidRPr="00C50854">
        <w:rPr>
          <w:lang w:eastAsia="et-EE"/>
        </w:rPr>
        <w:instrText xml:space="preserve"> REF _Ref40787193 \h </w:instrText>
      </w:r>
      <w:r w:rsidR="0040093D" w:rsidRPr="00C50854">
        <w:rPr>
          <w:lang w:eastAsia="et-EE"/>
        </w:rPr>
        <w:instrText xml:space="preserve"> \* MERGEFORMAT </w:instrText>
      </w:r>
      <w:r w:rsidR="0090523D" w:rsidRPr="00C50854">
        <w:rPr>
          <w:lang w:eastAsia="et-EE"/>
        </w:rPr>
      </w:r>
      <w:r w:rsidR="0090523D" w:rsidRPr="00C50854">
        <w:rPr>
          <w:lang w:eastAsia="et-EE"/>
        </w:rPr>
        <w:fldChar w:fldCharType="separate"/>
      </w:r>
      <w:r w:rsidR="00697B2B" w:rsidRPr="00C50854">
        <w:t xml:space="preserve">Joonis </w:t>
      </w:r>
      <w:r w:rsidR="00697B2B" w:rsidRPr="00C50854">
        <w:rPr>
          <w:noProof/>
        </w:rPr>
        <w:t>14</w:t>
      </w:r>
      <w:r w:rsidR="0090523D" w:rsidRPr="00C50854">
        <w:rPr>
          <w:lang w:eastAsia="et-EE"/>
        </w:rPr>
        <w:fldChar w:fldCharType="end"/>
      </w:r>
      <w:r w:rsidR="0090523D" w:rsidRPr="00C50854">
        <w:rPr>
          <w:lang w:eastAsia="et-EE"/>
        </w:rPr>
        <w:t xml:space="preserve"> </w:t>
      </w:r>
      <w:r w:rsidRPr="00C50854">
        <w:rPr>
          <w:i/>
          <w:lang w:eastAsia="et-EE"/>
        </w:rPr>
        <w:t>market 3a</w:t>
      </w:r>
      <w:r w:rsidRPr="00C50854">
        <w:rPr>
          <w:lang w:eastAsia="et-EE"/>
        </w:rPr>
        <w:t>) kuludele orienteeritud hindade arvestamisel nii varade ajaloolistel kuludel (</w:t>
      </w:r>
      <w:r w:rsidRPr="00C50854">
        <w:rPr>
          <w:i/>
          <w:lang w:eastAsia="et-EE"/>
        </w:rPr>
        <w:t xml:space="preserve">HCA - </w:t>
      </w:r>
      <w:proofErr w:type="spellStart"/>
      <w:r w:rsidRPr="00C50854">
        <w:rPr>
          <w:i/>
          <w:lang w:eastAsia="et-EE"/>
        </w:rPr>
        <w:t>historical</w:t>
      </w:r>
      <w:proofErr w:type="spellEnd"/>
      <w:r w:rsidRPr="00C50854">
        <w:rPr>
          <w:i/>
          <w:lang w:eastAsia="et-EE"/>
        </w:rPr>
        <w:t xml:space="preserve"> </w:t>
      </w:r>
      <w:proofErr w:type="spellStart"/>
      <w:r w:rsidRPr="00C50854">
        <w:rPr>
          <w:i/>
          <w:lang w:eastAsia="et-EE"/>
        </w:rPr>
        <w:t>cost</w:t>
      </w:r>
      <w:proofErr w:type="spellEnd"/>
      <w:r w:rsidRPr="00C50854">
        <w:rPr>
          <w:i/>
          <w:lang w:eastAsia="et-EE"/>
        </w:rPr>
        <w:t xml:space="preserve"> </w:t>
      </w:r>
      <w:proofErr w:type="spellStart"/>
      <w:r w:rsidRPr="00C50854">
        <w:rPr>
          <w:i/>
          <w:lang w:eastAsia="et-EE"/>
        </w:rPr>
        <w:t>accounting</w:t>
      </w:r>
      <w:proofErr w:type="spellEnd"/>
      <w:r w:rsidRPr="00C50854">
        <w:rPr>
          <w:lang w:eastAsia="et-EE"/>
        </w:rPr>
        <w:t>) kui ka varade käesoleva aja väärtusel (</w:t>
      </w:r>
      <w:r w:rsidRPr="00C50854">
        <w:rPr>
          <w:i/>
          <w:lang w:eastAsia="et-EE"/>
        </w:rPr>
        <w:t xml:space="preserve">CCA - </w:t>
      </w:r>
      <w:proofErr w:type="spellStart"/>
      <w:r w:rsidRPr="00C50854">
        <w:rPr>
          <w:i/>
          <w:lang w:eastAsia="et-EE"/>
        </w:rPr>
        <w:t>current</w:t>
      </w:r>
      <w:proofErr w:type="spellEnd"/>
      <w:r w:rsidRPr="00C50854">
        <w:rPr>
          <w:i/>
          <w:lang w:eastAsia="et-EE"/>
        </w:rPr>
        <w:t xml:space="preserve"> </w:t>
      </w:r>
      <w:proofErr w:type="spellStart"/>
      <w:r w:rsidRPr="00C50854">
        <w:rPr>
          <w:i/>
          <w:lang w:eastAsia="et-EE"/>
        </w:rPr>
        <w:t>cost</w:t>
      </w:r>
      <w:proofErr w:type="spellEnd"/>
      <w:r w:rsidRPr="00C50854">
        <w:rPr>
          <w:i/>
          <w:lang w:eastAsia="et-EE"/>
        </w:rPr>
        <w:t xml:space="preserve"> </w:t>
      </w:r>
      <w:proofErr w:type="spellStart"/>
      <w:r w:rsidRPr="00C50854">
        <w:rPr>
          <w:i/>
          <w:lang w:eastAsia="et-EE"/>
        </w:rPr>
        <w:t>accounting</w:t>
      </w:r>
      <w:proofErr w:type="spellEnd"/>
      <w:r w:rsidRPr="00C50854">
        <w:rPr>
          <w:lang w:eastAsia="et-EE"/>
        </w:rPr>
        <w:t xml:space="preserve">) põhinevat kulubaasi. Varade ajaloolistel kuludel põhineva kulubaasi aluseks on reguleeritava sideettevõtja majandusaasta aruandes sisalduvad kulud. See tähendab, et aluseks võetakse sideettevõtja poolt tehtud  investeeringute tegelik ajalooline väärtus. Varade käesoleva aja väärtusel põhineva kulubaasi aluseks võetakse investeeritud vara käesoleva aja turuväärtus. </w:t>
      </w:r>
    </w:p>
    <w:p w14:paraId="698A5593" w14:textId="77777777" w:rsidR="00D67E10" w:rsidRPr="00C50854" w:rsidRDefault="00D67E10" w:rsidP="00D67E10">
      <w:pPr>
        <w:spacing w:before="120" w:after="120"/>
        <w:jc w:val="both"/>
        <w:rPr>
          <w:noProof/>
        </w:rPr>
      </w:pPr>
    </w:p>
    <w:p w14:paraId="7B01DF63" w14:textId="77777777" w:rsidR="00D67E10" w:rsidRPr="00C50854" w:rsidRDefault="00D67E10" w:rsidP="00D67E10">
      <w:pPr>
        <w:spacing w:before="120" w:after="120"/>
        <w:jc w:val="both"/>
        <w:rPr>
          <w:noProof/>
        </w:rPr>
      </w:pPr>
    </w:p>
    <w:p w14:paraId="11E3C3E4" w14:textId="77777777" w:rsidR="00D67E10" w:rsidRPr="00C50854" w:rsidRDefault="00D67E10" w:rsidP="00D67E10">
      <w:pPr>
        <w:spacing w:before="120" w:after="120"/>
        <w:jc w:val="both"/>
        <w:rPr>
          <w:lang w:eastAsia="et-EE"/>
        </w:rPr>
      </w:pPr>
      <w:r w:rsidRPr="00C50854">
        <w:rPr>
          <w:noProof/>
        </w:rPr>
        <w:drawing>
          <wp:inline distT="0" distB="0" distL="0" distR="0" wp14:anchorId="320DFB68" wp14:editId="5D72982D">
            <wp:extent cx="5847837" cy="2757170"/>
            <wp:effectExtent l="0" t="0" r="635" b="508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505" t="33635" r="14013" b="7284"/>
                    <a:stretch/>
                  </pic:blipFill>
                  <pic:spPr bwMode="auto">
                    <a:xfrm>
                      <a:off x="0" y="0"/>
                      <a:ext cx="5882244" cy="2773392"/>
                    </a:xfrm>
                    <a:prstGeom prst="rect">
                      <a:avLst/>
                    </a:prstGeom>
                    <a:ln>
                      <a:noFill/>
                    </a:ln>
                    <a:extLst>
                      <a:ext uri="{53640926-AAD7-44D8-BBD7-CCE9431645EC}">
                        <a14:shadowObscured xmlns:a14="http://schemas.microsoft.com/office/drawing/2010/main"/>
                      </a:ext>
                    </a:extLst>
                  </pic:spPr>
                </pic:pic>
              </a:graphicData>
            </a:graphic>
          </wp:inline>
        </w:drawing>
      </w:r>
    </w:p>
    <w:p w14:paraId="69DEBD18" w14:textId="6702CA57" w:rsidR="00D67E10" w:rsidRPr="00C50854" w:rsidRDefault="0090523D" w:rsidP="0090523D">
      <w:pPr>
        <w:pStyle w:val="Pealdis"/>
        <w:rPr>
          <w:b w:val="0"/>
          <w:lang w:eastAsia="et-EE"/>
        </w:rPr>
      </w:pPr>
      <w:bookmarkStart w:id="559" w:name="_Ref40787193"/>
      <w:r w:rsidRPr="00C50854">
        <w:t xml:space="preserve">Joonis </w:t>
      </w:r>
      <w:fldSimple w:instr=" SEQ Joonis \* ARABIC ">
        <w:r w:rsidR="00697B2B" w:rsidRPr="00C50854">
          <w:rPr>
            <w:noProof/>
          </w:rPr>
          <w:t>14</w:t>
        </w:r>
      </w:fldSimple>
      <w:bookmarkEnd w:id="559"/>
      <w:r w:rsidR="00D67E10" w:rsidRPr="00C50854">
        <w:rPr>
          <w:b w:val="0"/>
          <w:lang w:eastAsia="et-EE"/>
        </w:rPr>
        <w:t>. Euroopa riikide sideturu regulaatorite poolt kehtestatud hinnaregulatsioonides kasutatavate varade kulubaaside võrdlus</w:t>
      </w:r>
      <w:r w:rsidR="00D67E10" w:rsidRPr="00C50854">
        <w:rPr>
          <w:b w:val="0"/>
          <w:vertAlign w:val="superscript"/>
          <w:lang w:eastAsia="et-EE"/>
        </w:rPr>
        <w:footnoteReference w:id="146"/>
      </w:r>
      <w:r w:rsidR="00D67E10" w:rsidRPr="00C50854">
        <w:rPr>
          <w:b w:val="0"/>
          <w:lang w:eastAsia="et-EE"/>
        </w:rPr>
        <w:t xml:space="preserve"> </w:t>
      </w:r>
    </w:p>
    <w:p w14:paraId="2109358F"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Varade ajaloolistel kuludel põhinev kulubaasi kasutamine on võrreldes varade käesoleva aja väärtusel põhineva kulubaasiga vähem koormav nii reguleeritavale sideettevõtjale, kui ka regulaatorile. Varade ajalooline kulubaasi aluseks on reguleeritava sideettevõtja tehtud investeeringud, mida ei ole vaja ümber arvestada käesoleva aja väärtusesse. Samas tuleb varade käesoleva aja väärtusel põhineva kulubaasi korral leida tehtud investeeringute käesoleva aja turuväärtus. Sellise  ümberarvutuse teostamine on erinevaid turuhindasid arvesse võttes komplitseeritud ja eeldab sageli ka eksperthinnangute saamist, mis muudab käesoleva aja väärtusel põhineva kulubaasi arvestamise võrreldes varade ajaloolise kulubaasi arvestamisega oluliselt tööjõuressursi mahukamaks. </w:t>
      </w:r>
    </w:p>
    <w:p w14:paraId="795881BE"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Varade ajaloolistel kuludel põhineva kulubaasi aluseks võtmine tagab reguleeritavale sideettevõtjale tehtud investeeringute tagasiteenimise. Samas võib varade käesoleva aja väärtusel põhineva kulubaasi aluseks võtmine seada reguleeritava sideettevõtja investeeringute tagasi teenimise ohtu, kui varade käesoleva aja turuväärtus langeb.  Kui varade käesoleva aja turuväärtus tõuseb, siis tekib reguleeritaval sideettevõtjal varade käesoleva aja väärtusel põhineva kulubaasi alusel võimalus teenida hulgitasandil märkimisväärselt kõrgemaid kasumeid (vara käesoleva aja turuväärtuse ja tegeliku ajaloolise väärtuse vahe võrra) ning selle arvelt </w:t>
      </w:r>
      <w:proofErr w:type="spellStart"/>
      <w:r w:rsidRPr="00C50854">
        <w:rPr>
          <w:lang w:eastAsia="et-EE"/>
        </w:rPr>
        <w:t>ristsubsideerida</w:t>
      </w:r>
      <w:proofErr w:type="spellEnd"/>
      <w:r w:rsidRPr="00C50854">
        <w:rPr>
          <w:lang w:eastAsia="et-EE"/>
        </w:rPr>
        <w:t xml:space="preserve"> jaetasandi teenuseid, mis võib viia teiste sideettevõtjate konkurentsi olukorra kahjustumiseni jaetasandi teenuste osas.</w:t>
      </w:r>
    </w:p>
    <w:p w14:paraId="53764B36" w14:textId="7D1BC7BF" w:rsidR="00D67E10" w:rsidRPr="00C50854" w:rsidRDefault="00D67E10" w:rsidP="00311E1F">
      <w:pPr>
        <w:numPr>
          <w:ilvl w:val="0"/>
          <w:numId w:val="13"/>
        </w:numPr>
        <w:spacing w:before="120" w:after="120"/>
        <w:jc w:val="both"/>
        <w:rPr>
          <w:lang w:eastAsia="et-EE"/>
        </w:rPr>
      </w:pPr>
      <w:r w:rsidRPr="00C50854">
        <w:rPr>
          <w:lang w:eastAsia="et-EE"/>
        </w:rPr>
        <w:t>Euroopa riikide sideturu regulaatorite poolt rakendatakse kuludele orienteeritud hindade arvestamisel täielikult jaotatud kulude (</w:t>
      </w:r>
      <w:r w:rsidRPr="00C50854">
        <w:rPr>
          <w:i/>
          <w:lang w:eastAsia="et-EE"/>
        </w:rPr>
        <w:t>FDC</w:t>
      </w:r>
      <w:r w:rsidRPr="00C50854">
        <w:rPr>
          <w:lang w:eastAsia="et-EE"/>
        </w:rPr>
        <w:t xml:space="preserve"> – </w:t>
      </w:r>
      <w:proofErr w:type="spellStart"/>
      <w:r w:rsidRPr="00C50854">
        <w:rPr>
          <w:lang w:eastAsia="et-EE"/>
        </w:rPr>
        <w:t>full</w:t>
      </w:r>
      <w:proofErr w:type="spellEnd"/>
      <w:r w:rsidRPr="00C50854">
        <w:rPr>
          <w:lang w:eastAsia="et-EE"/>
        </w:rPr>
        <w:t xml:space="preserve"> </w:t>
      </w:r>
      <w:proofErr w:type="spellStart"/>
      <w:r w:rsidRPr="00C50854">
        <w:rPr>
          <w:lang w:eastAsia="et-EE"/>
        </w:rPr>
        <w:t>distributed</w:t>
      </w:r>
      <w:proofErr w:type="spellEnd"/>
      <w:r w:rsidRPr="00C50854">
        <w:rPr>
          <w:lang w:eastAsia="et-EE"/>
        </w:rPr>
        <w:t xml:space="preserve"> </w:t>
      </w:r>
      <w:proofErr w:type="spellStart"/>
      <w:r w:rsidRPr="00C50854">
        <w:rPr>
          <w:lang w:eastAsia="et-EE"/>
        </w:rPr>
        <w:t>costs</w:t>
      </w:r>
      <w:proofErr w:type="spellEnd"/>
      <w:r w:rsidRPr="00C50854">
        <w:rPr>
          <w:lang w:eastAsia="et-EE"/>
        </w:rPr>
        <w:t>) või pikaajaliselt lisanduvate kulude (</w:t>
      </w:r>
      <w:r w:rsidRPr="00C50854">
        <w:rPr>
          <w:i/>
          <w:lang w:eastAsia="et-EE"/>
        </w:rPr>
        <w:t>LRIC</w:t>
      </w:r>
      <w:r w:rsidRPr="00C50854">
        <w:rPr>
          <w:lang w:eastAsia="et-EE"/>
        </w:rPr>
        <w:t xml:space="preserve"> – </w:t>
      </w:r>
      <w:proofErr w:type="spellStart"/>
      <w:r w:rsidRPr="00C50854">
        <w:rPr>
          <w:lang w:eastAsia="et-EE"/>
        </w:rPr>
        <w:t>long</w:t>
      </w:r>
      <w:proofErr w:type="spellEnd"/>
      <w:r w:rsidRPr="00C50854">
        <w:rPr>
          <w:lang w:eastAsia="et-EE"/>
        </w:rPr>
        <w:t xml:space="preserve"> </w:t>
      </w:r>
      <w:proofErr w:type="spellStart"/>
      <w:r w:rsidRPr="00C50854">
        <w:rPr>
          <w:lang w:eastAsia="et-EE"/>
        </w:rPr>
        <w:t>run</w:t>
      </w:r>
      <w:proofErr w:type="spellEnd"/>
      <w:r w:rsidRPr="00C50854">
        <w:rPr>
          <w:lang w:eastAsia="et-EE"/>
        </w:rPr>
        <w:t xml:space="preserve"> </w:t>
      </w:r>
      <w:proofErr w:type="spellStart"/>
      <w:r w:rsidRPr="00C50854">
        <w:rPr>
          <w:lang w:eastAsia="et-EE"/>
        </w:rPr>
        <w:t>incremental</w:t>
      </w:r>
      <w:proofErr w:type="spellEnd"/>
      <w:r w:rsidRPr="00C50854">
        <w:rPr>
          <w:lang w:eastAsia="et-EE"/>
        </w:rPr>
        <w:t xml:space="preserve"> </w:t>
      </w:r>
      <w:proofErr w:type="spellStart"/>
      <w:r w:rsidRPr="00C50854">
        <w:rPr>
          <w:lang w:eastAsia="et-EE"/>
        </w:rPr>
        <w:t>costs</w:t>
      </w:r>
      <w:proofErr w:type="spellEnd"/>
      <w:r w:rsidRPr="00C50854">
        <w:rPr>
          <w:lang w:eastAsia="et-EE"/>
        </w:rPr>
        <w:t xml:space="preserve">) meetodit. Näiteks kohaliku juurdepääsu hulgituru (vt </w:t>
      </w:r>
      <w:r w:rsidR="0090523D" w:rsidRPr="00C50854">
        <w:rPr>
          <w:lang w:eastAsia="et-EE"/>
        </w:rPr>
        <w:fldChar w:fldCharType="begin"/>
      </w:r>
      <w:r w:rsidR="0090523D" w:rsidRPr="00C50854">
        <w:rPr>
          <w:lang w:eastAsia="et-EE"/>
        </w:rPr>
        <w:instrText xml:space="preserve"> REF _Ref40787246 \h </w:instrText>
      </w:r>
      <w:r w:rsidR="0040093D" w:rsidRPr="00C50854">
        <w:rPr>
          <w:lang w:eastAsia="et-EE"/>
        </w:rPr>
        <w:instrText xml:space="preserve"> \* MERGEFORMAT </w:instrText>
      </w:r>
      <w:r w:rsidR="0090523D" w:rsidRPr="00C50854">
        <w:rPr>
          <w:lang w:eastAsia="et-EE"/>
        </w:rPr>
      </w:r>
      <w:r w:rsidR="0090523D" w:rsidRPr="00C50854">
        <w:rPr>
          <w:lang w:eastAsia="et-EE"/>
        </w:rPr>
        <w:fldChar w:fldCharType="separate"/>
      </w:r>
      <w:r w:rsidR="004C5FD5" w:rsidRPr="00C50854">
        <w:t xml:space="preserve">Joonis </w:t>
      </w:r>
      <w:r w:rsidR="004C5FD5" w:rsidRPr="00C50854">
        <w:rPr>
          <w:noProof/>
        </w:rPr>
        <w:t>15</w:t>
      </w:r>
      <w:r w:rsidR="0090523D" w:rsidRPr="00C50854">
        <w:rPr>
          <w:lang w:eastAsia="et-EE"/>
        </w:rPr>
        <w:fldChar w:fldCharType="end"/>
      </w:r>
      <w:r w:rsidR="0090523D" w:rsidRPr="00C50854">
        <w:rPr>
          <w:lang w:eastAsia="et-EE"/>
        </w:rPr>
        <w:t xml:space="preserve"> </w:t>
      </w:r>
      <w:r w:rsidRPr="00C50854">
        <w:rPr>
          <w:i/>
          <w:lang w:eastAsia="et-EE"/>
        </w:rPr>
        <w:t>market 3a</w:t>
      </w:r>
      <w:r w:rsidRPr="00C50854">
        <w:rPr>
          <w:lang w:eastAsia="et-EE"/>
        </w:rPr>
        <w:t xml:space="preserve">) hindade arvestamisel kasutab </w:t>
      </w:r>
      <w:r w:rsidRPr="00C50854">
        <w:rPr>
          <w:i/>
          <w:lang w:eastAsia="et-EE"/>
        </w:rPr>
        <w:t>FDC</w:t>
      </w:r>
      <w:r w:rsidRPr="00C50854">
        <w:rPr>
          <w:lang w:eastAsia="et-EE"/>
        </w:rPr>
        <w:t xml:space="preserve"> -meetodit vaskpaarkaabli kliendiliinide kulude jaotamisel 12 riiki ja valguskaabel kliendiliini kulude jaotamisel 6 riiki ja </w:t>
      </w:r>
      <w:r w:rsidRPr="00C50854">
        <w:rPr>
          <w:i/>
          <w:lang w:eastAsia="et-EE"/>
        </w:rPr>
        <w:t>LRIC</w:t>
      </w:r>
      <w:r w:rsidRPr="00C50854">
        <w:rPr>
          <w:lang w:eastAsia="et-EE"/>
        </w:rPr>
        <w:t xml:space="preserve">-meetodit vastavalt 11 ja 4 riiki. </w:t>
      </w:r>
    </w:p>
    <w:p w14:paraId="7C3033C0" w14:textId="77777777" w:rsidR="00D67E10" w:rsidRPr="00C50854" w:rsidRDefault="00D67E10" w:rsidP="00D67E10">
      <w:pPr>
        <w:spacing w:before="120" w:after="120"/>
        <w:jc w:val="both"/>
        <w:rPr>
          <w:noProof/>
        </w:rPr>
      </w:pPr>
    </w:p>
    <w:p w14:paraId="603E447C" w14:textId="77777777" w:rsidR="00D67E10" w:rsidRPr="00C50854" w:rsidRDefault="00D67E10" w:rsidP="00D67E10">
      <w:pPr>
        <w:spacing w:before="120" w:after="120"/>
        <w:jc w:val="both"/>
        <w:rPr>
          <w:lang w:eastAsia="et-EE"/>
        </w:rPr>
      </w:pPr>
      <w:r w:rsidRPr="00C50854">
        <w:rPr>
          <w:noProof/>
        </w:rPr>
        <w:lastRenderedPageBreak/>
        <w:drawing>
          <wp:inline distT="0" distB="0" distL="0" distR="0" wp14:anchorId="1044D68F" wp14:editId="3BE7E81E">
            <wp:extent cx="5848350" cy="3041730"/>
            <wp:effectExtent l="0" t="0" r="0" b="635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774" t="25960" r="17362" b="14987"/>
                    <a:stretch/>
                  </pic:blipFill>
                  <pic:spPr bwMode="auto">
                    <a:xfrm>
                      <a:off x="0" y="0"/>
                      <a:ext cx="5866209" cy="3051018"/>
                    </a:xfrm>
                    <a:prstGeom prst="rect">
                      <a:avLst/>
                    </a:prstGeom>
                    <a:ln>
                      <a:noFill/>
                    </a:ln>
                    <a:extLst>
                      <a:ext uri="{53640926-AAD7-44D8-BBD7-CCE9431645EC}">
                        <a14:shadowObscured xmlns:a14="http://schemas.microsoft.com/office/drawing/2010/main"/>
                      </a:ext>
                    </a:extLst>
                  </pic:spPr>
                </pic:pic>
              </a:graphicData>
            </a:graphic>
          </wp:inline>
        </w:drawing>
      </w:r>
    </w:p>
    <w:p w14:paraId="4FD62D13" w14:textId="2108C5E4" w:rsidR="00D67E10" w:rsidRPr="00C50854" w:rsidRDefault="0090523D" w:rsidP="0090523D">
      <w:pPr>
        <w:pStyle w:val="Pealdis"/>
        <w:rPr>
          <w:b w:val="0"/>
          <w:lang w:eastAsia="et-EE"/>
        </w:rPr>
      </w:pPr>
      <w:bookmarkStart w:id="561" w:name="_Ref40787246"/>
      <w:r w:rsidRPr="00C50854">
        <w:t xml:space="preserve">Joonis </w:t>
      </w:r>
      <w:fldSimple w:instr=" SEQ Joonis \* ARABIC ">
        <w:r w:rsidR="00697B2B" w:rsidRPr="00C50854">
          <w:rPr>
            <w:noProof/>
          </w:rPr>
          <w:t>15</w:t>
        </w:r>
      </w:fldSimple>
      <w:bookmarkEnd w:id="561"/>
      <w:r w:rsidRPr="00C50854">
        <w:t xml:space="preserve">. </w:t>
      </w:r>
      <w:r w:rsidR="00D67E10" w:rsidRPr="00C50854">
        <w:rPr>
          <w:b w:val="0"/>
          <w:lang w:eastAsia="et-EE"/>
        </w:rPr>
        <w:t xml:space="preserve">Euroopa riikide sideturu regulaatorite poolt kehtestatud hinnaregulatsioonides kasutatavate varade kulubaaside võrdlus 2019 </w:t>
      </w:r>
      <w:r w:rsidR="00D67E10" w:rsidRPr="00C50854">
        <w:rPr>
          <w:b w:val="0"/>
          <w:vertAlign w:val="superscript"/>
          <w:lang w:eastAsia="et-EE"/>
        </w:rPr>
        <w:footnoteReference w:id="147"/>
      </w:r>
      <w:r w:rsidR="00D67E10" w:rsidRPr="00C50854">
        <w:rPr>
          <w:b w:val="0"/>
          <w:lang w:eastAsia="et-EE"/>
        </w:rPr>
        <w:t xml:space="preserve"> </w:t>
      </w:r>
    </w:p>
    <w:p w14:paraId="668C1E8C"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Täielikult jaotatud kulude arvestamise meetod võimaldab reguleeritaval sideettevõtjal jaotada teenustega seotud kulud proportsionaalselt kõikide vastavat kuluallikat kasutavate teenuste vahel. Pikaajaliselt lisanduvate kulude meetod võimaldab reguleeritud teenuse kuludena võtta arvesse ainult neid kulusid, mis kaovad, kui vastavat teenust enam ei osutataks (reguleeritava teenusega lisanduvad kulud). Investeeringute tagamise osas annab täielikult jaotatud kulude arvestamise meetod reguleeritavale sideettevõtjale suurema kindluse, kui pikaajaliselt lisanduvate kulude meetod, kuna tagab investeeringute tegevuspõhise jaotamise reguleeritud ja reguleerimata teenuste vahel. Samas kui pikaajaliselt lisanduvate kulude meetod piirab reguleeritud ja reguleerimata teenustele tehtud ühiste investeeringute omistamist reguleeritud teenustele.</w:t>
      </w:r>
    </w:p>
    <w:p w14:paraId="287CC93C" w14:textId="30785440"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562" w:name="_Ref464633158"/>
      <w:r w:rsidRPr="00C50854">
        <w:rPr>
          <w:lang w:eastAsia="et-EE"/>
        </w:rPr>
        <w:t xml:space="preserve">Telia on rakendanud kuludele orienteeritud hinna arvestuse meetodit, mis lähtub varade mahu hindamisel ülevalt alla meetodist,  varade ajaloolistel kuludel põhinevast kulubaasist ja täielikult jaotatud kulude arvestamise meetodist (ehk kokkuvõtlikult </w:t>
      </w:r>
      <w:r w:rsidRPr="00C50854">
        <w:rPr>
          <w:i/>
          <w:lang w:eastAsia="et-EE"/>
        </w:rPr>
        <w:t>TD HC FDC</w:t>
      </w:r>
      <w:r w:rsidRPr="00C50854">
        <w:rPr>
          <w:lang w:eastAsia="et-EE"/>
        </w:rPr>
        <w:t xml:space="preserve"> – </w:t>
      </w:r>
      <w:proofErr w:type="spellStart"/>
      <w:r w:rsidRPr="00C50854">
        <w:rPr>
          <w:i/>
          <w:lang w:eastAsia="et-EE"/>
        </w:rPr>
        <w:t>top-down</w:t>
      </w:r>
      <w:proofErr w:type="spellEnd"/>
      <w:r w:rsidRPr="00C50854">
        <w:rPr>
          <w:i/>
          <w:lang w:eastAsia="et-EE"/>
        </w:rPr>
        <w:t xml:space="preserve"> </w:t>
      </w:r>
      <w:proofErr w:type="spellStart"/>
      <w:r w:rsidRPr="00C50854">
        <w:rPr>
          <w:i/>
          <w:lang w:eastAsia="et-EE"/>
        </w:rPr>
        <w:t>historical</w:t>
      </w:r>
      <w:proofErr w:type="spellEnd"/>
      <w:r w:rsidRPr="00C50854">
        <w:rPr>
          <w:i/>
          <w:lang w:eastAsia="et-EE"/>
        </w:rPr>
        <w:t xml:space="preserve"> </w:t>
      </w:r>
      <w:proofErr w:type="spellStart"/>
      <w:r w:rsidRPr="00C50854">
        <w:rPr>
          <w:i/>
          <w:lang w:eastAsia="et-EE"/>
        </w:rPr>
        <w:t>costs</w:t>
      </w:r>
      <w:proofErr w:type="spellEnd"/>
      <w:r w:rsidRPr="00C50854">
        <w:rPr>
          <w:i/>
          <w:lang w:eastAsia="et-EE"/>
        </w:rPr>
        <w:t xml:space="preserve"> </w:t>
      </w:r>
      <w:proofErr w:type="spellStart"/>
      <w:r w:rsidRPr="00C50854">
        <w:rPr>
          <w:i/>
          <w:lang w:eastAsia="et-EE"/>
        </w:rPr>
        <w:t>full</w:t>
      </w:r>
      <w:proofErr w:type="spellEnd"/>
      <w:r w:rsidRPr="00C50854">
        <w:rPr>
          <w:i/>
          <w:lang w:eastAsia="et-EE"/>
        </w:rPr>
        <w:t xml:space="preserve"> </w:t>
      </w:r>
      <w:proofErr w:type="spellStart"/>
      <w:r w:rsidRPr="00C50854">
        <w:rPr>
          <w:i/>
          <w:lang w:eastAsia="et-EE"/>
        </w:rPr>
        <w:t>distribution</w:t>
      </w:r>
      <w:proofErr w:type="spellEnd"/>
      <w:r w:rsidRPr="00C50854">
        <w:rPr>
          <w:i/>
          <w:lang w:eastAsia="et-EE"/>
        </w:rPr>
        <w:t xml:space="preserve"> </w:t>
      </w:r>
      <w:proofErr w:type="spellStart"/>
      <w:r w:rsidRPr="00C50854">
        <w:rPr>
          <w:i/>
          <w:lang w:eastAsia="et-EE"/>
        </w:rPr>
        <w:t>costing</w:t>
      </w:r>
      <w:proofErr w:type="spellEnd"/>
      <w:r w:rsidRPr="00C50854">
        <w:rPr>
          <w:i/>
          <w:lang w:eastAsia="et-EE"/>
        </w:rPr>
        <w:t xml:space="preserve"> </w:t>
      </w:r>
      <w:r w:rsidRPr="00C50854">
        <w:rPr>
          <w:lang w:eastAsia="et-EE"/>
        </w:rPr>
        <w:t xml:space="preserve">meetodit)  vaskpaarkaabel </w:t>
      </w:r>
      <w:proofErr w:type="spellStart"/>
      <w:r w:rsidRPr="00C50854">
        <w:rPr>
          <w:lang w:eastAsia="et-EE"/>
        </w:rPr>
        <w:t>kliendilinile</w:t>
      </w:r>
      <w:proofErr w:type="spellEnd"/>
      <w:r w:rsidRPr="00C50854">
        <w:rPr>
          <w:lang w:eastAsia="et-EE"/>
        </w:rPr>
        <w:t xml:space="preserve"> juurdepääsu teenuse korral alates 2007 aastast, kaablikanalisatsioonile juurdepääsu korral alates 2010 aastast ja valguskaabel kliendiliinile juurdepääsu korral alates 2014 aastast.  Nimetatud hinna arvestuse meetodi alusel määratud hinnad on olnud stabiilsed (vt </w:t>
      </w:r>
      <w:r w:rsidRPr="00C50854">
        <w:rPr>
          <w:lang w:eastAsia="et-EE"/>
        </w:rPr>
        <w:fldChar w:fldCharType="begin"/>
      </w:r>
      <w:r w:rsidRPr="00C50854">
        <w:rPr>
          <w:lang w:eastAsia="et-EE"/>
        </w:rPr>
        <w:instrText xml:space="preserve"> REF _Ref465256221 \h  \* MERGEFORMAT </w:instrText>
      </w:r>
      <w:r w:rsidRPr="00C50854">
        <w:rPr>
          <w:lang w:eastAsia="et-EE"/>
        </w:rPr>
      </w:r>
      <w:r w:rsidRPr="00C50854">
        <w:rPr>
          <w:lang w:eastAsia="et-EE"/>
        </w:rPr>
        <w:fldChar w:fldCharType="separate"/>
      </w:r>
      <w:r w:rsidR="0090523D" w:rsidRPr="00C50854">
        <w:t xml:space="preserve">Joonis </w:t>
      </w:r>
      <w:r w:rsidR="0090523D" w:rsidRPr="00C50854">
        <w:rPr>
          <w:noProof/>
        </w:rPr>
        <w:t>15</w:t>
      </w:r>
      <w:r w:rsidRPr="00C50854">
        <w:rPr>
          <w:lang w:eastAsia="et-EE"/>
        </w:rPr>
        <w:fldChar w:fldCharType="end"/>
      </w:r>
      <w:r w:rsidRPr="00C50854">
        <w:rPr>
          <w:lang w:eastAsia="et-EE"/>
        </w:rPr>
        <w:t>) ja taganud seeläbi sideettevõtjatele läbipaistva ja püsiva hulgitasandi teenuste keskkonna.</w:t>
      </w:r>
      <w:bookmarkEnd w:id="562"/>
      <w:r w:rsidRPr="00C50854">
        <w:rPr>
          <w:lang w:eastAsia="et-EE"/>
        </w:rPr>
        <w:t xml:space="preserve"> </w:t>
      </w:r>
    </w:p>
    <w:p w14:paraId="5640DD9C" w14:textId="77777777" w:rsidR="00D67E10" w:rsidRPr="00C50854" w:rsidRDefault="00D67E10" w:rsidP="00D67E10">
      <w:pPr>
        <w:suppressAutoHyphens w:val="0"/>
        <w:autoSpaceDE w:val="0"/>
        <w:autoSpaceDN w:val="0"/>
        <w:adjustRightInd w:val="0"/>
        <w:spacing w:before="120" w:after="120"/>
        <w:jc w:val="both"/>
        <w:rPr>
          <w:lang w:eastAsia="et-EE"/>
        </w:rPr>
      </w:pPr>
      <w:r w:rsidRPr="00C50854">
        <w:rPr>
          <w:noProof/>
          <w:lang w:eastAsia="et-EE"/>
        </w:rPr>
        <w:lastRenderedPageBreak/>
        <w:drawing>
          <wp:inline distT="0" distB="0" distL="0" distR="0" wp14:anchorId="4AC09B44" wp14:editId="5A116DC6">
            <wp:extent cx="4871085" cy="2834640"/>
            <wp:effectExtent l="0" t="0" r="5715" b="3810"/>
            <wp:docPr id="179" name="Pilt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1085" cy="2834640"/>
                    </a:xfrm>
                    <a:prstGeom prst="rect">
                      <a:avLst/>
                    </a:prstGeom>
                    <a:noFill/>
                  </pic:spPr>
                </pic:pic>
              </a:graphicData>
            </a:graphic>
          </wp:inline>
        </w:drawing>
      </w:r>
    </w:p>
    <w:p w14:paraId="57D6806F" w14:textId="1E989E70" w:rsidR="00D67E10" w:rsidRPr="00C50854" w:rsidRDefault="00D67E10" w:rsidP="00D67E10">
      <w:pPr>
        <w:pStyle w:val="Pealdis"/>
        <w:rPr>
          <w:b w:val="0"/>
          <w:lang w:eastAsia="et-EE"/>
        </w:rPr>
      </w:pPr>
      <w:bookmarkStart w:id="563" w:name="_Ref465256221"/>
      <w:r w:rsidRPr="00C50854">
        <w:t xml:space="preserve">Joonis </w:t>
      </w:r>
      <w:fldSimple w:instr=" SEQ Joonis \* ARABIC ">
        <w:r w:rsidR="00697B2B" w:rsidRPr="00C50854">
          <w:rPr>
            <w:noProof/>
          </w:rPr>
          <w:t>16</w:t>
        </w:r>
      </w:fldSimple>
      <w:bookmarkEnd w:id="563"/>
      <w:r w:rsidRPr="00C50854">
        <w:t xml:space="preserve">. </w:t>
      </w:r>
      <w:r w:rsidRPr="00C50854">
        <w:rPr>
          <w:b w:val="0"/>
          <w:lang w:eastAsia="et-EE"/>
        </w:rPr>
        <w:t>Telia TD HC FDC meetodi alusel arvestatud reguleeritavate teenuste hinnad 2016 - 2019</w:t>
      </w:r>
    </w:p>
    <w:p w14:paraId="5B09F56B" w14:textId="4368737E" w:rsidR="00D67E10" w:rsidRPr="00C50854" w:rsidRDefault="00D67E10" w:rsidP="0040093D">
      <w:pPr>
        <w:numPr>
          <w:ilvl w:val="0"/>
          <w:numId w:val="13"/>
        </w:numPr>
        <w:suppressAutoHyphens w:val="0"/>
        <w:autoSpaceDE w:val="0"/>
        <w:autoSpaceDN w:val="0"/>
        <w:adjustRightInd w:val="0"/>
        <w:spacing w:before="120" w:after="120"/>
        <w:jc w:val="both"/>
        <w:rPr>
          <w:lang w:eastAsia="et-EE"/>
        </w:rPr>
      </w:pPr>
      <w:r w:rsidRPr="00C50854">
        <w:rPr>
          <w:iCs/>
          <w:lang w:eastAsia="et-EE"/>
        </w:rPr>
        <w:t xml:space="preserve">Kuluarvestuse TD HC FDC </w:t>
      </w:r>
      <w:r w:rsidRPr="00C50854">
        <w:rPr>
          <w:lang w:eastAsia="et-EE"/>
        </w:rPr>
        <w:t xml:space="preserve">meetodi alusel arvestatud hinnad on kindlustanud ka Telia ning teiste fikseeritud sidevõrgu </w:t>
      </w:r>
      <w:r w:rsidR="002A5D20" w:rsidRPr="00C50854">
        <w:rPr>
          <w:lang w:eastAsia="et-EE"/>
        </w:rPr>
        <w:t>sideettevõtja</w:t>
      </w:r>
      <w:r w:rsidRPr="00C50854">
        <w:rPr>
          <w:lang w:eastAsia="et-EE"/>
        </w:rPr>
        <w:t xml:space="preserve">te jätkuva huvi investeerida sidevõrkude ja -teenuste arendamisse. Nagu </w:t>
      </w:r>
      <w:r w:rsidR="0090523D" w:rsidRPr="00C50854">
        <w:rPr>
          <w:lang w:eastAsia="et-EE"/>
        </w:rPr>
        <w:fldChar w:fldCharType="begin"/>
      </w:r>
      <w:r w:rsidR="0090523D" w:rsidRPr="00C50854">
        <w:rPr>
          <w:lang w:eastAsia="et-EE"/>
        </w:rPr>
        <w:instrText xml:space="preserve"> REF _Ref40787331 \h </w:instrText>
      </w:r>
      <w:r w:rsidR="0040093D" w:rsidRPr="00C50854">
        <w:rPr>
          <w:lang w:eastAsia="et-EE"/>
        </w:rPr>
        <w:instrText xml:space="preserve"> \* MERGEFORMAT </w:instrText>
      </w:r>
      <w:r w:rsidR="0090523D" w:rsidRPr="00C50854">
        <w:rPr>
          <w:lang w:eastAsia="et-EE"/>
        </w:rPr>
      </w:r>
      <w:r w:rsidR="0090523D" w:rsidRPr="00C50854">
        <w:rPr>
          <w:lang w:eastAsia="et-EE"/>
        </w:rPr>
        <w:fldChar w:fldCharType="separate"/>
      </w:r>
      <w:r w:rsidR="004C5FD5" w:rsidRPr="00C50854">
        <w:t xml:space="preserve">jooniselt </w:t>
      </w:r>
      <w:r w:rsidR="004C5FD5" w:rsidRPr="00C50854">
        <w:rPr>
          <w:noProof/>
        </w:rPr>
        <w:t>17</w:t>
      </w:r>
      <w:r w:rsidR="0090523D" w:rsidRPr="00C50854">
        <w:rPr>
          <w:lang w:eastAsia="et-EE"/>
        </w:rPr>
        <w:fldChar w:fldCharType="end"/>
      </w:r>
      <w:r w:rsidR="0090523D" w:rsidRPr="00C50854">
        <w:rPr>
          <w:lang w:eastAsia="et-EE"/>
        </w:rPr>
        <w:t xml:space="preserve"> </w:t>
      </w:r>
      <w:r w:rsidRPr="00C50854">
        <w:rPr>
          <w:lang w:eastAsia="et-EE"/>
        </w:rPr>
        <w:t xml:space="preserve">nähtub, on fikseeritud sidevõrgu </w:t>
      </w:r>
      <w:r w:rsidR="002A5D20" w:rsidRPr="00C50854">
        <w:rPr>
          <w:lang w:eastAsia="et-EE"/>
        </w:rPr>
        <w:t>sideettevõtja</w:t>
      </w:r>
      <w:r w:rsidRPr="00C50854">
        <w:rPr>
          <w:lang w:eastAsia="et-EE"/>
        </w:rPr>
        <w:t xml:space="preserve">d perioodil 2016 – 2018 stabiilselt investeerinud ca 37 – 45 miljonit eurot aastas sidevõrkude ja –teenuste arengusse. Kahe suurema lõppkasutajate arvuga fikseeritud sidevõrgu </w:t>
      </w:r>
      <w:r w:rsidR="002A5D20" w:rsidRPr="00C50854">
        <w:rPr>
          <w:lang w:eastAsia="et-EE"/>
        </w:rPr>
        <w:t>sideettevõtja</w:t>
      </w:r>
      <w:r w:rsidRPr="00C50854">
        <w:rPr>
          <w:lang w:eastAsia="et-EE"/>
        </w:rPr>
        <w:t xml:space="preserve">te (Telia Eesti AS ja Elisa Teleteenused AS) kogu investeeringute suhe kogu käibesse on olnud 19 – 21%, mis on kõrgem, kui Euroopas keskmiselt  </w:t>
      </w:r>
      <w:r w:rsidRPr="00C50854">
        <w:rPr>
          <w:vertAlign w:val="superscript"/>
          <w:lang w:eastAsia="et-EE"/>
        </w:rPr>
        <w:footnoteReference w:id="148"/>
      </w:r>
      <w:r w:rsidRPr="00C50854">
        <w:rPr>
          <w:lang w:eastAsia="et-EE"/>
        </w:rPr>
        <w:t xml:space="preserve"> (vt </w:t>
      </w:r>
      <w:r w:rsidR="0090523D" w:rsidRPr="00C50854">
        <w:rPr>
          <w:lang w:eastAsia="et-EE"/>
        </w:rPr>
        <w:fldChar w:fldCharType="begin"/>
      </w:r>
      <w:r w:rsidR="0090523D" w:rsidRPr="00C50854">
        <w:rPr>
          <w:lang w:eastAsia="et-EE"/>
        </w:rPr>
        <w:instrText xml:space="preserve"> REF _Ref40787388 \h </w:instrText>
      </w:r>
      <w:r w:rsidR="0040093D" w:rsidRPr="00C50854">
        <w:rPr>
          <w:lang w:eastAsia="et-EE"/>
        </w:rPr>
        <w:instrText xml:space="preserve"> \* MERGEFORMAT </w:instrText>
      </w:r>
      <w:r w:rsidR="0090523D" w:rsidRPr="00C50854">
        <w:rPr>
          <w:lang w:eastAsia="et-EE"/>
        </w:rPr>
      </w:r>
      <w:r w:rsidR="0090523D" w:rsidRPr="00C50854">
        <w:rPr>
          <w:lang w:eastAsia="et-EE"/>
        </w:rPr>
        <w:fldChar w:fldCharType="separate"/>
      </w:r>
      <w:r w:rsidR="004C5FD5" w:rsidRPr="00C50854">
        <w:t xml:space="preserve">Joonis </w:t>
      </w:r>
      <w:r w:rsidR="004C5FD5" w:rsidRPr="00C50854">
        <w:rPr>
          <w:noProof/>
        </w:rPr>
        <w:t>18</w:t>
      </w:r>
      <w:r w:rsidR="0090523D" w:rsidRPr="00C50854">
        <w:rPr>
          <w:lang w:eastAsia="et-EE"/>
        </w:rPr>
        <w:fldChar w:fldCharType="end"/>
      </w:r>
      <w:r w:rsidRPr="00C50854">
        <w:rPr>
          <w:lang w:eastAsia="et-EE"/>
        </w:rPr>
        <w:t xml:space="preserve">).        </w:t>
      </w:r>
    </w:p>
    <w:p w14:paraId="2818F492" w14:textId="77777777" w:rsidR="00D67E10" w:rsidRPr="00C50854" w:rsidRDefault="00D67E10" w:rsidP="0090523D">
      <w:pPr>
        <w:spacing w:before="120" w:after="120"/>
        <w:rPr>
          <w:lang w:eastAsia="et-EE"/>
        </w:rPr>
      </w:pPr>
      <w:r w:rsidRPr="00C50854">
        <w:rPr>
          <w:lang w:eastAsia="et-EE"/>
        </w:rPr>
        <w:t xml:space="preserve">  </w:t>
      </w:r>
      <w:r w:rsidRPr="00C50854">
        <w:rPr>
          <w:noProof/>
          <w:lang w:eastAsia="et-EE"/>
        </w:rPr>
        <w:drawing>
          <wp:inline distT="0" distB="0" distL="0" distR="0" wp14:anchorId="69AD183F" wp14:editId="3088287E">
            <wp:extent cx="4584700" cy="3700780"/>
            <wp:effectExtent l="0" t="0" r="6350" b="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3700780"/>
                    </a:xfrm>
                    <a:prstGeom prst="rect">
                      <a:avLst/>
                    </a:prstGeom>
                    <a:noFill/>
                  </pic:spPr>
                </pic:pic>
              </a:graphicData>
            </a:graphic>
          </wp:inline>
        </w:drawing>
      </w:r>
    </w:p>
    <w:p w14:paraId="606B51B0" w14:textId="27C30B54" w:rsidR="00D67E10" w:rsidRPr="00C50854" w:rsidRDefault="0090523D" w:rsidP="0090523D">
      <w:pPr>
        <w:pStyle w:val="Pealdis"/>
        <w:rPr>
          <w:b w:val="0"/>
          <w:lang w:eastAsia="et-EE"/>
        </w:rPr>
      </w:pPr>
      <w:bookmarkStart w:id="564" w:name="_Ref40787331"/>
      <w:bookmarkStart w:id="565" w:name="_Ref472515564"/>
      <w:r w:rsidRPr="00C50854">
        <w:t xml:space="preserve">Joonis </w:t>
      </w:r>
      <w:fldSimple w:instr=" SEQ Joonis \* ARABIC ">
        <w:r w:rsidR="00697B2B" w:rsidRPr="00C50854">
          <w:rPr>
            <w:noProof/>
          </w:rPr>
          <w:t>17</w:t>
        </w:r>
      </w:fldSimple>
      <w:bookmarkEnd w:id="564"/>
      <w:r w:rsidRPr="00C50854">
        <w:t>.</w:t>
      </w:r>
      <w:r w:rsidR="00D67E10" w:rsidRPr="00C50854">
        <w:rPr>
          <w:lang w:eastAsia="et-EE"/>
        </w:rPr>
        <w:t xml:space="preserve"> </w:t>
      </w:r>
      <w:r w:rsidR="00D67E10" w:rsidRPr="00C50854">
        <w:rPr>
          <w:b w:val="0"/>
          <w:lang w:eastAsia="et-EE"/>
        </w:rPr>
        <w:t xml:space="preserve">Fikseeritud sidevõrgu </w:t>
      </w:r>
      <w:r w:rsidR="002A5D20" w:rsidRPr="00C50854">
        <w:rPr>
          <w:b w:val="0"/>
          <w:lang w:eastAsia="et-EE"/>
        </w:rPr>
        <w:t>sideettevõtja</w:t>
      </w:r>
      <w:r w:rsidR="00D67E10" w:rsidRPr="00C50854">
        <w:rPr>
          <w:b w:val="0"/>
          <w:lang w:eastAsia="et-EE"/>
        </w:rPr>
        <w:t>te investeeringud ja investeeringute suhe käibesse perioodil 2016 - 20</w:t>
      </w:r>
      <w:bookmarkEnd w:id="565"/>
      <w:r w:rsidR="00D67E10" w:rsidRPr="00C50854">
        <w:rPr>
          <w:b w:val="0"/>
          <w:lang w:eastAsia="et-EE"/>
        </w:rPr>
        <w:t>18</w:t>
      </w:r>
    </w:p>
    <w:p w14:paraId="1029C62D" w14:textId="77777777" w:rsidR="00D67E10" w:rsidRPr="00C50854" w:rsidRDefault="00D67E10" w:rsidP="00D67E10">
      <w:pPr>
        <w:spacing w:before="120" w:after="120"/>
        <w:jc w:val="both"/>
        <w:rPr>
          <w:noProof/>
        </w:rPr>
      </w:pPr>
    </w:p>
    <w:p w14:paraId="2DA45BC7" w14:textId="77777777" w:rsidR="00D67E10" w:rsidRPr="00C50854" w:rsidRDefault="00D67E10" w:rsidP="00D67E10">
      <w:pPr>
        <w:spacing w:before="120" w:after="120"/>
        <w:jc w:val="both"/>
        <w:rPr>
          <w:lang w:eastAsia="et-EE"/>
        </w:rPr>
      </w:pPr>
      <w:r w:rsidRPr="00C50854">
        <w:rPr>
          <w:noProof/>
        </w:rPr>
        <w:drawing>
          <wp:inline distT="0" distB="0" distL="0" distR="0" wp14:anchorId="72862A0F" wp14:editId="20087BCF">
            <wp:extent cx="4832252" cy="2988666"/>
            <wp:effectExtent l="0" t="0" r="6985" b="254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1332" t="20436" r="20608" b="15722"/>
                    <a:stretch/>
                  </pic:blipFill>
                  <pic:spPr bwMode="auto">
                    <a:xfrm>
                      <a:off x="0" y="0"/>
                      <a:ext cx="4850494" cy="2999948"/>
                    </a:xfrm>
                    <a:prstGeom prst="rect">
                      <a:avLst/>
                    </a:prstGeom>
                    <a:ln>
                      <a:noFill/>
                    </a:ln>
                    <a:extLst>
                      <a:ext uri="{53640926-AAD7-44D8-BBD7-CCE9431645EC}">
                        <a14:shadowObscured xmlns:a14="http://schemas.microsoft.com/office/drawing/2010/main"/>
                      </a:ext>
                    </a:extLst>
                  </pic:spPr>
                </pic:pic>
              </a:graphicData>
            </a:graphic>
          </wp:inline>
        </w:drawing>
      </w:r>
    </w:p>
    <w:p w14:paraId="1561BA50" w14:textId="72250761" w:rsidR="00D67E10" w:rsidRPr="00C50854" w:rsidRDefault="0090523D" w:rsidP="0090523D">
      <w:pPr>
        <w:pStyle w:val="Pealdis"/>
        <w:rPr>
          <w:lang w:eastAsia="et-EE"/>
        </w:rPr>
      </w:pPr>
      <w:bookmarkStart w:id="566" w:name="_Ref40787388"/>
      <w:r w:rsidRPr="00C50854">
        <w:t xml:space="preserve">Joonis </w:t>
      </w:r>
      <w:fldSimple w:instr=" SEQ Joonis \* ARABIC ">
        <w:r w:rsidR="00697B2B" w:rsidRPr="00C50854">
          <w:rPr>
            <w:noProof/>
          </w:rPr>
          <w:t>18</w:t>
        </w:r>
      </w:fldSimple>
      <w:bookmarkEnd w:id="566"/>
      <w:r w:rsidRPr="00C50854">
        <w:t xml:space="preserve">. </w:t>
      </w:r>
      <w:r w:rsidR="00D67E10" w:rsidRPr="00C50854">
        <w:rPr>
          <w:b w:val="0"/>
          <w:lang w:eastAsia="et-EE"/>
        </w:rPr>
        <w:t xml:space="preserve">Euroopa fikseeritud sidevõrgu </w:t>
      </w:r>
      <w:r w:rsidR="002A5D20" w:rsidRPr="00C50854">
        <w:rPr>
          <w:b w:val="0"/>
          <w:lang w:eastAsia="et-EE"/>
        </w:rPr>
        <w:t>sideettevõtja</w:t>
      </w:r>
      <w:r w:rsidR="00D67E10" w:rsidRPr="00C50854">
        <w:rPr>
          <w:b w:val="0"/>
          <w:lang w:eastAsia="et-EE"/>
        </w:rPr>
        <w:t>te investeeringute ja käibe suhe 2012 - 2018</w:t>
      </w:r>
    </w:p>
    <w:p w14:paraId="61353A72" w14:textId="7B760852" w:rsidR="00D67E10" w:rsidRPr="00C50854" w:rsidRDefault="00D67E10" w:rsidP="0040093D">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Võrreldes Eesti sidevõrkude arengut teiste Euroopa riikidega selgub, et kuluarvestuse </w:t>
      </w:r>
      <w:r w:rsidRPr="00C50854">
        <w:rPr>
          <w:iCs/>
          <w:lang w:eastAsia="et-EE"/>
        </w:rPr>
        <w:t>TD HC FDC</w:t>
      </w:r>
      <w:r w:rsidRPr="00C50854">
        <w:rPr>
          <w:i/>
          <w:lang w:eastAsia="et-EE"/>
        </w:rPr>
        <w:t xml:space="preserve"> </w:t>
      </w:r>
      <w:r w:rsidRPr="00C50854">
        <w:rPr>
          <w:lang w:eastAsia="et-EE"/>
        </w:rPr>
        <w:t xml:space="preserve">meetod on olnud sobiv ka järgmise põlvkonna sidevõrkude arengule. Nagu </w:t>
      </w:r>
      <w:r w:rsidR="0090523D" w:rsidRPr="00C50854">
        <w:rPr>
          <w:lang w:eastAsia="et-EE"/>
        </w:rPr>
        <w:fldChar w:fldCharType="begin"/>
      </w:r>
      <w:r w:rsidR="0090523D" w:rsidRPr="00C50854">
        <w:rPr>
          <w:lang w:eastAsia="et-EE"/>
        </w:rPr>
        <w:instrText xml:space="preserve"> REF _Ref40787432 \h </w:instrText>
      </w:r>
      <w:r w:rsidR="0040093D" w:rsidRPr="00C50854">
        <w:rPr>
          <w:lang w:eastAsia="et-EE"/>
        </w:rPr>
        <w:instrText xml:space="preserve"> \* MERGEFORMAT </w:instrText>
      </w:r>
      <w:r w:rsidR="0090523D" w:rsidRPr="00C50854">
        <w:rPr>
          <w:lang w:eastAsia="et-EE"/>
        </w:rPr>
      </w:r>
      <w:r w:rsidR="0090523D" w:rsidRPr="00C50854">
        <w:rPr>
          <w:lang w:eastAsia="et-EE"/>
        </w:rPr>
        <w:fldChar w:fldCharType="separate"/>
      </w:r>
      <w:r w:rsidR="00697B2B" w:rsidRPr="00C50854">
        <w:t xml:space="preserve">Joonis </w:t>
      </w:r>
      <w:r w:rsidR="00697B2B" w:rsidRPr="00C50854">
        <w:rPr>
          <w:noProof/>
        </w:rPr>
        <w:t>19</w:t>
      </w:r>
      <w:r w:rsidR="0090523D" w:rsidRPr="00C50854">
        <w:rPr>
          <w:lang w:eastAsia="et-EE"/>
        </w:rPr>
        <w:fldChar w:fldCharType="end"/>
      </w:r>
      <w:r w:rsidRPr="00C50854">
        <w:rPr>
          <w:lang w:eastAsia="et-EE"/>
        </w:rPr>
        <w:t xml:space="preserve"> nähtub on Eesti järgmise põlvkonna sidevõrkude katvus (kokku 82,9% majapidamistest aastal 2018) samal tasemel Euroopa keskmisega (kokku 83,1% majapidamistest aastal 2018). </w:t>
      </w:r>
    </w:p>
    <w:p w14:paraId="521007C5" w14:textId="77777777" w:rsidR="00D67E10" w:rsidRPr="00C50854" w:rsidRDefault="00D67E10" w:rsidP="00D67E10">
      <w:pPr>
        <w:spacing w:before="120" w:after="120"/>
        <w:jc w:val="both"/>
        <w:rPr>
          <w:noProof/>
        </w:rPr>
      </w:pPr>
    </w:p>
    <w:p w14:paraId="4C070109" w14:textId="77777777" w:rsidR="00D67E10" w:rsidRPr="00C50854" w:rsidRDefault="00D67E10" w:rsidP="00D67E10">
      <w:pPr>
        <w:spacing w:before="120" w:after="120"/>
        <w:jc w:val="both"/>
        <w:rPr>
          <w:lang w:eastAsia="et-EE"/>
        </w:rPr>
      </w:pPr>
      <w:r w:rsidRPr="00C50854">
        <w:rPr>
          <w:noProof/>
        </w:rPr>
        <w:drawing>
          <wp:inline distT="0" distB="0" distL="0" distR="0" wp14:anchorId="00827F82" wp14:editId="29624065">
            <wp:extent cx="5999196" cy="3126740"/>
            <wp:effectExtent l="0" t="0" r="1905" b="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731" t="19381" r="12771" b="10662"/>
                    <a:stretch/>
                  </pic:blipFill>
                  <pic:spPr bwMode="auto">
                    <a:xfrm>
                      <a:off x="0" y="0"/>
                      <a:ext cx="6018930" cy="3137025"/>
                    </a:xfrm>
                    <a:prstGeom prst="rect">
                      <a:avLst/>
                    </a:prstGeom>
                    <a:ln>
                      <a:noFill/>
                    </a:ln>
                    <a:extLst>
                      <a:ext uri="{53640926-AAD7-44D8-BBD7-CCE9431645EC}">
                        <a14:shadowObscured xmlns:a14="http://schemas.microsoft.com/office/drawing/2010/main"/>
                      </a:ext>
                    </a:extLst>
                  </pic:spPr>
                </pic:pic>
              </a:graphicData>
            </a:graphic>
          </wp:inline>
        </w:drawing>
      </w:r>
    </w:p>
    <w:p w14:paraId="43BF8266" w14:textId="7844A80D" w:rsidR="00D67E10" w:rsidRPr="00C50854" w:rsidRDefault="0090523D" w:rsidP="0090523D">
      <w:pPr>
        <w:pStyle w:val="Pealdis"/>
        <w:rPr>
          <w:b w:val="0"/>
          <w:lang w:eastAsia="et-EE"/>
        </w:rPr>
      </w:pPr>
      <w:bookmarkStart w:id="567" w:name="_Ref40787432"/>
      <w:bookmarkStart w:id="568" w:name="_Ref472515844"/>
      <w:r w:rsidRPr="00C50854">
        <w:t xml:space="preserve">Joonis </w:t>
      </w:r>
      <w:fldSimple w:instr=" SEQ Joonis \* ARABIC ">
        <w:r w:rsidR="00697B2B" w:rsidRPr="00C50854">
          <w:rPr>
            <w:noProof/>
          </w:rPr>
          <w:t>19</w:t>
        </w:r>
      </w:fldSimple>
      <w:bookmarkEnd w:id="567"/>
      <w:r w:rsidRPr="00C50854">
        <w:t>.</w:t>
      </w:r>
      <w:r w:rsidR="00D67E10" w:rsidRPr="00C50854">
        <w:rPr>
          <w:lang w:eastAsia="et-EE"/>
        </w:rPr>
        <w:t xml:space="preserve"> </w:t>
      </w:r>
      <w:r w:rsidR="00D67E10" w:rsidRPr="00C50854">
        <w:rPr>
          <w:b w:val="0"/>
          <w:lang w:eastAsia="et-EE"/>
        </w:rPr>
        <w:t xml:space="preserve">Järgmise põlvkonna juurdepääsuvõrgu (FTTH, FTTB, </w:t>
      </w:r>
      <w:proofErr w:type="spellStart"/>
      <w:r w:rsidR="00D67E10" w:rsidRPr="00C50854">
        <w:rPr>
          <w:b w:val="0"/>
          <w:lang w:eastAsia="et-EE"/>
        </w:rPr>
        <w:t>Cable</w:t>
      </w:r>
      <w:proofErr w:type="spellEnd"/>
      <w:r w:rsidR="00D67E10" w:rsidRPr="00C50854">
        <w:rPr>
          <w:b w:val="0"/>
          <w:lang w:eastAsia="et-EE"/>
        </w:rPr>
        <w:t xml:space="preserve"> </w:t>
      </w:r>
      <w:proofErr w:type="spellStart"/>
      <w:r w:rsidR="00D67E10" w:rsidRPr="00C50854">
        <w:rPr>
          <w:b w:val="0"/>
          <w:lang w:eastAsia="et-EE"/>
        </w:rPr>
        <w:t>Docsis</w:t>
      </w:r>
      <w:proofErr w:type="spellEnd"/>
      <w:r w:rsidR="00D67E10" w:rsidRPr="00C50854">
        <w:rPr>
          <w:b w:val="0"/>
          <w:lang w:eastAsia="et-EE"/>
        </w:rPr>
        <w:t xml:space="preserve"> 3.0, VDSL) katvus EL liikmesriikides 2018</w:t>
      </w:r>
      <w:r w:rsidR="00D67E10" w:rsidRPr="00C50854">
        <w:rPr>
          <w:b w:val="0"/>
          <w:vertAlign w:val="superscript"/>
          <w:lang w:eastAsia="et-EE"/>
        </w:rPr>
        <w:footnoteReference w:id="149"/>
      </w:r>
      <w:bookmarkEnd w:id="568"/>
    </w:p>
    <w:p w14:paraId="24FA4B83"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lastRenderedPageBreak/>
        <w:t>Teliale kindlaksmääratud asukohas kohaliku juurdepääsu hulgiturul hinnakohustuste kehtestamine kuludele orienteeritud hinna arvestus TD HC FDC meetodi alusel on kooskõlas ESS-iga</w:t>
      </w:r>
      <w:r w:rsidRPr="00C50854">
        <w:rPr>
          <w:vertAlign w:val="superscript"/>
          <w:lang w:eastAsia="et-EE"/>
        </w:rPr>
        <w:footnoteReference w:id="150"/>
      </w:r>
      <w:r w:rsidRPr="00C50854">
        <w:rPr>
          <w:lang w:eastAsia="et-EE"/>
        </w:rPr>
        <w:t>, kuna:</w:t>
      </w:r>
    </w:p>
    <w:p w14:paraId="312FACDE"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on mõistlik ja otstarbekas, sest tagab, et Telia ei kasuta oma turujõudu konkurentsi kahjustavalt;</w:t>
      </w:r>
    </w:p>
    <w:p w14:paraId="0D07970B"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on mittediskrimineeriv, kuna Telia poolt osutatavad kindlaksmääratud asukohas kohaliku juurdepääsu hulgituru koosseisu kuuluvad teenused mõjutavad konkurentsi vertikaalselt allapoole seotud jaeturgudel Telia ulatusliku infrastruktuuri olemasolu tõttu oluliselt suuremal määral kui teiste sideettevõtjate poolt nimetatud turu koosseisu kuuluvad teenused. Sellest tulenevalt on õigustatud Teliale hinnakohustuste kehtestamine, et tõkestada Telia võimalust oma märkimisväärset turujõudu ära kasutada konkurentsi takistamiseks;</w:t>
      </w:r>
    </w:p>
    <w:p w14:paraId="773A4507"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on läbipaistev, kuna kohustus on kavandatud selliselt, et Teliale oleks üheselt arusaadavad TTJA seisukohad ning millised õigused ja kohustused sellest Teliale tulenevad;</w:t>
      </w:r>
    </w:p>
    <w:p w14:paraId="11771B0D"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tagab märkimisväärse turujõuga ettevõtjatele tehtud kulude ja investeeringute tagasi teenimise, ning võimaldab teenida otstarbekalt kasutatud kapitalilt mõistlikku kasumit;</w:t>
      </w:r>
    </w:p>
    <w:p w14:paraId="21557ECB" w14:textId="77777777" w:rsidR="00D67E10" w:rsidRPr="00C50854" w:rsidRDefault="00D67E10" w:rsidP="00D67E10">
      <w:pPr>
        <w:numPr>
          <w:ilvl w:val="0"/>
          <w:numId w:val="8"/>
        </w:numPr>
        <w:suppressAutoHyphens w:val="0"/>
        <w:autoSpaceDE w:val="0"/>
        <w:autoSpaceDN w:val="0"/>
        <w:adjustRightInd w:val="0"/>
        <w:spacing w:before="120" w:after="120"/>
        <w:jc w:val="both"/>
        <w:rPr>
          <w:lang w:eastAsia="et-EE"/>
        </w:rPr>
      </w:pPr>
      <w:r w:rsidRPr="00C50854">
        <w:rPr>
          <w:lang w:eastAsia="et-EE"/>
        </w:rPr>
        <w:t>teenib efektiivse ja pideva konkurentsi huvi ja suurendab lõppkasutajate kasu, kuna nimetatud kohustuse eeldatavaks tulemuseks on reguleeritava hulgituru hindade baseerumine tegelikel kuludel. Seega neile teistele sideettevõtjatele, kellele juurdepääsu rent on oluline kulu, väheneb jae- ja hulgihindade kokku surumise oht ning väheneb turult väljatõrjumise tõenäousus. See omakorda tagab sideettevõtjate paljususe, mis loob eeldused lõppkasutajatele osutatavate jaeteenuste valiku ja kvaliteedi parandamiseks ehk suureneb lõppkasutajate kasu.</w:t>
      </w:r>
    </w:p>
    <w:p w14:paraId="67EDE6A5" w14:textId="77777777" w:rsidR="00D67E10" w:rsidRPr="00C50854" w:rsidRDefault="00D67E10" w:rsidP="0040093D">
      <w:pPr>
        <w:numPr>
          <w:ilvl w:val="0"/>
          <w:numId w:val="13"/>
        </w:numPr>
        <w:suppressAutoHyphens w:val="0"/>
        <w:autoSpaceDE w:val="0"/>
        <w:autoSpaceDN w:val="0"/>
        <w:adjustRightInd w:val="0"/>
        <w:spacing w:before="120" w:after="120"/>
        <w:jc w:val="both"/>
        <w:rPr>
          <w:lang w:eastAsia="et-EE"/>
        </w:rPr>
      </w:pPr>
      <w:r w:rsidRPr="00C50854">
        <w:rPr>
          <w:lang w:eastAsia="et-EE"/>
        </w:rPr>
        <w:t>Teliale kohaliku juurdepääsu hulgiturul hinnakohustuste kehtestamine kuludele orienteeritud hinna arvestuse kuluarvestuse TD HC FDC meetodi alusel on olnud ja oleks ka jätkuvalt kooskõlas Euroopa Komisjoni kuluarvestuse soovitusega</w:t>
      </w:r>
      <w:r w:rsidRPr="00C50854">
        <w:rPr>
          <w:vertAlign w:val="superscript"/>
          <w:lang w:eastAsia="et-EE"/>
        </w:rPr>
        <w:footnoteReference w:id="151"/>
      </w:r>
      <w:r w:rsidRPr="00C50854">
        <w:rPr>
          <w:lang w:eastAsia="et-EE"/>
        </w:rPr>
        <w:t>, kuna on täidetud järgnevad soovituse punktis 40 esitatud nõuded:</w:t>
      </w:r>
    </w:p>
    <w:p w14:paraId="2CB62AEC" w14:textId="788D3966" w:rsidR="00D67E10" w:rsidRPr="00C50854" w:rsidRDefault="00D67E10" w:rsidP="00D67E10">
      <w:pPr>
        <w:numPr>
          <w:ilvl w:val="0"/>
          <w:numId w:val="25"/>
        </w:numPr>
        <w:spacing w:before="120" w:after="120"/>
        <w:ind w:left="567"/>
        <w:jc w:val="both"/>
        <w:rPr>
          <w:lang w:eastAsia="et-EE"/>
        </w:rPr>
      </w:pPr>
      <w:r w:rsidRPr="00C50854">
        <w:rPr>
          <w:lang w:eastAsia="et-EE"/>
        </w:rPr>
        <w:t xml:space="preserve">Kuluarvestuse TD HC FDC meetodi rakendamise tulemusel kujunevad juurdepääsuhinnad, mis vastavad suurel määral tõhusal konkurentsivõimelisel turul oodatavatele hindadele. Selline kuluarvestuse meetod põhineb tänapäevasel tõhusal Telia sidevõrgul (vt ülaltoodud lõiku </w:t>
      </w:r>
      <w:r w:rsidR="0040093D" w:rsidRPr="00C50854">
        <w:rPr>
          <w:lang w:eastAsia="et-EE"/>
        </w:rPr>
        <w:fldChar w:fldCharType="begin"/>
      </w:r>
      <w:r w:rsidR="0040093D" w:rsidRPr="00C50854">
        <w:rPr>
          <w:lang w:eastAsia="et-EE"/>
        </w:rPr>
        <w:instrText xml:space="preserve"> REF _Ref464569373 \r \h </w:instrText>
      </w:r>
      <w:r w:rsidR="00EE5763" w:rsidRPr="00C50854">
        <w:rPr>
          <w:lang w:eastAsia="et-EE"/>
        </w:rPr>
        <w:instrText xml:space="preserve"> \* MERGEFORMAT </w:instrText>
      </w:r>
      <w:r w:rsidR="0040093D" w:rsidRPr="00C50854">
        <w:rPr>
          <w:lang w:eastAsia="et-EE"/>
        </w:rPr>
      </w:r>
      <w:r w:rsidR="0040093D" w:rsidRPr="00C50854">
        <w:rPr>
          <w:lang w:eastAsia="et-EE"/>
        </w:rPr>
        <w:fldChar w:fldCharType="separate"/>
      </w:r>
      <w:r w:rsidR="0040093D" w:rsidRPr="00C50854">
        <w:rPr>
          <w:lang w:eastAsia="et-EE"/>
        </w:rPr>
        <w:t>51</w:t>
      </w:r>
      <w:r w:rsidR="0040093D" w:rsidRPr="00C50854">
        <w:rPr>
          <w:lang w:eastAsia="et-EE"/>
        </w:rPr>
        <w:fldChar w:fldCharType="end"/>
      </w:r>
      <w:r w:rsidR="000E34C0">
        <w:rPr>
          <w:lang w:eastAsia="et-EE"/>
        </w:rPr>
        <w:t>8</w:t>
      </w:r>
      <w:r w:rsidRPr="00C50854">
        <w:rPr>
          <w:lang w:eastAsia="et-EE"/>
        </w:rPr>
        <w:t>). See tagab stabiilsed ja prognoositavad vaskpaar-juurdepääsuvõrgu hulgimüügihinnad (vt alltoodud</w:t>
      </w:r>
      <w:r w:rsidR="003C0C2D" w:rsidRPr="00C50854">
        <w:rPr>
          <w:lang w:eastAsia="et-EE"/>
        </w:rPr>
        <w:t xml:space="preserve"> </w:t>
      </w:r>
      <w:r w:rsidR="0090523D" w:rsidRPr="00C50854">
        <w:rPr>
          <w:lang w:eastAsia="et-EE"/>
        </w:rPr>
        <w:fldChar w:fldCharType="begin"/>
      </w:r>
      <w:r w:rsidR="0090523D" w:rsidRPr="00C50854">
        <w:rPr>
          <w:lang w:eastAsia="et-EE"/>
        </w:rPr>
        <w:instrText xml:space="preserve"> REF _Ref40787546 \h </w:instrText>
      </w:r>
      <w:r w:rsidR="00C50854">
        <w:rPr>
          <w:lang w:eastAsia="et-EE"/>
        </w:rPr>
        <w:instrText xml:space="preserve"> \* MERGEFORMAT </w:instrText>
      </w:r>
      <w:r w:rsidR="0090523D" w:rsidRPr="00C50854">
        <w:rPr>
          <w:lang w:eastAsia="et-EE"/>
        </w:rPr>
      </w:r>
      <w:r w:rsidR="0090523D" w:rsidRPr="00C50854">
        <w:rPr>
          <w:lang w:eastAsia="et-EE"/>
        </w:rPr>
        <w:fldChar w:fldCharType="separate"/>
      </w:r>
      <w:r w:rsidR="00697B2B" w:rsidRPr="00C50854">
        <w:t xml:space="preserve">Joonis </w:t>
      </w:r>
      <w:r w:rsidR="00697B2B" w:rsidRPr="00C50854">
        <w:rPr>
          <w:noProof/>
        </w:rPr>
        <w:t>20</w:t>
      </w:r>
      <w:r w:rsidR="0090523D" w:rsidRPr="00C50854">
        <w:rPr>
          <w:lang w:eastAsia="et-EE"/>
        </w:rPr>
        <w:fldChar w:fldCharType="end"/>
      </w:r>
      <w:r w:rsidRPr="00C50854">
        <w:rPr>
          <w:lang w:eastAsia="et-EE"/>
        </w:rPr>
        <w:t xml:space="preserve"> ja </w:t>
      </w:r>
      <w:r w:rsidR="0090523D" w:rsidRPr="00C50854">
        <w:rPr>
          <w:lang w:eastAsia="et-EE"/>
        </w:rPr>
        <w:fldChar w:fldCharType="begin"/>
      </w:r>
      <w:r w:rsidR="0090523D" w:rsidRPr="00C50854">
        <w:rPr>
          <w:lang w:eastAsia="et-EE"/>
        </w:rPr>
        <w:instrText xml:space="preserve"> REF _Ref40787590 \h </w:instrText>
      </w:r>
      <w:r w:rsidR="00C50854">
        <w:rPr>
          <w:lang w:eastAsia="et-EE"/>
        </w:rPr>
        <w:instrText xml:space="preserve"> \* MERGEFORMAT </w:instrText>
      </w:r>
      <w:r w:rsidR="0090523D" w:rsidRPr="00C50854">
        <w:rPr>
          <w:lang w:eastAsia="et-EE"/>
        </w:rPr>
      </w:r>
      <w:r w:rsidR="0090523D" w:rsidRPr="00C50854">
        <w:rPr>
          <w:lang w:eastAsia="et-EE"/>
        </w:rPr>
        <w:fldChar w:fldCharType="separate"/>
      </w:r>
      <w:r w:rsidR="00697B2B" w:rsidRPr="00C50854">
        <w:t xml:space="preserve">Joonis </w:t>
      </w:r>
      <w:r w:rsidR="00697B2B" w:rsidRPr="00C50854">
        <w:rPr>
          <w:noProof/>
        </w:rPr>
        <w:t>21</w:t>
      </w:r>
      <w:r w:rsidR="0090523D" w:rsidRPr="00C50854">
        <w:rPr>
          <w:lang w:eastAsia="et-EE"/>
        </w:rPr>
        <w:fldChar w:fldCharType="end"/>
      </w:r>
      <w:r w:rsidRPr="00C50854">
        <w:rPr>
          <w:lang w:eastAsia="et-EE"/>
        </w:rPr>
        <w:t xml:space="preserve">), mille abil välditakse märkimisväärseid hinnakõikumisi ja –šokke ning pakub selget raamistikku investeerimiseks. Kuluarvestuse </w:t>
      </w:r>
      <w:r w:rsidRPr="00C50854">
        <w:rPr>
          <w:iCs/>
          <w:lang w:eastAsia="et-EE"/>
        </w:rPr>
        <w:t xml:space="preserve">TD HC FDC </w:t>
      </w:r>
      <w:r w:rsidRPr="00C50854">
        <w:rPr>
          <w:lang w:eastAsia="et-EE"/>
        </w:rPr>
        <w:t xml:space="preserve">meetodi abil on võimalik määrata kulupõhiseid vaskpaar-võrgu hulgimüügihindu, mis toimivad ankruna järgmise põlvkonna juurdepääsuvõrgu teenuste puhul. Samuti tulevad kuluarvestuse </w:t>
      </w:r>
      <w:r w:rsidRPr="00C50854">
        <w:rPr>
          <w:iCs/>
          <w:lang w:eastAsia="et-EE"/>
        </w:rPr>
        <w:t xml:space="preserve">TD HC FDC </w:t>
      </w:r>
      <w:r w:rsidRPr="00C50854">
        <w:rPr>
          <w:lang w:eastAsia="et-EE"/>
        </w:rPr>
        <w:t xml:space="preserve">meetodi alusel määratud hinnad toime vaskpaar-võrgul osutavate teenuste vähenevatest mahtudest tuleneva mõjuga, mida põhjustab üleminek vaskpaar-võrkudelt järgmise põlvkonna juurdepääsuvõrkudele. Rakendatav kuluarvestuse meetod võimaldab vältida vaskpaar-võrgu hulgimüügihindade kunstlikku tõusu, mis leiaks aset selle tulemusel, kui kliendid lähevad üle märkimisväärse </w:t>
      </w:r>
      <w:r w:rsidRPr="00C50854">
        <w:rPr>
          <w:lang w:eastAsia="et-EE"/>
        </w:rPr>
        <w:lastRenderedPageBreak/>
        <w:t>turujõuga ettevõtja järgmise põlvkonna juurdepääsuvõrku</w:t>
      </w:r>
      <w:r w:rsidRPr="00C50854">
        <w:rPr>
          <w:vertAlign w:val="superscript"/>
          <w:lang w:eastAsia="et-EE"/>
        </w:rPr>
        <w:footnoteReference w:id="152"/>
      </w:r>
      <w:r w:rsidRPr="00C50854">
        <w:rPr>
          <w:lang w:eastAsia="et-EE"/>
        </w:rPr>
        <w:t xml:space="preserve">. Kõiki eelloetletud tingimuste täitmist põhjendab eelkõige asjaolu, et rakendatava kuluarvestuse </w:t>
      </w:r>
      <w:r w:rsidRPr="00C50854">
        <w:rPr>
          <w:iCs/>
          <w:lang w:eastAsia="et-EE"/>
        </w:rPr>
        <w:t xml:space="preserve">TD HC FDC </w:t>
      </w:r>
      <w:r w:rsidRPr="00C50854">
        <w:rPr>
          <w:lang w:eastAsia="et-EE"/>
        </w:rPr>
        <w:t>meetodit on kasutatud vaskpaarile juurdepääsu hindade arvestamisel juba aastast 2007 ja need hinnad olnud stabiilsed (vt</w:t>
      </w:r>
      <w:r w:rsidRPr="00C50854">
        <w:t xml:space="preserve"> </w:t>
      </w:r>
      <w:r w:rsidR="0090523D" w:rsidRPr="00C50854">
        <w:fldChar w:fldCharType="begin"/>
      </w:r>
      <w:r w:rsidR="0090523D" w:rsidRPr="00C50854">
        <w:instrText xml:space="preserve"> REF _Ref40787546 \h </w:instrText>
      </w:r>
      <w:r w:rsidR="00C50854">
        <w:instrText xml:space="preserve"> \* MERGEFORMAT </w:instrText>
      </w:r>
      <w:r w:rsidR="0090523D" w:rsidRPr="00C50854">
        <w:fldChar w:fldCharType="separate"/>
      </w:r>
      <w:r w:rsidR="00697B2B" w:rsidRPr="00C50854">
        <w:t xml:space="preserve">Joonis </w:t>
      </w:r>
      <w:r w:rsidR="00697B2B" w:rsidRPr="00C50854">
        <w:rPr>
          <w:noProof/>
        </w:rPr>
        <w:t>20</w:t>
      </w:r>
      <w:r w:rsidR="0090523D" w:rsidRPr="00C50854">
        <w:fldChar w:fldCharType="end"/>
      </w:r>
      <w:r w:rsidRPr="00C50854">
        <w:rPr>
          <w:lang w:eastAsia="et-EE"/>
        </w:rPr>
        <w:t xml:space="preserve">). Samuti on olnud stabiilsed ja viimastel aastatel ka kasvavad investeeringud sidevõrgu arendamisse (vt ülaltoodud </w:t>
      </w:r>
      <w:r w:rsidR="003C0C2D" w:rsidRPr="00C50854">
        <w:rPr>
          <w:lang w:eastAsia="et-EE"/>
        </w:rPr>
        <w:fldChar w:fldCharType="begin"/>
      </w:r>
      <w:r w:rsidR="003C0C2D" w:rsidRPr="00C50854">
        <w:rPr>
          <w:lang w:eastAsia="et-EE"/>
        </w:rPr>
        <w:instrText xml:space="preserve"> REF _Ref40787331 \h </w:instrText>
      </w:r>
      <w:r w:rsidR="00C50854">
        <w:rPr>
          <w:lang w:eastAsia="et-EE"/>
        </w:rPr>
        <w:instrText xml:space="preserve"> \* MERGEFORMAT </w:instrText>
      </w:r>
      <w:r w:rsidR="003C0C2D" w:rsidRPr="00C50854">
        <w:rPr>
          <w:lang w:eastAsia="et-EE"/>
        </w:rPr>
      </w:r>
      <w:r w:rsidR="003C0C2D" w:rsidRPr="00C50854">
        <w:rPr>
          <w:lang w:eastAsia="et-EE"/>
        </w:rPr>
        <w:fldChar w:fldCharType="separate"/>
      </w:r>
      <w:r w:rsidR="003C0C2D" w:rsidRPr="00C50854">
        <w:t xml:space="preserve">Joonis </w:t>
      </w:r>
      <w:r w:rsidR="003C0C2D" w:rsidRPr="00C50854">
        <w:rPr>
          <w:noProof/>
        </w:rPr>
        <w:t>16</w:t>
      </w:r>
      <w:r w:rsidR="003C0C2D" w:rsidRPr="00C50854">
        <w:rPr>
          <w:lang w:eastAsia="et-EE"/>
        </w:rPr>
        <w:fldChar w:fldCharType="end"/>
      </w:r>
      <w:r w:rsidRPr="00C50854">
        <w:rPr>
          <w:lang w:eastAsia="et-EE"/>
        </w:rPr>
        <w:t xml:space="preserve">) ning järgmise põlvkonna juurdepääsuvõrgu katvus Eestis on samal tasemel EL liikmesriikide keskmisega (vt </w:t>
      </w:r>
      <w:r w:rsidR="003C0C2D" w:rsidRPr="00C50854">
        <w:rPr>
          <w:lang w:eastAsia="et-EE"/>
        </w:rPr>
        <w:fldChar w:fldCharType="begin"/>
      </w:r>
      <w:r w:rsidR="003C0C2D" w:rsidRPr="00C50854">
        <w:rPr>
          <w:lang w:eastAsia="et-EE"/>
        </w:rPr>
        <w:instrText xml:space="preserve"> REF _Ref40787432 \h </w:instrText>
      </w:r>
      <w:r w:rsidR="00C50854">
        <w:rPr>
          <w:lang w:eastAsia="et-EE"/>
        </w:rPr>
        <w:instrText xml:space="preserve"> \* MERGEFORMAT </w:instrText>
      </w:r>
      <w:r w:rsidR="003C0C2D" w:rsidRPr="00C50854">
        <w:rPr>
          <w:lang w:eastAsia="et-EE"/>
        </w:rPr>
      </w:r>
      <w:r w:rsidR="003C0C2D" w:rsidRPr="00C50854">
        <w:rPr>
          <w:lang w:eastAsia="et-EE"/>
        </w:rPr>
        <w:fldChar w:fldCharType="separate"/>
      </w:r>
      <w:r w:rsidR="00697B2B" w:rsidRPr="00C50854">
        <w:t xml:space="preserve">Joonis </w:t>
      </w:r>
      <w:r w:rsidR="00697B2B" w:rsidRPr="00C50854">
        <w:rPr>
          <w:noProof/>
        </w:rPr>
        <w:t>19</w:t>
      </w:r>
      <w:r w:rsidR="003C0C2D" w:rsidRPr="00C50854">
        <w:rPr>
          <w:lang w:eastAsia="et-EE"/>
        </w:rPr>
        <w:fldChar w:fldCharType="end"/>
      </w:r>
      <w:r w:rsidRPr="00C50854">
        <w:rPr>
          <w:lang w:eastAsia="et-EE"/>
        </w:rPr>
        <w:t xml:space="preserve">). </w:t>
      </w:r>
    </w:p>
    <w:p w14:paraId="6399778C" w14:textId="41DEEFEF" w:rsidR="00D67E10" w:rsidRPr="00C50854" w:rsidRDefault="00D67E10" w:rsidP="00D67E10">
      <w:pPr>
        <w:numPr>
          <w:ilvl w:val="0"/>
          <w:numId w:val="25"/>
        </w:numPr>
        <w:spacing w:before="120" w:after="120"/>
        <w:ind w:left="567"/>
        <w:jc w:val="both"/>
        <w:rPr>
          <w:lang w:eastAsia="et-EE"/>
        </w:rPr>
      </w:pPr>
      <w:r w:rsidRPr="00C50854">
        <w:rPr>
          <w:lang w:eastAsia="et-EE"/>
        </w:rPr>
        <w:t xml:space="preserve">Kulude tagasiteenimine on </w:t>
      </w:r>
      <w:proofErr w:type="spellStart"/>
      <w:r w:rsidRPr="00C50854">
        <w:rPr>
          <w:lang w:eastAsia="et-EE"/>
        </w:rPr>
        <w:t>kuluarvestue</w:t>
      </w:r>
      <w:proofErr w:type="spellEnd"/>
      <w:r w:rsidRPr="00C50854">
        <w:rPr>
          <w:lang w:eastAsia="et-EE"/>
        </w:rPr>
        <w:t xml:space="preserve"> </w:t>
      </w:r>
      <w:r w:rsidRPr="00C50854">
        <w:rPr>
          <w:iCs/>
          <w:lang w:eastAsia="et-EE"/>
        </w:rPr>
        <w:t xml:space="preserve">TD HC FDC </w:t>
      </w:r>
      <w:r w:rsidRPr="00C50854">
        <w:rPr>
          <w:lang w:eastAsia="et-EE"/>
        </w:rPr>
        <w:t xml:space="preserve">meetodi peamine põhimõte. Sellega tagatakse, et </w:t>
      </w:r>
      <w:r w:rsidR="002A5D20" w:rsidRPr="00C50854">
        <w:rPr>
          <w:lang w:eastAsia="et-EE"/>
        </w:rPr>
        <w:t>sideettevõtja</w:t>
      </w:r>
      <w:r w:rsidRPr="00C50854">
        <w:rPr>
          <w:lang w:eastAsia="et-EE"/>
        </w:rPr>
        <w:t xml:space="preserve">d suudavad katta kulud, mis on kantud tõhusa tegevuse käigus, ning saada asjakohast tulu investeeritud kapitalilt. </w:t>
      </w:r>
    </w:p>
    <w:p w14:paraId="118C3192" w14:textId="39835A94" w:rsidR="00D67E10" w:rsidRPr="00C50854" w:rsidRDefault="00D67E10" w:rsidP="00D67E10">
      <w:pPr>
        <w:numPr>
          <w:ilvl w:val="0"/>
          <w:numId w:val="25"/>
        </w:numPr>
        <w:spacing w:before="120" w:after="120"/>
        <w:ind w:left="567"/>
        <w:jc w:val="both"/>
        <w:rPr>
          <w:lang w:eastAsia="et-EE"/>
        </w:rPr>
      </w:pPr>
      <w:r w:rsidRPr="00C50854">
        <w:rPr>
          <w:iCs/>
          <w:lang w:eastAsia="et-EE"/>
        </w:rPr>
        <w:t>Kuluarvestuse TD HC FDC</w:t>
      </w:r>
      <w:r w:rsidRPr="00C50854">
        <w:rPr>
          <w:lang w:eastAsia="et-EE"/>
        </w:rPr>
        <w:t xml:space="preserve"> meetod annab nn asjakohaseid ostu- või müügisignaale, saavutab sobiva tasakaalu tõhusa turule sisenemise tagamise ning piisavate investeerimis-stiimulite ja eelkõige järgmise põlvkonna juurdepääsuvõrkude kasutuselevõtu vahel ning seeläbi toetab uusi, kiiremaid ja parema kvaliteediga lairibateenuseid. Seda kinnitab asjaolu, et Telia on rakendanud reguleeritavatele juurdepääsu teenuste hindade arvestamisele alates 2007. aastast kuluarvestuse </w:t>
      </w:r>
      <w:r w:rsidRPr="00C50854">
        <w:rPr>
          <w:iCs/>
          <w:lang w:eastAsia="et-EE"/>
        </w:rPr>
        <w:t>TD HC FDC meetodit</w:t>
      </w:r>
      <w:r w:rsidRPr="00C50854">
        <w:rPr>
          <w:lang w:eastAsia="et-EE"/>
        </w:rPr>
        <w:t xml:space="preserve"> ja selle aja jooksul on Eestis, mis on üks väiksema elanikkonna tihedusega riike Euroopas (ca 29 in/km</w:t>
      </w:r>
      <w:r w:rsidRPr="00C50854">
        <w:rPr>
          <w:vertAlign w:val="superscript"/>
          <w:lang w:eastAsia="et-EE"/>
        </w:rPr>
        <w:t>2</w:t>
      </w:r>
      <w:r w:rsidRPr="00C50854">
        <w:rPr>
          <w:lang w:eastAsia="et-EE"/>
        </w:rPr>
        <w:t xml:space="preserve">) ühendatud järgmise põlvkonna fikseeritud lairibaühendusega 83% majapidamistest, mis on samaväärne Euroopa Liidu vastava keskmise näitajaga (vt </w:t>
      </w:r>
      <w:r w:rsidR="003C0C2D" w:rsidRPr="00C50854">
        <w:rPr>
          <w:lang w:eastAsia="et-EE"/>
        </w:rPr>
        <w:fldChar w:fldCharType="begin"/>
      </w:r>
      <w:r w:rsidR="003C0C2D" w:rsidRPr="00C50854">
        <w:rPr>
          <w:lang w:eastAsia="et-EE"/>
        </w:rPr>
        <w:instrText xml:space="preserve"> REF _Ref40787432 \h </w:instrText>
      </w:r>
      <w:r w:rsidR="00C50854">
        <w:rPr>
          <w:lang w:eastAsia="et-EE"/>
        </w:rPr>
        <w:instrText xml:space="preserve"> \* MERGEFORMAT </w:instrText>
      </w:r>
      <w:r w:rsidR="003C0C2D" w:rsidRPr="00C50854">
        <w:rPr>
          <w:lang w:eastAsia="et-EE"/>
        </w:rPr>
      </w:r>
      <w:r w:rsidR="003C0C2D" w:rsidRPr="00C50854">
        <w:rPr>
          <w:lang w:eastAsia="et-EE"/>
        </w:rPr>
        <w:fldChar w:fldCharType="separate"/>
      </w:r>
      <w:r w:rsidR="00697B2B" w:rsidRPr="00C50854">
        <w:t xml:space="preserve">Joonis </w:t>
      </w:r>
      <w:r w:rsidR="00697B2B" w:rsidRPr="00C50854">
        <w:rPr>
          <w:noProof/>
        </w:rPr>
        <w:t>19</w:t>
      </w:r>
      <w:r w:rsidR="003C0C2D" w:rsidRPr="00C50854">
        <w:rPr>
          <w:lang w:eastAsia="et-EE"/>
        </w:rPr>
        <w:fldChar w:fldCharType="end"/>
      </w:r>
      <w:r w:rsidRPr="00C50854">
        <w:rPr>
          <w:lang w:eastAsia="et-EE"/>
        </w:rPr>
        <w:t xml:space="preserve">). </w:t>
      </w:r>
    </w:p>
    <w:p w14:paraId="4A565D3E" w14:textId="77777777" w:rsidR="00D67E10" w:rsidRPr="00C50854" w:rsidRDefault="00D67E10" w:rsidP="00D67E10">
      <w:pPr>
        <w:numPr>
          <w:ilvl w:val="0"/>
          <w:numId w:val="25"/>
        </w:numPr>
        <w:spacing w:before="360" w:after="120"/>
        <w:ind w:left="567"/>
        <w:jc w:val="both"/>
        <w:rPr>
          <w:lang w:eastAsia="et-EE"/>
        </w:rPr>
      </w:pPr>
      <w:r w:rsidRPr="00C50854">
        <w:rPr>
          <w:iCs/>
          <w:lang w:eastAsia="et-EE"/>
        </w:rPr>
        <w:t>Kuluarvestuse TD HC FDC</w:t>
      </w:r>
      <w:r w:rsidRPr="00C50854">
        <w:rPr>
          <w:lang w:eastAsia="et-EE"/>
        </w:rPr>
        <w:t xml:space="preserve"> meetod tagab liidus läbipaistvuse ja ühtsuse ning peegeldab konkreetseid siseriiklikke olusid, kuna selle alusel arvestatud hinnad annavad selge ja arusaadava ülevaate Eesti lairiba juurdepääsu hulgituru teenuste  kuludest.</w:t>
      </w:r>
    </w:p>
    <w:p w14:paraId="6E43FDFE" w14:textId="77777777" w:rsidR="00D67E10" w:rsidRPr="00C50854" w:rsidRDefault="00D67E10" w:rsidP="00D67E10">
      <w:pPr>
        <w:numPr>
          <w:ilvl w:val="0"/>
          <w:numId w:val="25"/>
        </w:numPr>
        <w:spacing w:before="120" w:after="120"/>
        <w:ind w:left="567"/>
        <w:jc w:val="both"/>
        <w:rPr>
          <w:lang w:eastAsia="et-EE"/>
        </w:rPr>
      </w:pPr>
      <w:r w:rsidRPr="00C50854">
        <w:rPr>
          <w:iCs/>
          <w:lang w:eastAsia="et-EE"/>
        </w:rPr>
        <w:t>Kuluarvestuse TD HC FDC</w:t>
      </w:r>
      <w:r w:rsidRPr="00C50854">
        <w:rPr>
          <w:lang w:eastAsia="et-EE"/>
        </w:rPr>
        <w:t xml:space="preserve"> meetod ei modelleeri alt-üles järgmise põlvkonna juurdepääsuvõrku, vaid lähtub reaalsest järgmise põlvkonna juurdepääsuvõrgu arengust. Seetõttu peegeldab TD HC FDC meetod järkjärgulist üleminekut vaskpaar-võrgult järgmise põlvkonna juurdepääsuvõrgule.</w:t>
      </w:r>
    </w:p>
    <w:p w14:paraId="4173FDBF" w14:textId="77777777" w:rsidR="00D67E10" w:rsidRPr="00C50854" w:rsidRDefault="00D67E10" w:rsidP="00D67E10">
      <w:pPr>
        <w:numPr>
          <w:ilvl w:val="0"/>
          <w:numId w:val="25"/>
        </w:numPr>
        <w:spacing w:before="120" w:after="120"/>
        <w:ind w:left="567"/>
        <w:jc w:val="both"/>
        <w:rPr>
          <w:lang w:eastAsia="et-EE"/>
        </w:rPr>
      </w:pPr>
      <w:r w:rsidRPr="00C50854">
        <w:rPr>
          <w:iCs/>
          <w:lang w:eastAsia="et-EE"/>
        </w:rPr>
        <w:t>Kuluarvestuse TD HC FDC</w:t>
      </w:r>
      <w:r w:rsidRPr="00C50854">
        <w:rPr>
          <w:lang w:eastAsia="et-EE"/>
        </w:rPr>
        <w:t xml:space="preserve"> meetod kohaldab sellist varade väärtuse hindamise meetodit, kus teatavaid tsiviilehituse infrastruktuuri varasid ei dubleerita (nt. tsiviilehituse infrastruktuur amortiseeritakse ajaloolise väärtuse alusel ja neid ei hinnata üles tänapäeva väärtusse);</w:t>
      </w:r>
    </w:p>
    <w:p w14:paraId="19DA67A0" w14:textId="6DFA6954" w:rsidR="00D67E10" w:rsidRPr="00C50854" w:rsidRDefault="00D67E10" w:rsidP="00D67E10">
      <w:pPr>
        <w:numPr>
          <w:ilvl w:val="0"/>
          <w:numId w:val="25"/>
        </w:numPr>
        <w:spacing w:before="120" w:after="360"/>
        <w:ind w:left="567"/>
        <w:jc w:val="both"/>
        <w:rPr>
          <w:lang w:eastAsia="et-EE"/>
        </w:rPr>
      </w:pPr>
      <w:r w:rsidRPr="00C50854">
        <w:rPr>
          <w:iCs/>
          <w:lang w:eastAsia="et-EE"/>
        </w:rPr>
        <w:t>Kuluarvestuse TD HC FDC</w:t>
      </w:r>
      <w:r w:rsidRPr="00C50854">
        <w:rPr>
          <w:lang w:eastAsia="et-EE"/>
        </w:rPr>
        <w:t xml:space="preserve"> meetod arvestatud vaskpaari-juurdepääsuvõrgu hindade dokumenteeritud prognoosid (vt </w:t>
      </w:r>
      <w:r w:rsidR="003C0C2D" w:rsidRPr="00C50854">
        <w:rPr>
          <w:lang w:eastAsia="et-EE"/>
        </w:rPr>
        <w:fldChar w:fldCharType="begin"/>
      </w:r>
      <w:r w:rsidR="003C0C2D" w:rsidRPr="00C50854">
        <w:rPr>
          <w:lang w:eastAsia="et-EE"/>
        </w:rPr>
        <w:instrText xml:space="preserve"> REF _Ref40787546 \h </w:instrText>
      </w:r>
      <w:r w:rsidR="00C50854">
        <w:rPr>
          <w:lang w:eastAsia="et-EE"/>
        </w:rPr>
        <w:instrText xml:space="preserve"> \* MERGEFORMAT </w:instrText>
      </w:r>
      <w:r w:rsidR="003C0C2D" w:rsidRPr="00C50854">
        <w:rPr>
          <w:lang w:eastAsia="et-EE"/>
        </w:rPr>
      </w:r>
      <w:r w:rsidR="003C0C2D" w:rsidRPr="00C50854">
        <w:rPr>
          <w:lang w:eastAsia="et-EE"/>
        </w:rPr>
        <w:fldChar w:fldCharType="separate"/>
      </w:r>
      <w:r w:rsidR="003C0C2D" w:rsidRPr="00C50854">
        <w:t xml:space="preserve">Joonis </w:t>
      </w:r>
      <w:r w:rsidR="003C0C2D" w:rsidRPr="00C50854">
        <w:rPr>
          <w:noProof/>
        </w:rPr>
        <w:t>19</w:t>
      </w:r>
      <w:r w:rsidR="003C0C2D" w:rsidRPr="00C50854">
        <w:rPr>
          <w:lang w:eastAsia="et-EE"/>
        </w:rPr>
        <w:fldChar w:fldCharType="end"/>
      </w:r>
      <w:r w:rsidRPr="00C50854">
        <w:rPr>
          <w:lang w:eastAsia="et-EE"/>
        </w:rPr>
        <w:t>) tõendavad hindade suhtelist stabiilsust pika perioodi jooksul (4,94 € kuus vaskpaari kohta alatest aastast 2016) . Seega on nimetatud hinnad kooskõlas põhimõttega, et regulatiivsed hinnad peavad olema läbipaistvad ja prognoositavad. Kohaliku juurdepääsu hulgituru otsuse hinnakohustustes</w:t>
      </w:r>
      <w:r w:rsidRPr="00C50854">
        <w:rPr>
          <w:vertAlign w:val="superscript"/>
          <w:lang w:eastAsia="et-EE"/>
        </w:rPr>
        <w:footnoteReference w:id="153"/>
      </w:r>
      <w:r w:rsidRPr="00C50854">
        <w:rPr>
          <w:lang w:eastAsia="et-EE"/>
        </w:rPr>
        <w:t xml:space="preserve"> on sätestatud põhimõte ja TTJA kavandab seda järgida ka edaspidi, et vaskpaarile juurdepääsu teenus hind ei tohi kalendriaastas muutuda rohkem kui 5%. Seega jääb vaskpaarile juurdepääsu teenuse kuutasu tulevikus aastani 2025. vahemikku 3,82 € kuni 6,30 € (vt </w:t>
      </w:r>
      <w:r w:rsidR="003C0C2D" w:rsidRPr="00C50854">
        <w:rPr>
          <w:lang w:eastAsia="et-EE"/>
        </w:rPr>
        <w:fldChar w:fldCharType="begin"/>
      </w:r>
      <w:r w:rsidR="003C0C2D" w:rsidRPr="00C50854">
        <w:rPr>
          <w:lang w:eastAsia="et-EE"/>
        </w:rPr>
        <w:instrText xml:space="preserve"> REF _Ref40787590 \h </w:instrText>
      </w:r>
      <w:r w:rsidR="00C50854">
        <w:rPr>
          <w:lang w:eastAsia="et-EE"/>
        </w:rPr>
        <w:instrText xml:space="preserve"> \* MERGEFORMAT </w:instrText>
      </w:r>
      <w:r w:rsidR="003C0C2D" w:rsidRPr="00C50854">
        <w:rPr>
          <w:lang w:eastAsia="et-EE"/>
        </w:rPr>
      </w:r>
      <w:r w:rsidR="003C0C2D" w:rsidRPr="00C50854">
        <w:rPr>
          <w:lang w:eastAsia="et-EE"/>
        </w:rPr>
        <w:fldChar w:fldCharType="separate"/>
      </w:r>
      <w:r w:rsidR="00697B2B" w:rsidRPr="00C50854">
        <w:t xml:space="preserve">Joonis </w:t>
      </w:r>
      <w:r w:rsidR="00697B2B" w:rsidRPr="00C50854">
        <w:rPr>
          <w:noProof/>
        </w:rPr>
        <w:t>21</w:t>
      </w:r>
      <w:r w:rsidR="003C0C2D" w:rsidRPr="00C50854">
        <w:rPr>
          <w:lang w:eastAsia="et-EE"/>
        </w:rPr>
        <w:fldChar w:fldCharType="end"/>
      </w:r>
      <w:r w:rsidRPr="00C50854">
        <w:rPr>
          <w:lang w:eastAsia="et-EE"/>
        </w:rPr>
        <w:t xml:space="preserve">). </w:t>
      </w:r>
    </w:p>
    <w:p w14:paraId="6AC6136E" w14:textId="77777777" w:rsidR="00D67E10" w:rsidRPr="00C50854" w:rsidRDefault="00D67E10" w:rsidP="00D67E10">
      <w:pPr>
        <w:spacing w:before="120" w:after="120"/>
        <w:ind w:left="567"/>
        <w:jc w:val="both"/>
        <w:rPr>
          <w:lang w:eastAsia="et-EE"/>
        </w:rPr>
      </w:pPr>
      <w:r w:rsidRPr="00C50854">
        <w:rPr>
          <w:noProof/>
          <w:lang w:eastAsia="et-EE"/>
        </w:rPr>
        <w:lastRenderedPageBreak/>
        <w:drawing>
          <wp:inline distT="0" distB="0" distL="0" distR="0" wp14:anchorId="394D35F0" wp14:editId="621B15F5">
            <wp:extent cx="5825197" cy="1752600"/>
            <wp:effectExtent l="0" t="0" r="4445" b="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7906" cy="1753415"/>
                    </a:xfrm>
                    <a:prstGeom prst="rect">
                      <a:avLst/>
                    </a:prstGeom>
                    <a:noFill/>
                  </pic:spPr>
                </pic:pic>
              </a:graphicData>
            </a:graphic>
          </wp:inline>
        </w:drawing>
      </w:r>
    </w:p>
    <w:p w14:paraId="4BE4468A" w14:textId="545E70CA" w:rsidR="00D67E10" w:rsidRPr="00C50854" w:rsidRDefault="0090523D" w:rsidP="0090523D">
      <w:pPr>
        <w:pStyle w:val="Pealdis"/>
        <w:rPr>
          <w:lang w:eastAsia="et-EE"/>
        </w:rPr>
      </w:pPr>
      <w:bookmarkStart w:id="569" w:name="_Ref40787546"/>
      <w:bookmarkStart w:id="570" w:name="_Ref472515030"/>
      <w:r w:rsidRPr="00C50854">
        <w:t xml:space="preserve">Joonis </w:t>
      </w:r>
      <w:fldSimple w:instr=" SEQ Joonis \* ARABIC ">
        <w:r w:rsidR="00697B2B" w:rsidRPr="00C50854">
          <w:rPr>
            <w:noProof/>
          </w:rPr>
          <w:t>20</w:t>
        </w:r>
      </w:fldSimple>
      <w:bookmarkEnd w:id="569"/>
      <w:r w:rsidRPr="00C50854">
        <w:t xml:space="preserve">. </w:t>
      </w:r>
      <w:r w:rsidR="00D67E10" w:rsidRPr="00C50854">
        <w:rPr>
          <w:b w:val="0"/>
          <w:lang w:eastAsia="et-EE"/>
        </w:rPr>
        <w:t xml:space="preserve">Vaskpaarile juurdepääsu teenuse kuutasu </w:t>
      </w:r>
      <w:bookmarkEnd w:id="570"/>
    </w:p>
    <w:p w14:paraId="0F730569" w14:textId="77777777" w:rsidR="00D67E10" w:rsidRPr="00C50854" w:rsidRDefault="00D67E10" w:rsidP="00D67E10">
      <w:pPr>
        <w:spacing w:before="120" w:after="120"/>
        <w:ind w:left="567"/>
        <w:jc w:val="both"/>
        <w:rPr>
          <w:lang w:eastAsia="et-EE"/>
        </w:rPr>
      </w:pPr>
      <w:r w:rsidRPr="00C50854">
        <w:rPr>
          <w:lang w:eastAsia="et-EE"/>
        </w:rPr>
        <w:tab/>
      </w:r>
      <w:r w:rsidRPr="00C50854">
        <w:rPr>
          <w:noProof/>
          <w:lang w:eastAsia="et-EE"/>
        </w:rPr>
        <w:drawing>
          <wp:inline distT="0" distB="0" distL="0" distR="0" wp14:anchorId="44265163" wp14:editId="484DD855">
            <wp:extent cx="5809615" cy="4134604"/>
            <wp:effectExtent l="0" t="0" r="635" b="0"/>
            <wp:docPr id="109" name="Pil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9615" cy="4134604"/>
                    </a:xfrm>
                    <a:prstGeom prst="rect">
                      <a:avLst/>
                    </a:prstGeom>
                    <a:noFill/>
                  </pic:spPr>
                </pic:pic>
              </a:graphicData>
            </a:graphic>
          </wp:inline>
        </w:drawing>
      </w:r>
    </w:p>
    <w:p w14:paraId="4AA3487D" w14:textId="1BD4E974" w:rsidR="00D67E10" w:rsidRPr="00C50854" w:rsidRDefault="0090523D" w:rsidP="0090523D">
      <w:pPr>
        <w:pStyle w:val="Pealdis"/>
        <w:rPr>
          <w:b w:val="0"/>
          <w:lang w:eastAsia="et-EE"/>
        </w:rPr>
      </w:pPr>
      <w:bookmarkStart w:id="571" w:name="_Ref40787590"/>
      <w:r w:rsidRPr="00C50854">
        <w:t xml:space="preserve">Joonis </w:t>
      </w:r>
      <w:fldSimple w:instr=" SEQ Joonis \* ARABIC ">
        <w:r w:rsidR="00697B2B" w:rsidRPr="00C50854">
          <w:rPr>
            <w:noProof/>
          </w:rPr>
          <w:t>21</w:t>
        </w:r>
      </w:fldSimple>
      <w:bookmarkEnd w:id="571"/>
      <w:r w:rsidRPr="00C50854">
        <w:t>.</w:t>
      </w:r>
      <w:r w:rsidRPr="00C50854">
        <w:rPr>
          <w:lang w:eastAsia="et-EE"/>
        </w:rPr>
        <w:t xml:space="preserve"> </w:t>
      </w:r>
      <w:r w:rsidR="00D67E10" w:rsidRPr="00C50854">
        <w:rPr>
          <w:b w:val="0"/>
          <w:lang w:eastAsia="et-EE"/>
        </w:rPr>
        <w:t>Vaskpaarile juurdepääsu teenuse hinna prognoos aastateks 2020 – 2025</w:t>
      </w:r>
    </w:p>
    <w:p w14:paraId="7520B7DA" w14:textId="77777777" w:rsidR="00D67E10" w:rsidRPr="00C50854" w:rsidRDefault="00D67E10" w:rsidP="00D67E10">
      <w:pPr>
        <w:numPr>
          <w:ilvl w:val="0"/>
          <w:numId w:val="25"/>
        </w:numPr>
        <w:spacing w:before="120" w:after="120"/>
        <w:ind w:left="567"/>
        <w:jc w:val="both"/>
        <w:rPr>
          <w:lang w:eastAsia="et-EE"/>
        </w:rPr>
      </w:pPr>
      <w:r w:rsidRPr="00C50854">
        <w:rPr>
          <w:lang w:eastAsia="et-EE"/>
        </w:rPr>
        <w:t>Eeltoodud lõikude 5-7 kõik kriteeriumid on täna kehtiva k</w:t>
      </w:r>
      <w:r w:rsidRPr="00C50854">
        <w:rPr>
          <w:iCs/>
          <w:lang w:eastAsia="et-EE"/>
        </w:rPr>
        <w:t>uluarvestuse TD HC FDC</w:t>
      </w:r>
      <w:r w:rsidRPr="00C50854">
        <w:rPr>
          <w:lang w:eastAsia="et-EE"/>
        </w:rPr>
        <w:t xml:space="preserve"> meetodi alusel juba täidetud. </w:t>
      </w:r>
    </w:p>
    <w:p w14:paraId="033A1B3D" w14:textId="77777777" w:rsidR="00D67E10" w:rsidRPr="00C50854" w:rsidRDefault="00D67E10" w:rsidP="00D67E10">
      <w:pPr>
        <w:suppressAutoHyphens w:val="0"/>
        <w:autoSpaceDE w:val="0"/>
        <w:autoSpaceDN w:val="0"/>
        <w:adjustRightInd w:val="0"/>
        <w:spacing w:before="120" w:after="120"/>
        <w:ind w:left="360"/>
        <w:jc w:val="both"/>
        <w:rPr>
          <w:lang w:eastAsia="et-EE"/>
        </w:rPr>
      </w:pPr>
    </w:p>
    <w:p w14:paraId="67339C25"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Eeltoodust tulenevalt on kohaliku juurdepääsu hulgiturul ESS ja EK kuluarvestuse soovituses sätestatud põhimõtetest</w:t>
      </w:r>
      <w:r w:rsidRPr="00C50854">
        <w:rPr>
          <w:vertAlign w:val="superscript"/>
          <w:lang w:eastAsia="et-EE"/>
        </w:rPr>
        <w:footnoteReference w:id="154"/>
      </w:r>
      <w:r w:rsidRPr="00C50854">
        <w:rPr>
          <w:lang w:eastAsia="et-EE"/>
        </w:rPr>
        <w:t xml:space="preserve"> lähtuvalt ja tulenevalt hetkel kehtiva TD HD FDC meetodi mõjust Eesti sideturu arengule, konkurentsile ning sideettevõtjate investeeringutele mõistlik ja otstarbekas jätkata kuludele orienteeritud hinna arvestamisel TD HC FDC meetodiga. Samuti ei ole TD HC FDC meetodi rakendamine Teliale ega ka TTJA-</w:t>
      </w:r>
      <w:proofErr w:type="spellStart"/>
      <w:r w:rsidRPr="00C50854">
        <w:rPr>
          <w:lang w:eastAsia="et-EE"/>
        </w:rPr>
        <w:t>le</w:t>
      </w:r>
      <w:proofErr w:type="spellEnd"/>
      <w:r w:rsidRPr="00C50854">
        <w:rPr>
          <w:lang w:eastAsia="et-EE"/>
        </w:rPr>
        <w:t xml:space="preserve"> ülemäära koormav, kuna nii Telial kui ka TTJA-l on juba pikaajaline kogemus arvestada kohaliku juurdepääsu hulgituru teenuste hindasid nimetatud meetodi alusel.</w:t>
      </w:r>
    </w:p>
    <w:p w14:paraId="41FA1EFF" w14:textId="66125EB3" w:rsidR="00D67E10" w:rsidRPr="00C50854" w:rsidRDefault="00D67E10" w:rsidP="00D67E10">
      <w:pPr>
        <w:pStyle w:val="Pealkiri3"/>
        <w:rPr>
          <w:i/>
          <w:lang w:eastAsia="et-EE"/>
        </w:rPr>
      </w:pPr>
      <w:bookmarkStart w:id="572" w:name="_Toc464639378"/>
      <w:bookmarkStart w:id="573" w:name="_Ref465422203"/>
      <w:bookmarkStart w:id="574" w:name="_Toc39125696"/>
      <w:bookmarkStart w:id="575" w:name="_Toc42072487"/>
      <w:r w:rsidRPr="00C50854">
        <w:rPr>
          <w:i/>
          <w:iCs/>
          <w:lang w:eastAsia="et-EE"/>
        </w:rPr>
        <w:lastRenderedPageBreak/>
        <w:t xml:space="preserve">6.5.4. </w:t>
      </w:r>
      <w:bookmarkEnd w:id="533"/>
      <w:bookmarkEnd w:id="534"/>
      <w:bookmarkEnd w:id="535"/>
      <w:bookmarkEnd w:id="536"/>
      <w:bookmarkEnd w:id="537"/>
      <w:r w:rsidRPr="00C50854">
        <w:rPr>
          <w:i/>
          <w:lang w:eastAsia="et-EE"/>
        </w:rPr>
        <w:t>Hinnakohustuse kehtestamine</w:t>
      </w:r>
      <w:bookmarkEnd w:id="538"/>
      <w:bookmarkEnd w:id="572"/>
      <w:bookmarkEnd w:id="573"/>
      <w:bookmarkEnd w:id="574"/>
      <w:bookmarkEnd w:id="575"/>
    </w:p>
    <w:p w14:paraId="1AD38D21" w14:textId="77777777" w:rsidR="00CC121A" w:rsidRPr="00C50854" w:rsidRDefault="00CC121A" w:rsidP="00CC121A">
      <w:pPr>
        <w:pStyle w:val="Loendilik"/>
        <w:numPr>
          <w:ilvl w:val="0"/>
          <w:numId w:val="13"/>
        </w:numPr>
        <w:rPr>
          <w:lang w:eastAsia="et-EE"/>
        </w:rPr>
      </w:pPr>
      <w:r w:rsidRPr="00C50854">
        <w:rPr>
          <w:lang w:eastAsia="et-EE"/>
        </w:rPr>
        <w:t xml:space="preserve">Selleks, et selgemini välja tuua muudatusi võrreldes praegu kehtivate kohustustega on käesolevas peatükis muudatused esitatud </w:t>
      </w:r>
      <w:r w:rsidRPr="00C50854">
        <w:rPr>
          <w:i/>
          <w:iCs/>
          <w:lang w:eastAsia="et-EE"/>
        </w:rPr>
        <w:t>kursiivis</w:t>
      </w:r>
      <w:r w:rsidRPr="00C50854">
        <w:rPr>
          <w:lang w:eastAsia="et-EE"/>
        </w:rPr>
        <w:t>.</w:t>
      </w:r>
    </w:p>
    <w:p w14:paraId="3383E82A" w14:textId="3AFD4D0D"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TTJA kavandab kehtestada Teliale kohaliku juurdepääsu hulgiturul otsuse peatükis </w:t>
      </w:r>
      <w:r w:rsidRPr="00C50854">
        <w:rPr>
          <w:lang w:eastAsia="et-EE"/>
        </w:rPr>
        <w:fldChar w:fldCharType="begin"/>
      </w:r>
      <w:r w:rsidRPr="00C50854">
        <w:rPr>
          <w:lang w:eastAsia="et-EE"/>
        </w:rPr>
        <w:instrText xml:space="preserve"> REF _Ref465422104 \h  \* MERGEFORMAT </w:instrText>
      </w:r>
      <w:r w:rsidRPr="00C50854">
        <w:rPr>
          <w:lang w:eastAsia="et-EE"/>
        </w:rPr>
      </w:r>
      <w:r w:rsidRPr="00C50854">
        <w:rPr>
          <w:lang w:eastAsia="et-EE"/>
        </w:rPr>
        <w:fldChar w:fldCharType="separate"/>
      </w:r>
      <w:r w:rsidRPr="00C50854">
        <w:t>6.5.2. "Hinnaga seotud konkurentsiprobleemid ja hindade analüüs</w:t>
      </w:r>
      <w:r w:rsidRPr="00C50854">
        <w:rPr>
          <w:lang w:eastAsia="et-EE"/>
        </w:rPr>
        <w:fldChar w:fldCharType="end"/>
      </w:r>
      <w:r w:rsidRPr="00C50854">
        <w:rPr>
          <w:lang w:eastAsia="et-EE"/>
        </w:rPr>
        <w:t>“  kirjeldatud konkurentsiprobleemide vältimiseks ning lõppkasutajate huvide kaitseks ESS § 50 lg 1 punktis 4 sätestatud kulude eraldi arvestuse kohustuse ning ESS § 50 lg 1 punktis 7 sätestatud kuludele orienteeritud tasudega seotud kohustuse.</w:t>
      </w:r>
    </w:p>
    <w:p w14:paraId="666E70B1" w14:textId="7C1BDCA2"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Kulude eraldi arvestuse ja kuludele orienteeritud tasude kohustuse raames kavandab TTJA kohustada Teliat järgmisteks tegevusteks:</w:t>
      </w:r>
    </w:p>
    <w:p w14:paraId="35E6238C" w14:textId="77777777" w:rsidR="00D67E10" w:rsidRPr="00C50854" w:rsidRDefault="00D67E10" w:rsidP="00D67E10">
      <w:pPr>
        <w:numPr>
          <w:ilvl w:val="0"/>
          <w:numId w:val="11"/>
        </w:numPr>
        <w:suppressAutoHyphens w:val="0"/>
        <w:autoSpaceDE w:val="0"/>
        <w:autoSpaceDN w:val="0"/>
        <w:adjustRightInd w:val="0"/>
        <w:spacing w:before="120" w:after="120"/>
        <w:jc w:val="both"/>
        <w:rPr>
          <w:lang w:eastAsia="et-EE"/>
        </w:rPr>
      </w:pPr>
      <w:r w:rsidRPr="00C50854">
        <w:rPr>
          <w:lang w:eastAsia="et-EE"/>
        </w:rPr>
        <w:t xml:space="preserve">Telia peab rakendama teistele sideettevõtjatele ja enda üksustele osutatavate </w:t>
      </w:r>
      <w:bookmarkStart w:id="576" w:name="_Hlk39072675"/>
      <w:r w:rsidRPr="00C50854">
        <w:rPr>
          <w:lang w:eastAsia="et-EE"/>
        </w:rPr>
        <w:t xml:space="preserve">vaskpaar- ja  valguskaabli kliendiliinile ja alamkliendiliinile ning </w:t>
      </w:r>
      <w:bookmarkEnd w:id="576"/>
      <w:r w:rsidRPr="00C50854">
        <w:rPr>
          <w:lang w:eastAsia="et-EE"/>
        </w:rPr>
        <w:t>kaablikanalisatsioonile juurdepääsu teenuste kulude eraldi arvestamiseks otsuse lisas 5 toodud TD HC FDC meetodit;</w:t>
      </w:r>
    </w:p>
    <w:p w14:paraId="58EE8541" w14:textId="77777777" w:rsidR="00D67E10" w:rsidRPr="00C50854" w:rsidRDefault="00D67E10" w:rsidP="00D67E10">
      <w:pPr>
        <w:numPr>
          <w:ilvl w:val="0"/>
          <w:numId w:val="11"/>
        </w:numPr>
        <w:suppressAutoHyphens w:val="0"/>
        <w:autoSpaceDE w:val="0"/>
        <w:autoSpaceDN w:val="0"/>
        <w:adjustRightInd w:val="0"/>
        <w:spacing w:before="120" w:after="120"/>
        <w:jc w:val="both"/>
        <w:rPr>
          <w:lang w:eastAsia="et-EE"/>
        </w:rPr>
      </w:pPr>
      <w:r w:rsidRPr="00C50854">
        <w:rPr>
          <w:lang w:eastAsia="et-EE"/>
        </w:rPr>
        <w:t>Telia peab rakendama teistele sideettevõtjatele osutavatele vaskpaar- ja  valguskaabli kliendiliinile ja alamkliendiliinile ning kaablikanalisatsioonile juurdepääsu teenustele hindasid, mis ei ole kõrgemad kui otsuse lisas 5 toodud TD HC FDC meetodi põhised kuludele orienteeritud hinnad;</w:t>
      </w:r>
    </w:p>
    <w:p w14:paraId="517AEED2" w14:textId="77777777" w:rsidR="00D67E10" w:rsidRPr="00C50854" w:rsidRDefault="00D67E10" w:rsidP="00D67E10">
      <w:pPr>
        <w:numPr>
          <w:ilvl w:val="0"/>
          <w:numId w:val="11"/>
        </w:numPr>
        <w:suppressAutoHyphens w:val="0"/>
        <w:autoSpaceDE w:val="0"/>
        <w:autoSpaceDN w:val="0"/>
        <w:adjustRightInd w:val="0"/>
        <w:spacing w:before="120" w:after="120"/>
        <w:jc w:val="both"/>
        <w:rPr>
          <w:lang w:eastAsia="et-EE"/>
        </w:rPr>
      </w:pPr>
      <w:r w:rsidRPr="00C50854">
        <w:rPr>
          <w:lang w:eastAsia="et-EE"/>
        </w:rPr>
        <w:t>Telia võib rakendada vaskpaar- ja  valguskaabli kliendiliinile ja alamkliendiliinile ning kaablikanalisatsioonile juurdepääsu teenustele allahindluseid, kui need on tegevuspõhised;</w:t>
      </w:r>
    </w:p>
    <w:p w14:paraId="7428D0D1" w14:textId="77777777" w:rsidR="00D67E10" w:rsidRPr="00C50854" w:rsidRDefault="00D67E10" w:rsidP="00D67E10">
      <w:pPr>
        <w:numPr>
          <w:ilvl w:val="0"/>
          <w:numId w:val="11"/>
        </w:numPr>
        <w:suppressAutoHyphens w:val="0"/>
        <w:autoSpaceDE w:val="0"/>
        <w:autoSpaceDN w:val="0"/>
        <w:adjustRightInd w:val="0"/>
        <w:spacing w:before="120" w:after="120"/>
        <w:jc w:val="both"/>
        <w:rPr>
          <w:lang w:eastAsia="et-EE"/>
        </w:rPr>
      </w:pPr>
      <w:r w:rsidRPr="00C50854">
        <w:rPr>
          <w:lang w:eastAsia="et-EE"/>
        </w:rPr>
        <w:t>Telia võib rakendada vaskpaar- ja  valguskaabli kliendiliinile ja alamkliendiliinile ning kaablikanalisatsioonile juurdepääsu teenustele erinevaid hindasid, kui need on põhjendatud kvaliteedi erinevustega ja/või piirkondlike iseärasustega;</w:t>
      </w:r>
    </w:p>
    <w:p w14:paraId="5CDFDCA8" w14:textId="77777777" w:rsidR="00D67E10" w:rsidRPr="00C50854" w:rsidRDefault="00D67E10" w:rsidP="00D67E10">
      <w:pPr>
        <w:numPr>
          <w:ilvl w:val="0"/>
          <w:numId w:val="11"/>
        </w:numPr>
        <w:suppressAutoHyphens w:val="0"/>
        <w:autoSpaceDE w:val="0"/>
        <w:autoSpaceDN w:val="0"/>
        <w:adjustRightInd w:val="0"/>
        <w:spacing w:before="120" w:after="120"/>
        <w:jc w:val="both"/>
        <w:rPr>
          <w:lang w:eastAsia="et-EE"/>
        </w:rPr>
      </w:pPr>
      <w:r w:rsidRPr="00C50854">
        <w:rPr>
          <w:lang w:eastAsia="et-EE"/>
        </w:rPr>
        <w:t>Telia peab vaskpaar- ja  valguskaabli kliendiliinile ja alamkliendiliinile ning kaablikanalisatsioonile juurdepääsu teenuste kasutamiseks vajalikele teenustele (sealhulgas juurdepääs vajalikele ühispaiknemisele, tugisüsteemidele ja tarkvarasüsteemidele), samuti liitumisteenustele hindade arvestamisel tagama, et teenuse hind ei sisaldaks selle teenuse osutamiseks mittevajalikke kulusid ja teenusele omistatakse ainult need kulud, mis on teenuse osutamiseks otstarbekad ja efektiivsed, sealjuures on lubatud põhjendatud tulukus kooskõlas otsuse lisa 5 punktiga 4.3;</w:t>
      </w:r>
    </w:p>
    <w:p w14:paraId="13210741" w14:textId="77777777" w:rsidR="00D67E10" w:rsidRPr="00C50854" w:rsidRDefault="00D67E10" w:rsidP="00D67E10">
      <w:pPr>
        <w:numPr>
          <w:ilvl w:val="0"/>
          <w:numId w:val="11"/>
        </w:numPr>
        <w:suppressAutoHyphens w:val="0"/>
        <w:autoSpaceDE w:val="0"/>
        <w:autoSpaceDN w:val="0"/>
        <w:adjustRightInd w:val="0"/>
        <w:spacing w:before="120" w:after="120"/>
        <w:jc w:val="both"/>
        <w:rPr>
          <w:lang w:eastAsia="et-EE"/>
        </w:rPr>
      </w:pPr>
      <w:r w:rsidRPr="00C50854">
        <w:rPr>
          <w:lang w:eastAsia="et-EE"/>
        </w:rPr>
        <w:t>Telia ei või liitumishindadesse arvestada vaskpaar- ja  valguskaabli kliendiliini ja alamkliendiliini ning kaablikanalisatsiooni kulusid, mille Telia võtab arvele oma põhivarana ja millelt  arvestatakse kulumit;</w:t>
      </w:r>
    </w:p>
    <w:p w14:paraId="75200381" w14:textId="77777777" w:rsidR="00D67E10" w:rsidRPr="00C50854" w:rsidRDefault="00D67E10" w:rsidP="00D67E10">
      <w:pPr>
        <w:numPr>
          <w:ilvl w:val="0"/>
          <w:numId w:val="11"/>
        </w:numPr>
        <w:suppressAutoHyphens w:val="0"/>
        <w:autoSpaceDE w:val="0"/>
        <w:autoSpaceDN w:val="0"/>
        <w:adjustRightInd w:val="0"/>
        <w:spacing w:before="120" w:after="120"/>
        <w:jc w:val="both"/>
        <w:rPr>
          <w:lang w:eastAsia="et-EE"/>
        </w:rPr>
      </w:pPr>
      <w:r w:rsidRPr="00C50854">
        <w:rPr>
          <w:lang w:eastAsia="et-EE"/>
        </w:rPr>
        <w:t xml:space="preserve">Telia peab regulaarselt vähemalt üks kord aastas vaskpaar- ja  valguskaabli kliendiliinile ja alamkliendiliinile ning kaablikanalisatsiooni juurdepääsu teenuste hinnad ümber arvestama lähtudes viimase majandusaasta kuludest </w:t>
      </w:r>
      <w:r w:rsidRPr="00C50854">
        <w:rPr>
          <w:i/>
          <w:iCs/>
          <w:lang w:eastAsia="et-EE"/>
        </w:rPr>
        <w:t>ja mahtudest hiljemalt 1. juuliks</w:t>
      </w:r>
      <w:r w:rsidRPr="00C50854">
        <w:rPr>
          <w:lang w:eastAsia="et-EE"/>
        </w:rPr>
        <w:t>;</w:t>
      </w:r>
    </w:p>
    <w:p w14:paraId="68336339" w14:textId="77777777" w:rsidR="00D67E10" w:rsidRPr="00C50854" w:rsidRDefault="00D67E10" w:rsidP="00D67E10">
      <w:pPr>
        <w:numPr>
          <w:ilvl w:val="0"/>
          <w:numId w:val="11"/>
        </w:numPr>
        <w:suppressAutoHyphens w:val="0"/>
        <w:autoSpaceDE w:val="0"/>
        <w:autoSpaceDN w:val="0"/>
        <w:adjustRightInd w:val="0"/>
        <w:spacing w:before="120" w:after="120"/>
        <w:jc w:val="both"/>
        <w:rPr>
          <w:lang w:eastAsia="et-EE"/>
        </w:rPr>
      </w:pPr>
      <w:r w:rsidRPr="00C50854">
        <w:rPr>
          <w:lang w:eastAsia="et-EE"/>
        </w:rPr>
        <w:t>Telia ei või vaskpaarikaabli kliendiliinile juurdepääsu teenuste hindasid muuta kalendriaastas rohkem, kui ±5% võrreldes eelmisel kalendriaastal viimasena rakendatud vastavate hindadega.</w:t>
      </w:r>
    </w:p>
    <w:p w14:paraId="16726930" w14:textId="77777777" w:rsidR="00D67E10" w:rsidRPr="00C50854" w:rsidRDefault="00D67E10" w:rsidP="00D67E10">
      <w:pPr>
        <w:pStyle w:val="Pealkiri2"/>
        <w:spacing w:before="360"/>
        <w:rPr>
          <w:rFonts w:cs="Times New Roman"/>
          <w:sz w:val="26"/>
          <w:szCs w:val="26"/>
        </w:rPr>
      </w:pPr>
      <w:bookmarkStart w:id="577" w:name="_Toc457983681"/>
      <w:bookmarkStart w:id="578" w:name="_Toc464639379"/>
      <w:bookmarkStart w:id="579" w:name="_Toc39125697"/>
      <w:bookmarkStart w:id="580" w:name="_Toc42072488"/>
      <w:r w:rsidRPr="00C50854">
        <w:rPr>
          <w:rFonts w:cs="Times New Roman"/>
          <w:sz w:val="26"/>
          <w:szCs w:val="26"/>
        </w:rPr>
        <w:t>6.6. Kehtestatavate kohustuste täitmise tähtaeg</w:t>
      </w:r>
      <w:bookmarkEnd w:id="577"/>
      <w:bookmarkEnd w:id="578"/>
      <w:bookmarkEnd w:id="579"/>
      <w:bookmarkEnd w:id="580"/>
    </w:p>
    <w:p w14:paraId="3E3A03FF" w14:textId="12539156"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Vastavalt ESS § 49 lõikele 4 annab TTJA mõistliku tähtaja MTE-</w:t>
      </w:r>
      <w:proofErr w:type="spellStart"/>
      <w:r w:rsidRPr="00C50854">
        <w:rPr>
          <w:lang w:eastAsia="et-EE"/>
        </w:rPr>
        <w:t>ks</w:t>
      </w:r>
      <w:proofErr w:type="spellEnd"/>
      <w:r w:rsidRPr="00C50854">
        <w:rPr>
          <w:lang w:eastAsia="et-EE"/>
        </w:rPr>
        <w:t xml:space="preserve"> tunnistatud isikule MTE</w:t>
      </w:r>
      <w:r w:rsidRPr="00C50854">
        <w:rPr>
          <w:lang w:eastAsia="et-EE"/>
        </w:rPr>
        <w:noBreakHyphen/>
      </w:r>
      <w:proofErr w:type="spellStart"/>
      <w:r w:rsidRPr="00C50854">
        <w:rPr>
          <w:lang w:eastAsia="et-EE"/>
        </w:rPr>
        <w:t>ks</w:t>
      </w:r>
      <w:proofErr w:type="spellEnd"/>
      <w:r w:rsidRPr="00C50854">
        <w:rPr>
          <w:lang w:eastAsia="et-EE"/>
        </w:rPr>
        <w:t xml:space="preserve"> tunnistamise otsuse</w:t>
      </w:r>
      <w:r w:rsidR="00135014" w:rsidRPr="00C50854">
        <w:rPr>
          <w:lang w:eastAsia="et-EE"/>
        </w:rPr>
        <w:t xml:space="preserve"> kavandis</w:t>
      </w:r>
      <w:r w:rsidRPr="00C50854">
        <w:rPr>
          <w:lang w:eastAsia="et-EE"/>
        </w:rPr>
        <w:t xml:space="preserve"> sätestatud kohustuste täitmiseks.</w:t>
      </w:r>
    </w:p>
    <w:p w14:paraId="52B811E5" w14:textId="17B6A608"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bookmarkStart w:id="581" w:name="_Ref465257501"/>
      <w:r w:rsidRPr="00C50854">
        <w:rPr>
          <w:lang w:eastAsia="et-EE"/>
        </w:rPr>
        <w:t xml:space="preserve">TTJA </w:t>
      </w:r>
      <w:r w:rsidR="00604CD3">
        <w:rPr>
          <w:lang w:eastAsia="et-EE"/>
        </w:rPr>
        <w:t xml:space="preserve">kavandab </w:t>
      </w:r>
      <w:r w:rsidRPr="00C50854">
        <w:rPr>
          <w:lang w:eastAsia="et-EE"/>
        </w:rPr>
        <w:t>nõu</w:t>
      </w:r>
      <w:r w:rsidR="00604CD3">
        <w:rPr>
          <w:lang w:eastAsia="et-EE"/>
        </w:rPr>
        <w:t>da</w:t>
      </w:r>
      <w:r w:rsidRPr="00C50854">
        <w:rPr>
          <w:lang w:eastAsia="et-EE"/>
        </w:rPr>
        <w:t xml:space="preserve"> kindlaksmääratud asukohas kohaliku juurdepääsu hulgiturul Telialt temale otsuse</w:t>
      </w:r>
      <w:r w:rsidR="00135014" w:rsidRPr="00C50854">
        <w:rPr>
          <w:lang w:eastAsia="et-EE"/>
        </w:rPr>
        <w:t xml:space="preserve"> kavandi</w:t>
      </w:r>
      <w:r w:rsidRPr="00C50854">
        <w:rPr>
          <w:lang w:eastAsia="et-EE"/>
        </w:rPr>
        <w:t xml:space="preserve"> peatükkides </w:t>
      </w:r>
      <w:r w:rsidRPr="00C50854">
        <w:rPr>
          <w:lang w:eastAsia="et-EE"/>
        </w:rPr>
        <w:fldChar w:fldCharType="begin"/>
      </w:r>
      <w:r w:rsidRPr="00C50854">
        <w:rPr>
          <w:lang w:eastAsia="et-EE"/>
        </w:rPr>
        <w:instrText xml:space="preserve"> REF _Ref465422180 \h  \* MERGEFORMAT </w:instrText>
      </w:r>
      <w:r w:rsidRPr="00C50854">
        <w:rPr>
          <w:lang w:eastAsia="et-EE"/>
        </w:rPr>
      </w:r>
      <w:r w:rsidRPr="00C50854">
        <w:rPr>
          <w:lang w:eastAsia="et-EE"/>
        </w:rPr>
        <w:fldChar w:fldCharType="separate"/>
      </w:r>
      <w:r w:rsidRPr="00C50854">
        <w:t>6.2.4. "Juurdepääsu kohustuste kehtestamine</w:t>
      </w:r>
      <w:r w:rsidRPr="00C50854">
        <w:rPr>
          <w:lang w:eastAsia="et-EE"/>
        </w:rPr>
        <w:fldChar w:fldCharType="end"/>
      </w:r>
      <w:r w:rsidRPr="00C50854">
        <w:rPr>
          <w:lang w:eastAsia="et-EE"/>
        </w:rPr>
        <w:t xml:space="preserve">“, </w:t>
      </w:r>
      <w:r w:rsidRPr="00C50854">
        <w:rPr>
          <w:lang w:eastAsia="et-EE"/>
        </w:rPr>
        <w:fldChar w:fldCharType="begin"/>
      </w:r>
      <w:r w:rsidRPr="00C50854">
        <w:rPr>
          <w:lang w:eastAsia="et-EE"/>
        </w:rPr>
        <w:instrText xml:space="preserve"> REF _Ref465422187 \h  \* MERGEFORMAT </w:instrText>
      </w:r>
      <w:r w:rsidRPr="00C50854">
        <w:rPr>
          <w:lang w:eastAsia="et-EE"/>
        </w:rPr>
      </w:r>
      <w:r w:rsidRPr="00C50854">
        <w:rPr>
          <w:lang w:eastAsia="et-EE"/>
        </w:rPr>
        <w:fldChar w:fldCharType="separate"/>
      </w:r>
      <w:r w:rsidRPr="00C50854">
        <w:t>6.3.4. "Mittediskrimineerimise kohustuse kehtestamine</w:t>
      </w:r>
      <w:r w:rsidRPr="00C50854">
        <w:rPr>
          <w:lang w:eastAsia="et-EE"/>
        </w:rPr>
        <w:fldChar w:fldCharType="end"/>
      </w:r>
      <w:r w:rsidRPr="00C50854">
        <w:rPr>
          <w:lang w:eastAsia="et-EE"/>
        </w:rPr>
        <w:t xml:space="preserve">“, </w:t>
      </w:r>
      <w:r w:rsidRPr="00C50854">
        <w:rPr>
          <w:lang w:eastAsia="et-EE"/>
        </w:rPr>
        <w:fldChar w:fldCharType="begin"/>
      </w:r>
      <w:r w:rsidRPr="00C50854">
        <w:rPr>
          <w:lang w:eastAsia="et-EE"/>
        </w:rPr>
        <w:instrText xml:space="preserve"> REF _Ref465422194 \h  \* MERGEFORMAT </w:instrText>
      </w:r>
      <w:r w:rsidRPr="00C50854">
        <w:rPr>
          <w:lang w:eastAsia="et-EE"/>
        </w:rPr>
      </w:r>
      <w:r w:rsidRPr="00C50854">
        <w:rPr>
          <w:lang w:eastAsia="et-EE"/>
        </w:rPr>
        <w:fldChar w:fldCharType="separate"/>
      </w:r>
      <w:r w:rsidRPr="00C50854">
        <w:t xml:space="preserve">6.4.4. "Läbipaistvuskohustuste </w:t>
      </w:r>
      <w:r w:rsidRPr="00C50854">
        <w:lastRenderedPageBreak/>
        <w:t>kehtestamine</w:t>
      </w:r>
      <w:r w:rsidRPr="00C50854">
        <w:rPr>
          <w:lang w:eastAsia="et-EE"/>
        </w:rPr>
        <w:fldChar w:fldCharType="end"/>
      </w:r>
      <w:r w:rsidRPr="00C50854">
        <w:rPr>
          <w:lang w:eastAsia="et-EE"/>
        </w:rPr>
        <w:t xml:space="preserve">“ ja </w:t>
      </w:r>
      <w:r w:rsidRPr="00C50854">
        <w:rPr>
          <w:lang w:eastAsia="et-EE"/>
        </w:rPr>
        <w:fldChar w:fldCharType="begin"/>
      </w:r>
      <w:r w:rsidRPr="00C50854">
        <w:rPr>
          <w:lang w:eastAsia="et-EE"/>
        </w:rPr>
        <w:instrText xml:space="preserve"> REF _Ref465422203 \h  \* MERGEFORMAT </w:instrText>
      </w:r>
      <w:r w:rsidRPr="00C50854">
        <w:rPr>
          <w:lang w:eastAsia="et-EE"/>
        </w:rPr>
      </w:r>
      <w:r w:rsidRPr="00C50854">
        <w:rPr>
          <w:lang w:eastAsia="et-EE"/>
        </w:rPr>
        <w:fldChar w:fldCharType="separate"/>
      </w:r>
      <w:r w:rsidRPr="00C50854">
        <w:rPr>
          <w:iCs/>
          <w:lang w:eastAsia="et-EE"/>
        </w:rPr>
        <w:t xml:space="preserve">6.5.4. "Hinnakohustuse </w:t>
      </w:r>
      <w:r w:rsidRPr="00C50854">
        <w:rPr>
          <w:lang w:eastAsia="et-EE"/>
        </w:rPr>
        <w:t>kehtestamine</w:t>
      </w:r>
      <w:r w:rsidRPr="00C50854">
        <w:rPr>
          <w:lang w:eastAsia="et-EE"/>
        </w:rPr>
        <w:fldChar w:fldCharType="end"/>
      </w:r>
      <w:r w:rsidRPr="00C50854">
        <w:rPr>
          <w:lang w:eastAsia="et-EE"/>
        </w:rPr>
        <w:t>“ kirjeldatud kohustuste täitmist alates 01.01.2021</w:t>
      </w:r>
      <w:r w:rsidR="003E6352" w:rsidRPr="00C50854">
        <w:rPr>
          <w:lang w:eastAsia="et-EE"/>
        </w:rPr>
        <w:t xml:space="preserve"> või kolm kuud pärast otsuse kinnitamist,</w:t>
      </w:r>
      <w:r w:rsidR="003E6352" w:rsidRPr="00C50854">
        <w:t xml:space="preserve"> kohaldub hilisem tähtaeg</w:t>
      </w:r>
      <w:r w:rsidRPr="00C50854">
        <w:rPr>
          <w:lang w:eastAsia="et-EE"/>
        </w:rPr>
        <w:t>.</w:t>
      </w:r>
      <w:bookmarkEnd w:id="581"/>
      <w:r w:rsidRPr="00C50854">
        <w:rPr>
          <w:lang w:eastAsia="et-EE"/>
        </w:rPr>
        <w:t xml:space="preserve">  </w:t>
      </w:r>
    </w:p>
    <w:p w14:paraId="7A936A3C" w14:textId="5E4F2E79"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Kuni otsuse ning sellest tulenevate kohustuste jõustumiseni kehtivad kindlaksmääratud asukohas kohaliku juurdepääsu hulgiturul Teliale Tehnilise Järelevalve Ameti 16.06.17 otsusest nr 1-10/17-228 tulenevad kohustused.  </w:t>
      </w:r>
    </w:p>
    <w:p w14:paraId="045F7D28" w14:textId="77777777" w:rsidR="00D67E10" w:rsidRPr="00C50854" w:rsidRDefault="00D67E10" w:rsidP="00311E1F">
      <w:pPr>
        <w:numPr>
          <w:ilvl w:val="0"/>
          <w:numId w:val="13"/>
        </w:numPr>
        <w:suppressAutoHyphens w:val="0"/>
        <w:autoSpaceDE w:val="0"/>
        <w:autoSpaceDN w:val="0"/>
        <w:adjustRightInd w:val="0"/>
        <w:spacing w:before="120" w:after="120"/>
        <w:jc w:val="both"/>
        <w:rPr>
          <w:lang w:eastAsia="et-EE"/>
        </w:rPr>
      </w:pPr>
      <w:r w:rsidRPr="00C50854">
        <w:rPr>
          <w:lang w:eastAsia="et-EE"/>
        </w:rPr>
        <w:t xml:space="preserve">Tähtaegade määramisel on TTJA arvestanud, et need on piisavad kehtestatavate kohustuste täitmiseks. Telial on olemas tehnilised võimalused ning varasem kogemus kindlaksmääratud asukohas kohaliku juurdepääsu hulgituru koosseisu kuuluvate hulgiteenuste osutamisel koos läbipaistvus-, mittediskrimineerimise-, juurdepääsu- ning hinnakohustuste täitmisega.  </w:t>
      </w:r>
    </w:p>
    <w:p w14:paraId="5FFF55F8" w14:textId="50D9B4AB" w:rsidR="00CF2256" w:rsidRPr="00072A34" w:rsidRDefault="00D67E10" w:rsidP="007C3A66">
      <w:pPr>
        <w:suppressAutoHyphens w:val="0"/>
        <w:autoSpaceDE w:val="0"/>
        <w:autoSpaceDN w:val="0"/>
        <w:adjustRightInd w:val="0"/>
        <w:spacing w:before="120" w:after="120"/>
        <w:ind w:firstLine="360"/>
        <w:jc w:val="both"/>
      </w:pPr>
      <w:bookmarkStart w:id="582" w:name="_GoBack"/>
      <w:bookmarkEnd w:id="582"/>
      <w:r w:rsidRPr="00C50854">
        <w:rPr>
          <w:lang w:eastAsia="et-EE"/>
        </w:rPr>
        <w:t>Võttes arvesse eeltoodut, ei ole kohustuste täitmise tähtaeg Teliale ülemääraselt koormav</w:t>
      </w:r>
      <w:r w:rsidR="007C3A66">
        <w:rPr>
          <w:lang w:eastAsia="et-EE"/>
        </w:rPr>
        <w:t>.</w:t>
      </w:r>
    </w:p>
    <w:sectPr w:rsidR="00CF2256" w:rsidRPr="00072A34" w:rsidSect="00E1338D">
      <w:footerReference w:type="even" r:id="rId32"/>
      <w:footerReference w:type="default" r:id="rId33"/>
      <w:footerReference w:type="first" r:id="rId34"/>
      <w:pgSz w:w="11905" w:h="16837"/>
      <w:pgMar w:top="1134" w:right="745" w:bottom="1134" w:left="1814"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A9F04" w14:textId="77777777" w:rsidR="00456678" w:rsidRDefault="00456678">
      <w:r>
        <w:separator/>
      </w:r>
    </w:p>
  </w:endnote>
  <w:endnote w:type="continuationSeparator" w:id="0">
    <w:p w14:paraId="78CFF02A" w14:textId="77777777" w:rsidR="00456678" w:rsidRDefault="00456678">
      <w:r>
        <w:continuationSeparator/>
      </w:r>
    </w:p>
  </w:endnote>
  <w:endnote w:type="continuationNotice" w:id="1">
    <w:p w14:paraId="3E8DC5FD" w14:textId="77777777" w:rsidR="00456678" w:rsidRDefault="004566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Helvetica 65">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0002EFF" w:usb1="C0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BBF58" w14:textId="77777777" w:rsidR="00456678" w:rsidRDefault="00456678" w:rsidP="0059363F">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7DA8701A" w14:textId="77777777" w:rsidR="00456678" w:rsidRDefault="00456678">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01BE" w14:textId="5041236F" w:rsidR="00456678" w:rsidRDefault="00456678" w:rsidP="0059363F">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Pr>
        <w:rStyle w:val="Lehekljenumber"/>
        <w:noProof/>
      </w:rPr>
      <w:t>2</w:t>
    </w:r>
    <w:r>
      <w:rPr>
        <w:rStyle w:val="Lehekljenumber"/>
      </w:rPr>
      <w:fldChar w:fldCharType="end"/>
    </w:r>
  </w:p>
  <w:p w14:paraId="53399C4E" w14:textId="32468DB5" w:rsidR="00456678" w:rsidRDefault="00456678">
    <w:pPr>
      <w:pStyle w:val="Jalu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853F4" w14:textId="0099F7FC" w:rsidR="00456678" w:rsidRDefault="00D454F1" w:rsidP="00150C50">
    <w:pPr>
      <w:pStyle w:val="Jalus"/>
      <w:jc w:val="center"/>
    </w:pPr>
    <w:r>
      <w:t>10. juuni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734A4" w14:textId="77777777" w:rsidR="00456678" w:rsidRDefault="00456678">
      <w:r>
        <w:separator/>
      </w:r>
    </w:p>
  </w:footnote>
  <w:footnote w:type="continuationSeparator" w:id="0">
    <w:p w14:paraId="51F854E1" w14:textId="77777777" w:rsidR="00456678" w:rsidRDefault="00456678">
      <w:r>
        <w:continuationSeparator/>
      </w:r>
    </w:p>
  </w:footnote>
  <w:footnote w:type="continuationNotice" w:id="1">
    <w:p w14:paraId="43DF1170" w14:textId="77777777" w:rsidR="00456678" w:rsidRDefault="00456678"/>
  </w:footnote>
  <w:footnote w:id="2">
    <w:p w14:paraId="7A0B8DFE" w14:textId="52301703" w:rsidR="00456678" w:rsidRDefault="00456678">
      <w:pPr>
        <w:pStyle w:val="Allmrkusetekst"/>
      </w:pPr>
      <w:r>
        <w:rPr>
          <w:rStyle w:val="Allmrkuseviide"/>
        </w:rPr>
        <w:footnoteRef/>
      </w:r>
      <w:r w:rsidRPr="008C50BB">
        <w:rPr>
          <w:sz w:val="18"/>
          <w:szCs w:val="18"/>
        </w:rPr>
        <w:t>RT I, 13.03.2019, 47</w:t>
      </w:r>
    </w:p>
  </w:footnote>
  <w:footnote w:id="3">
    <w:p w14:paraId="285339D1" w14:textId="77777777" w:rsidR="00456678" w:rsidRDefault="00456678" w:rsidP="006102B9">
      <w:pPr>
        <w:pStyle w:val="Allmrkusetekst"/>
      </w:pPr>
      <w:r w:rsidRPr="006102B9">
        <w:rPr>
          <w:rStyle w:val="Allmrkuseviide"/>
          <w:sz w:val="20"/>
          <w:szCs w:val="20"/>
        </w:rPr>
        <w:footnoteRef/>
      </w:r>
      <w:r w:rsidRPr="006102B9">
        <w:rPr>
          <w:rStyle w:val="Allmrkuseviide"/>
          <w:sz w:val="20"/>
          <w:szCs w:val="20"/>
        </w:rPr>
        <w:t xml:space="preserve"> </w:t>
      </w:r>
      <w:r w:rsidRPr="006102B9">
        <w:rPr>
          <w:sz w:val="16"/>
          <w:szCs w:val="16"/>
        </w:rPr>
        <w:t>Ühine reguleeriv raamistik koosneb Euroopa Parlamendi ja Nõukogu 7. märtsi 2002. a direktiivist 2002/21/EÜ elektrooniliste sidevõrkude ja -teenuste ühise reguleeriva raamistiku kohta (raamdirektiiv) ning neljast eridirektiivist: Euroopa Parlamendi ja nõukogu 7. märtsi 2002. aasta direktiiv 2002/20/EÜ elektrooniliste sidevõrkude ja -teenustega seotud lubade andmise kohta (loadirektiiv), Euroopa Parlamendi ja nõukogu 7. märtsi 2002. aasta direktiiv 2002/19/EÜ elektroonilistele sidevõrkudele ja nendega seotud vahenditele juurdepääsu ja vastastikuse sidumise kohta (juurdepääsudirektiiv), Euroopa Parlamendi ja nõukogu 7. märtsi 2002. aasta direktiiv 2002/22/EÜ universaalteenuse ning kasutajate õiguste kohta elektrooniliste sidevõrkude ja -teenuste puhul (universaalteenuse direktiiv), Euroopa Parlamendi ja Nõukogu direktiiv 2002/58/EÜ, 12. juuli 2002, milles käsitletakse isikuandmete töötlemist ja eraelu puutumatuse kaitset elektroonilise side sektoris (eraelu puutumatust ja elektroonilist sidet käsitlev direktiiv) (“eridirektiivid”).</w:t>
      </w:r>
    </w:p>
  </w:footnote>
  <w:footnote w:id="4">
    <w:p w14:paraId="1BDDDA2C" w14:textId="77777777" w:rsidR="00456678" w:rsidRPr="00051BBB" w:rsidRDefault="00456678" w:rsidP="00051BBB">
      <w:pPr>
        <w:pStyle w:val="Allmrkusetekst"/>
        <w:rPr>
          <w:sz w:val="16"/>
          <w:szCs w:val="16"/>
        </w:rPr>
      </w:pPr>
      <w:r>
        <w:rPr>
          <w:rStyle w:val="Allmrkuseviide"/>
        </w:rPr>
        <w:footnoteRef/>
      </w:r>
      <w:r>
        <w:t xml:space="preserve"> </w:t>
      </w:r>
      <w:r w:rsidRPr="00051BBB">
        <w:rPr>
          <w:sz w:val="16"/>
          <w:szCs w:val="16"/>
        </w:rPr>
        <w:t xml:space="preserve">Commission guidelines on market analysis and the assessment of significant market power Under the Community regulatory framework for electronic communications networks and services (2002/C 165/03) </w:t>
      </w:r>
    </w:p>
    <w:p w14:paraId="29079C42" w14:textId="63CC8BC3" w:rsidR="00456678" w:rsidRDefault="007C3A66" w:rsidP="00051BBB">
      <w:pPr>
        <w:pStyle w:val="Allmrkusetekst"/>
      </w:pPr>
      <w:hyperlink r:id="rId1" w:history="1">
        <w:r w:rsidR="00456678" w:rsidRPr="009D452D">
          <w:rPr>
            <w:rStyle w:val="Hperlink"/>
            <w:sz w:val="16"/>
            <w:szCs w:val="16"/>
          </w:rPr>
          <w:t>http://eur-lex.europa.eu/legal-content/EN/TXT/PDF/?uri=CELEX:52002XC0711(02)&amp;from=EN</w:t>
        </w:r>
      </w:hyperlink>
      <w:r w:rsidR="00456678">
        <w:rPr>
          <w:sz w:val="16"/>
          <w:szCs w:val="16"/>
        </w:rPr>
        <w:t xml:space="preserve"> </w:t>
      </w:r>
    </w:p>
  </w:footnote>
  <w:footnote w:id="5">
    <w:p w14:paraId="24025463" w14:textId="77777777" w:rsidR="00456678" w:rsidRPr="00F6578A" w:rsidRDefault="00456678" w:rsidP="0095163F">
      <w:pPr>
        <w:pStyle w:val="Allmrkusetekst"/>
        <w:rPr>
          <w:rStyle w:val="AllmrkusetekstMrk"/>
          <w:sz w:val="16"/>
          <w:szCs w:val="16"/>
        </w:rPr>
      </w:pPr>
      <w:r w:rsidRPr="006102B9">
        <w:rPr>
          <w:rStyle w:val="Allmrkuseviide"/>
          <w:sz w:val="20"/>
          <w:szCs w:val="20"/>
        </w:rPr>
        <w:footnoteRef/>
      </w:r>
      <w:r w:rsidRPr="00F6578A">
        <w:rPr>
          <w:rStyle w:val="AllmrkusetekstMrk"/>
          <w:sz w:val="16"/>
          <w:szCs w:val="16"/>
          <w:vertAlign w:val="superscript"/>
        </w:rPr>
        <w:t xml:space="preserve"> </w:t>
      </w:r>
      <w:r w:rsidRPr="00F6578A">
        <w:rPr>
          <w:rStyle w:val="Laad1Mrk"/>
          <w:sz w:val="16"/>
          <w:szCs w:val="16"/>
        </w:rPr>
        <w:t>Vabariigi Valitsuse seaduse ja teiste seaduste muutmise seadus tulenevalt valitsusasutuste ühendamisest” § 1 p 3 RT 2007, 66, 408.</w:t>
      </w:r>
    </w:p>
  </w:footnote>
  <w:footnote w:id="6">
    <w:p w14:paraId="086C2D97" w14:textId="77777777" w:rsidR="00456678" w:rsidRPr="00736A00" w:rsidRDefault="00456678" w:rsidP="0095163F">
      <w:pPr>
        <w:pStyle w:val="Allmrkusetekst"/>
        <w:jc w:val="both"/>
        <w:rPr>
          <w:sz w:val="20"/>
          <w:szCs w:val="20"/>
          <w:lang w:val="en-US"/>
        </w:rPr>
      </w:pPr>
      <w:r w:rsidRPr="006102B9">
        <w:rPr>
          <w:rStyle w:val="Allmrkuseviide"/>
          <w:sz w:val="20"/>
          <w:szCs w:val="20"/>
        </w:rPr>
        <w:footnoteRef/>
      </w:r>
      <w:r w:rsidRPr="00F6578A">
        <w:rPr>
          <w:sz w:val="16"/>
          <w:szCs w:val="16"/>
          <w:lang w:val="en-US"/>
        </w:rPr>
        <w:t xml:space="preserve"> </w:t>
      </w:r>
      <w:r w:rsidRPr="003562A1">
        <w:rPr>
          <w:rStyle w:val="Laad1Mrk"/>
          <w:sz w:val="16"/>
          <w:szCs w:val="16"/>
          <w:lang w:val="en-GB"/>
        </w:rPr>
        <w:t xml:space="preserve">Commission Recommendation of 17 December 2007 on relevant product and service markets within the electronic communications sector susceptible to ex ante regulation in accordance with Directive 2002/21/EC of the European Parliament and of the Council on a common regulatory framework for electronic communications networks and services. </w:t>
      </w:r>
      <w:r w:rsidRPr="00F6578A">
        <w:rPr>
          <w:rStyle w:val="Laad1Mrk"/>
          <w:sz w:val="16"/>
          <w:szCs w:val="16"/>
        </w:rPr>
        <w:t>OJ L 344, 28.12.2007 P. 0065 – 0069.</w:t>
      </w:r>
    </w:p>
  </w:footnote>
  <w:footnote w:id="7">
    <w:p w14:paraId="391DA23E" w14:textId="2A219DAC" w:rsidR="00456678" w:rsidRPr="00F6578A" w:rsidRDefault="00456678" w:rsidP="001743CF">
      <w:pPr>
        <w:pStyle w:val="Allmrkusetekst"/>
        <w:rPr>
          <w:sz w:val="18"/>
        </w:rPr>
      </w:pPr>
      <w:r w:rsidRPr="00736A00">
        <w:rPr>
          <w:rStyle w:val="Allmrkuseviide"/>
          <w:sz w:val="20"/>
          <w:szCs w:val="20"/>
        </w:rPr>
        <w:footnoteRef/>
      </w:r>
      <w:r w:rsidRPr="00736A00">
        <w:rPr>
          <w:sz w:val="20"/>
          <w:szCs w:val="20"/>
        </w:rPr>
        <w:t xml:space="preserve"> </w:t>
      </w:r>
      <w:r w:rsidRPr="003562A1">
        <w:rPr>
          <w:rStyle w:val="Laad1Mrk"/>
          <w:sz w:val="16"/>
          <w:szCs w:val="16"/>
          <w:lang w:val="en-GB"/>
        </w:rPr>
        <w:t>Commission Recommendation of 9 October 2014 on relevant product and service markets within the electronic communications sector susceptible to ex ante regulation in accordance with Directive 2002/21/EC of the European Parliament and of the Council on a common regulatory framework for electronic communications networks and services.</w:t>
      </w:r>
      <w:r w:rsidRPr="00F6578A">
        <w:rPr>
          <w:rStyle w:val="Laad1Mrk"/>
          <w:sz w:val="16"/>
          <w:szCs w:val="16"/>
        </w:rPr>
        <w:t xml:space="preserve"> </w:t>
      </w:r>
      <w:hyperlink r:id="rId2" w:history="1">
        <w:r w:rsidRPr="009D452D">
          <w:rPr>
            <w:rStyle w:val="Hperlink"/>
            <w:sz w:val="16"/>
            <w:szCs w:val="16"/>
          </w:rPr>
          <w:t>http://eur-lex.europa.eu/legal-content/EN/TXT/?uri=CELEX:32014H0710</w:t>
        </w:r>
      </w:hyperlink>
      <w:r>
        <w:rPr>
          <w:rStyle w:val="Laad1Mrk"/>
          <w:sz w:val="16"/>
          <w:szCs w:val="16"/>
        </w:rPr>
        <w:t xml:space="preserve"> </w:t>
      </w:r>
    </w:p>
  </w:footnote>
  <w:footnote w:id="8">
    <w:p w14:paraId="40E5FAB1" w14:textId="3A3FB0FE" w:rsidR="00456678" w:rsidRPr="008F2175" w:rsidRDefault="00456678" w:rsidP="002A0A34">
      <w:pPr>
        <w:pStyle w:val="Allmrkusetekst"/>
        <w:rPr>
          <w:rStyle w:val="AllmrkusetekstMrk"/>
          <w:sz w:val="20"/>
          <w:szCs w:val="20"/>
          <w:lang w:val="en-GB"/>
        </w:rPr>
      </w:pPr>
      <w:r>
        <w:rPr>
          <w:rStyle w:val="Allmrkuseviide"/>
        </w:rPr>
        <w:footnoteRef/>
      </w:r>
      <w:r w:rsidRPr="008658F4">
        <w:rPr>
          <w:rStyle w:val="Laad1Mrk"/>
        </w:rPr>
        <w:t xml:space="preserve">Sideameti otsus </w:t>
      </w:r>
      <w:r w:rsidRPr="00BD6B8B">
        <w:rPr>
          <w:rStyle w:val="Laad1Mrk"/>
        </w:rPr>
        <w:t xml:space="preserve">20. aprill 2007 nr J.1.-45/07/1   </w:t>
      </w:r>
    </w:p>
  </w:footnote>
  <w:footnote w:id="9">
    <w:p w14:paraId="51CF2DCB" w14:textId="77777777" w:rsidR="00456678" w:rsidRPr="00F6578A" w:rsidRDefault="00456678" w:rsidP="002A0A34">
      <w:pPr>
        <w:pStyle w:val="Allmrkusetekst"/>
        <w:rPr>
          <w:rStyle w:val="AllmrkusetekstMrk"/>
          <w:sz w:val="20"/>
          <w:szCs w:val="20"/>
          <w:lang w:val="de-DE"/>
        </w:rPr>
      </w:pPr>
      <w:r w:rsidRPr="00F6578A">
        <w:rPr>
          <w:rStyle w:val="Allmrkuseviide"/>
        </w:rPr>
        <w:footnoteRef/>
      </w:r>
      <w:r w:rsidRPr="00F6578A">
        <w:rPr>
          <w:rStyle w:val="Allmrkuseviide"/>
        </w:rPr>
        <w:t xml:space="preserve"> </w:t>
      </w:r>
      <w:r w:rsidRPr="008658F4">
        <w:rPr>
          <w:rStyle w:val="Laad1Mrk"/>
        </w:rPr>
        <w:t xml:space="preserve">Konkurentsiameti otsus </w:t>
      </w:r>
      <w:r w:rsidRPr="00F13C10">
        <w:rPr>
          <w:rStyle w:val="Laad1Mrk"/>
        </w:rPr>
        <w:t>07.09.2009 nr 8.3-12/09-0003</w:t>
      </w:r>
      <w:r>
        <w:rPr>
          <w:rStyle w:val="Laad1Mrk"/>
        </w:rPr>
        <w:t xml:space="preserve"> </w:t>
      </w:r>
      <w:r w:rsidRPr="00F13C10">
        <w:rPr>
          <w:sz w:val="18"/>
        </w:rPr>
        <w:t>http://www.tja.ee/fuusiline-juurdepaas-fikseeritud-sidevorgule/</w:t>
      </w:r>
    </w:p>
  </w:footnote>
  <w:footnote w:id="10">
    <w:p w14:paraId="141CA841" w14:textId="6B3167EA" w:rsidR="00456678" w:rsidRPr="00F13C10" w:rsidRDefault="00456678" w:rsidP="002A0A34">
      <w:pPr>
        <w:pStyle w:val="Allmrkusetekst"/>
        <w:rPr>
          <w:rStyle w:val="Laad1Mrk"/>
        </w:rPr>
      </w:pPr>
      <w:r w:rsidRPr="00F6578A">
        <w:rPr>
          <w:rStyle w:val="Allmrkuseviide"/>
        </w:rPr>
        <w:footnoteRef/>
      </w:r>
      <w:r w:rsidRPr="00F6578A">
        <w:rPr>
          <w:rStyle w:val="AllmrkusetekstMrk"/>
          <w:sz w:val="20"/>
          <w:szCs w:val="20"/>
          <w:lang w:val="de-DE"/>
        </w:rPr>
        <w:t xml:space="preserve"> </w:t>
      </w:r>
      <w:r>
        <w:rPr>
          <w:rStyle w:val="Laad1Mrk"/>
        </w:rPr>
        <w:t>Konkurent</w:t>
      </w:r>
      <w:r w:rsidRPr="008658F4">
        <w:rPr>
          <w:rStyle w:val="Laad1Mrk"/>
        </w:rPr>
        <w:t xml:space="preserve">siameti otsus </w:t>
      </w:r>
      <w:r w:rsidRPr="00F13C10">
        <w:rPr>
          <w:rStyle w:val="Laad1Mrk"/>
        </w:rPr>
        <w:t>11.11.</w:t>
      </w:r>
      <w:r>
        <w:rPr>
          <w:rStyle w:val="Laad1Mrk"/>
        </w:rPr>
        <w:t>20</w:t>
      </w:r>
      <w:r w:rsidRPr="00F13C10">
        <w:rPr>
          <w:rStyle w:val="Laad1Mrk"/>
        </w:rPr>
        <w:t>13 nr 8.3-1/13-001</w:t>
      </w:r>
      <w:r>
        <w:rPr>
          <w:rStyle w:val="Laad1Mrk"/>
        </w:rPr>
        <w:t xml:space="preserve"> </w:t>
      </w:r>
      <w:r w:rsidRPr="00F13C10">
        <w:rPr>
          <w:rStyle w:val="Laad1Mrk"/>
        </w:rPr>
        <w:t>http://www.tja.ee/fuusiline-juurdepaas-fikseeritud-sidevorgule/</w:t>
      </w:r>
    </w:p>
  </w:footnote>
  <w:footnote w:id="11">
    <w:p w14:paraId="483CFC1A" w14:textId="77777777" w:rsidR="00456678" w:rsidRPr="00F73FD8" w:rsidRDefault="00456678" w:rsidP="00A5090A">
      <w:pPr>
        <w:pStyle w:val="Allmrkusetekst"/>
        <w:rPr>
          <w:rStyle w:val="Laad1Mrk"/>
        </w:rPr>
      </w:pPr>
      <w:r w:rsidRPr="00F73FD8">
        <w:rPr>
          <w:rStyle w:val="Laad1Mrk"/>
          <w:sz w:val="24"/>
          <w:vertAlign w:val="superscript"/>
        </w:rPr>
        <w:footnoteRef/>
      </w:r>
      <w:r w:rsidRPr="00F73FD8">
        <w:rPr>
          <w:rStyle w:val="Laad1Mrk"/>
          <w:sz w:val="24"/>
          <w:vertAlign w:val="superscript"/>
        </w:rPr>
        <w:t xml:space="preserve"> </w:t>
      </w:r>
      <w:r w:rsidRPr="00F73FD8">
        <w:rPr>
          <w:rStyle w:val="Laad1Mrk"/>
        </w:rPr>
        <w:t xml:space="preserve">Tehnilise Järelevalve Ameti otsus 16.06.17 nr 1-10/17-228 </w:t>
      </w:r>
      <w:hyperlink r:id="rId3" w:history="1">
        <w:r w:rsidRPr="00F73FD8">
          <w:rPr>
            <w:rStyle w:val="Laad1Mrk"/>
          </w:rPr>
          <w:t>https://www.ttja.ee/sites/default/files/content-editors/Sideturg/II/lisa_1._t3a_turu_analuus_mte_maaramine_ja_kohustused_veebi.pdf</w:t>
        </w:r>
      </w:hyperlink>
    </w:p>
    <w:p w14:paraId="5A9CC2E4" w14:textId="16601DEE" w:rsidR="00456678" w:rsidRDefault="00456678">
      <w:pPr>
        <w:pStyle w:val="Allmrkusetekst"/>
      </w:pPr>
    </w:p>
  </w:footnote>
  <w:footnote w:id="12">
    <w:p w14:paraId="2A6F817C" w14:textId="4E3D50DD" w:rsidR="00456678" w:rsidRPr="00F26E9F" w:rsidRDefault="00456678" w:rsidP="00F26E9F">
      <w:pPr>
        <w:rPr>
          <w:sz w:val="20"/>
          <w:szCs w:val="20"/>
        </w:rPr>
      </w:pPr>
      <w:r w:rsidRPr="00F26E9F">
        <w:rPr>
          <w:rStyle w:val="Allmrkusmrgid"/>
          <w:sz w:val="20"/>
          <w:szCs w:val="20"/>
        </w:rPr>
        <w:footnoteRef/>
      </w:r>
      <w:r w:rsidRPr="00F26E9F">
        <w:rPr>
          <w:i/>
          <w:sz w:val="20"/>
          <w:szCs w:val="20"/>
        </w:rPr>
        <w:t xml:space="preserve"> </w:t>
      </w:r>
      <w:r w:rsidRPr="00F26E9F">
        <w:rPr>
          <w:sz w:val="20"/>
          <w:szCs w:val="20"/>
        </w:rPr>
        <w:t xml:space="preserve">Euroopa Kohtu 14. novembri 1996 otsus kohtuasjas C-333/94 P: Tetra Pak vs. Komisjon; EKL 1996, lk I-0595, lõik 13; Euroopa Kohtu 11. detsembri 1980 otsus kohtuasjas 31/80: </w:t>
      </w:r>
      <w:r w:rsidRPr="00F26E9F">
        <w:rPr>
          <w:i/>
          <w:sz w:val="20"/>
          <w:szCs w:val="20"/>
        </w:rPr>
        <w:t>L’Oréal</w:t>
      </w:r>
      <w:r w:rsidRPr="00F26E9F">
        <w:rPr>
          <w:sz w:val="20"/>
          <w:szCs w:val="20"/>
        </w:rPr>
        <w:t xml:space="preserve">; EKL 1980, lk 03775, lõik 25; Euroopa Kohtu 9. novembri 1983 otsus kohtuasjas 322/81: </w:t>
      </w:r>
      <w:r w:rsidRPr="00F26E9F">
        <w:rPr>
          <w:i/>
          <w:sz w:val="20"/>
          <w:szCs w:val="20"/>
        </w:rPr>
        <w:t>Michelin vs. Komisjon</w:t>
      </w:r>
      <w:r w:rsidRPr="00F26E9F">
        <w:rPr>
          <w:sz w:val="20"/>
          <w:szCs w:val="20"/>
        </w:rPr>
        <w:t xml:space="preserve">; EKL 1983, lk 03461, lõik 37; Euroopa Kohtu 3. juuli 1991 otsus kohtuasjas C-62/86: </w:t>
      </w:r>
      <w:r w:rsidRPr="00F26E9F">
        <w:rPr>
          <w:i/>
          <w:sz w:val="20"/>
          <w:szCs w:val="20"/>
        </w:rPr>
        <w:t>AKZO Chemie vs. Komisjon</w:t>
      </w:r>
      <w:r w:rsidRPr="00F26E9F">
        <w:rPr>
          <w:sz w:val="20"/>
          <w:szCs w:val="20"/>
        </w:rPr>
        <w:t xml:space="preserve">; EKL 1991, lk I-03359; Euroopa Ühenduste Esimese Astme Kohtu 12. juuni 1997 otsus kohtuasjas </w:t>
      </w:r>
      <w:r w:rsidRPr="00F26E9F">
        <w:rPr>
          <w:bCs/>
          <w:sz w:val="20"/>
          <w:szCs w:val="20"/>
        </w:rPr>
        <w:t>T-504/93</w:t>
      </w:r>
      <w:r w:rsidRPr="00F26E9F">
        <w:rPr>
          <w:sz w:val="20"/>
          <w:szCs w:val="20"/>
        </w:rPr>
        <w:t xml:space="preserve">: </w:t>
      </w:r>
      <w:r w:rsidRPr="00F26E9F">
        <w:rPr>
          <w:i/>
          <w:sz w:val="20"/>
          <w:szCs w:val="20"/>
        </w:rPr>
        <w:t>Tiercé Ladbroke vs. Komisjon</w:t>
      </w:r>
      <w:r w:rsidRPr="00F26E9F">
        <w:rPr>
          <w:sz w:val="20"/>
          <w:szCs w:val="20"/>
        </w:rPr>
        <w:t xml:space="preserve">; EKL </w:t>
      </w:r>
      <w:r w:rsidRPr="00F26E9F">
        <w:rPr>
          <w:rStyle w:val="Rhutus"/>
          <w:sz w:val="20"/>
          <w:szCs w:val="20"/>
        </w:rPr>
        <w:t>1997, lk II-00923</w:t>
      </w:r>
      <w:r w:rsidRPr="00F26E9F">
        <w:rPr>
          <w:sz w:val="20"/>
          <w:szCs w:val="20"/>
        </w:rPr>
        <w:t xml:space="preserve">, lõik 81; Euroopa Ühenduste Esimese Astme Kohtu 30. märtsi 2000. a otsus kohtuasjas </w:t>
      </w:r>
      <w:r w:rsidRPr="00F26E9F">
        <w:rPr>
          <w:bCs/>
          <w:sz w:val="20"/>
          <w:szCs w:val="20"/>
        </w:rPr>
        <w:t>T-65/96</w:t>
      </w:r>
      <w:r w:rsidRPr="00F26E9F">
        <w:rPr>
          <w:sz w:val="20"/>
          <w:szCs w:val="20"/>
        </w:rPr>
        <w:t xml:space="preserve">: Kish Glass vs. Komisjon; EKL </w:t>
      </w:r>
      <w:r w:rsidRPr="00F26E9F">
        <w:rPr>
          <w:iCs/>
          <w:sz w:val="20"/>
          <w:szCs w:val="20"/>
        </w:rPr>
        <w:t>2000, lk II-01885</w:t>
      </w:r>
      <w:r w:rsidRPr="00F26E9F">
        <w:rPr>
          <w:sz w:val="20"/>
          <w:szCs w:val="20"/>
        </w:rPr>
        <w:t xml:space="preserve">, lõik 62; Euroopa Kohtu 25. oktoobri 2001 otsus kohtuasjas </w:t>
      </w:r>
      <w:r w:rsidRPr="00F26E9F">
        <w:rPr>
          <w:bCs/>
          <w:sz w:val="20"/>
          <w:szCs w:val="20"/>
        </w:rPr>
        <w:t>C-475/99</w:t>
      </w:r>
      <w:r w:rsidRPr="00F26E9F">
        <w:rPr>
          <w:sz w:val="20"/>
          <w:szCs w:val="20"/>
        </w:rPr>
        <w:t xml:space="preserve">: </w:t>
      </w:r>
      <w:r w:rsidRPr="00F26E9F">
        <w:rPr>
          <w:i/>
          <w:sz w:val="20"/>
          <w:szCs w:val="20"/>
        </w:rPr>
        <w:t>Ambulanz Glöckner vs. Landkreis Südwestpfalz</w:t>
      </w:r>
      <w:r w:rsidRPr="00F26E9F">
        <w:rPr>
          <w:sz w:val="20"/>
          <w:szCs w:val="20"/>
        </w:rPr>
        <w:t xml:space="preserve">; EKL 2001, lk I-08089, lõik 33; Euroopa Kohtu 21. veebruari 1973 otsus kohtuasjas </w:t>
      </w:r>
      <w:r w:rsidRPr="00F26E9F">
        <w:rPr>
          <w:bCs/>
          <w:sz w:val="20"/>
          <w:szCs w:val="20"/>
        </w:rPr>
        <w:t xml:space="preserve">6-72: </w:t>
      </w:r>
      <w:r w:rsidRPr="00F26E9F">
        <w:rPr>
          <w:bCs/>
          <w:i/>
          <w:sz w:val="20"/>
          <w:szCs w:val="20"/>
        </w:rPr>
        <w:t>Europemballage ja Continental Can vs. Komisjon</w:t>
      </w:r>
      <w:r w:rsidRPr="00F26E9F">
        <w:rPr>
          <w:bCs/>
          <w:sz w:val="20"/>
          <w:szCs w:val="20"/>
        </w:rPr>
        <w:t xml:space="preserve">; EKL </w:t>
      </w:r>
      <w:r w:rsidRPr="00F26E9F">
        <w:rPr>
          <w:i/>
          <w:iCs/>
          <w:sz w:val="20"/>
          <w:szCs w:val="20"/>
        </w:rPr>
        <w:t>1973, lk 00215</w:t>
      </w:r>
      <w:r w:rsidRPr="00F26E9F">
        <w:rPr>
          <w:sz w:val="20"/>
          <w:szCs w:val="20"/>
        </w:rPr>
        <w:t xml:space="preserve">, lõik 32; Euroopa Kohtu 13. veebruari 1979 otsus kohtuasjas 85/76: </w:t>
      </w:r>
      <w:r w:rsidRPr="00F26E9F">
        <w:rPr>
          <w:i/>
          <w:sz w:val="20"/>
          <w:szCs w:val="20"/>
        </w:rPr>
        <w:t>Hoffmann-La Roche vs. Komisjon</w:t>
      </w:r>
      <w:r w:rsidRPr="00F26E9F">
        <w:rPr>
          <w:sz w:val="20"/>
          <w:szCs w:val="20"/>
        </w:rPr>
        <w:t xml:space="preserve">; EKL 1979, lk </w:t>
      </w:r>
      <w:r w:rsidRPr="00F26E9F">
        <w:rPr>
          <w:iCs/>
          <w:sz w:val="20"/>
          <w:szCs w:val="20"/>
        </w:rPr>
        <w:t>00461</w:t>
      </w:r>
      <w:r w:rsidRPr="00F26E9F">
        <w:rPr>
          <w:sz w:val="20"/>
          <w:szCs w:val="20"/>
        </w:rPr>
        <w:t>, lõik 23.</w:t>
      </w:r>
    </w:p>
  </w:footnote>
  <w:footnote w:id="13">
    <w:p w14:paraId="12C72A8C" w14:textId="77777777" w:rsidR="00456678" w:rsidRPr="00F26E9F" w:rsidRDefault="00456678" w:rsidP="00F26E9F">
      <w:pPr>
        <w:rPr>
          <w:sz w:val="20"/>
          <w:szCs w:val="20"/>
        </w:rPr>
      </w:pPr>
      <w:r w:rsidRPr="00F26E9F">
        <w:rPr>
          <w:rStyle w:val="Allmrkuseviide"/>
          <w:sz w:val="20"/>
          <w:szCs w:val="20"/>
        </w:rPr>
        <w:footnoteRef/>
      </w:r>
      <w:r w:rsidRPr="00F26E9F">
        <w:rPr>
          <w:sz w:val="20"/>
          <w:szCs w:val="20"/>
        </w:rPr>
        <w:t xml:space="preserve"> tuntud ka kui nn </w:t>
      </w:r>
      <w:r w:rsidRPr="00F26E9F">
        <w:rPr>
          <w:i/>
          <w:sz w:val="20"/>
          <w:szCs w:val="20"/>
        </w:rPr>
        <w:t>SSNIP</w:t>
      </w:r>
      <w:r w:rsidRPr="00F26E9F">
        <w:rPr>
          <w:sz w:val="20"/>
          <w:szCs w:val="20"/>
        </w:rPr>
        <w:t xml:space="preserve">-test. </w:t>
      </w:r>
      <w:r w:rsidRPr="00F26E9F">
        <w:rPr>
          <w:i/>
          <w:sz w:val="20"/>
          <w:szCs w:val="20"/>
        </w:rPr>
        <w:t>SSNIP</w:t>
      </w:r>
      <w:r w:rsidRPr="00F26E9F">
        <w:rPr>
          <w:sz w:val="20"/>
          <w:szCs w:val="20"/>
        </w:rPr>
        <w:t xml:space="preserve"> -</w:t>
      </w:r>
      <w:r w:rsidRPr="00F26E9F">
        <w:rPr>
          <w:i/>
          <w:sz w:val="20"/>
          <w:szCs w:val="20"/>
        </w:rPr>
        <w:t xml:space="preserve"> Small but Significant Non-Transitory Increase in Price</w:t>
      </w:r>
      <w:r w:rsidRPr="00F26E9F">
        <w:rPr>
          <w:sz w:val="20"/>
          <w:szCs w:val="20"/>
        </w:rPr>
        <w:t xml:space="preserve"> (väike, ent märkimisväärne püsiv hinnatõus).</w:t>
      </w:r>
    </w:p>
  </w:footnote>
  <w:footnote w:id="14">
    <w:p w14:paraId="7DB7EEAF" w14:textId="77777777" w:rsidR="00456678" w:rsidRPr="00F26E9F" w:rsidRDefault="00456678" w:rsidP="00F26E9F">
      <w:pPr>
        <w:rPr>
          <w:sz w:val="20"/>
          <w:szCs w:val="20"/>
        </w:rPr>
      </w:pPr>
      <w:r w:rsidRPr="00F26E9F">
        <w:rPr>
          <w:rStyle w:val="Allmrkuseviide"/>
          <w:sz w:val="20"/>
          <w:szCs w:val="20"/>
        </w:rPr>
        <w:footnoteRef/>
      </w:r>
      <w:r w:rsidRPr="00F26E9F">
        <w:rPr>
          <w:sz w:val="20"/>
          <w:szCs w:val="20"/>
        </w:rPr>
        <w:t xml:space="preserve"> p1*q1-p2*q2&gt;=0 ehk p1*q1-p1(1+t)*q1(1+l)&gt;=0 ehk l&gt;=</w:t>
      </w:r>
      <w:r w:rsidRPr="00F26E9F">
        <w:rPr>
          <w:sz w:val="20"/>
          <w:szCs w:val="20"/>
        </w:rPr>
        <w:noBreakHyphen/>
        <w:t>t/(1+t ), kus p1 on hind enne ja p2 on hind pärast hinnatõusu; q1 on müügikogus enne ja q2 on müügikogus pärast hinnatõusu, t on hinnatõus protsentides ja l on müügikoguse muutus.</w:t>
      </w:r>
    </w:p>
  </w:footnote>
  <w:footnote w:id="15">
    <w:p w14:paraId="144CA7C3" w14:textId="29E6B843" w:rsidR="00456678" w:rsidRPr="00AC6F81" w:rsidRDefault="00456678" w:rsidP="00AC6F81">
      <w:pPr>
        <w:rPr>
          <w:sz w:val="20"/>
          <w:szCs w:val="20"/>
        </w:rPr>
      </w:pPr>
      <w:r w:rsidRPr="00AC6F81">
        <w:rPr>
          <w:rStyle w:val="Allmrkusmrgid"/>
          <w:sz w:val="20"/>
          <w:szCs w:val="20"/>
        </w:rPr>
        <w:footnoteRef/>
      </w:r>
      <w:r w:rsidRPr="00AC6F81">
        <w:rPr>
          <w:sz w:val="20"/>
          <w:szCs w:val="20"/>
        </w:rPr>
        <w:t xml:space="preserve"> Euroopa Kohtu 14. veebruari 1978 otsus kohtuasjas </w:t>
      </w:r>
      <w:r w:rsidRPr="00AC6F81">
        <w:rPr>
          <w:bCs/>
          <w:sz w:val="20"/>
          <w:szCs w:val="20"/>
        </w:rPr>
        <w:t>27/76</w:t>
      </w:r>
      <w:r w:rsidRPr="00AC6F81">
        <w:rPr>
          <w:sz w:val="20"/>
          <w:szCs w:val="20"/>
        </w:rPr>
        <w:t xml:space="preserve">: </w:t>
      </w:r>
      <w:r w:rsidRPr="00AC6F81">
        <w:rPr>
          <w:bCs/>
          <w:i/>
          <w:sz w:val="20"/>
          <w:szCs w:val="20"/>
        </w:rPr>
        <w:t>United Brands</w:t>
      </w:r>
      <w:r w:rsidRPr="00AC6F81">
        <w:rPr>
          <w:bCs/>
          <w:sz w:val="20"/>
          <w:szCs w:val="20"/>
        </w:rPr>
        <w:t>;</w:t>
      </w:r>
      <w:r w:rsidRPr="00AC6F81">
        <w:rPr>
          <w:sz w:val="20"/>
          <w:szCs w:val="20"/>
        </w:rPr>
        <w:t xml:space="preserve"> EKL </w:t>
      </w:r>
      <w:r w:rsidRPr="00AC6F81">
        <w:rPr>
          <w:iCs/>
          <w:sz w:val="20"/>
          <w:szCs w:val="20"/>
        </w:rPr>
        <w:t xml:space="preserve">1978, lk </w:t>
      </w:r>
      <w:r w:rsidRPr="00AC6F81">
        <w:rPr>
          <w:rStyle w:val="Rhutus"/>
          <w:sz w:val="20"/>
          <w:szCs w:val="20"/>
        </w:rPr>
        <w:t>00207</w:t>
      </w:r>
      <w:r w:rsidRPr="00AC6F81">
        <w:rPr>
          <w:sz w:val="20"/>
          <w:szCs w:val="20"/>
        </w:rPr>
        <w:t xml:space="preserve">, lõik 44; 322/81: </w:t>
      </w:r>
      <w:r w:rsidRPr="00AC6F81">
        <w:rPr>
          <w:i/>
          <w:iCs/>
          <w:sz w:val="20"/>
          <w:szCs w:val="20"/>
        </w:rPr>
        <w:t xml:space="preserve">Michelin </w:t>
      </w:r>
      <w:r w:rsidRPr="00AC6F81">
        <w:rPr>
          <w:sz w:val="20"/>
          <w:szCs w:val="20"/>
        </w:rPr>
        <w:t xml:space="preserve">vs. </w:t>
      </w:r>
      <w:r w:rsidRPr="00AC6F81">
        <w:rPr>
          <w:i/>
          <w:iCs/>
          <w:sz w:val="20"/>
          <w:szCs w:val="20"/>
        </w:rPr>
        <w:t>Komisjon</w:t>
      </w:r>
      <w:r w:rsidRPr="00AC6F81">
        <w:rPr>
          <w:sz w:val="20"/>
          <w:szCs w:val="20"/>
        </w:rPr>
        <w:t xml:space="preserve">, op. cit., lõik 26; Euroopa Kohtu </w:t>
      </w:r>
      <w:r w:rsidRPr="00AC6F81">
        <w:rPr>
          <w:bCs/>
          <w:sz w:val="20"/>
          <w:szCs w:val="20"/>
        </w:rPr>
        <w:t>5. oktoobri 1988</w:t>
      </w:r>
      <w:r w:rsidRPr="00AC6F81">
        <w:rPr>
          <w:sz w:val="20"/>
          <w:szCs w:val="20"/>
        </w:rPr>
        <w:t xml:space="preserve"> otsus kohtuasjas </w:t>
      </w:r>
      <w:r w:rsidRPr="00AC6F81">
        <w:rPr>
          <w:bCs/>
          <w:sz w:val="20"/>
          <w:szCs w:val="20"/>
        </w:rPr>
        <w:t xml:space="preserve">247/86: </w:t>
      </w:r>
      <w:r w:rsidRPr="00AC6F81">
        <w:rPr>
          <w:bCs/>
          <w:i/>
          <w:sz w:val="20"/>
          <w:szCs w:val="20"/>
        </w:rPr>
        <w:t xml:space="preserve">Alsatel </w:t>
      </w:r>
      <w:r w:rsidRPr="00AC6F81">
        <w:rPr>
          <w:bCs/>
          <w:sz w:val="20"/>
          <w:szCs w:val="20"/>
        </w:rPr>
        <w:t>vs</w:t>
      </w:r>
      <w:r w:rsidRPr="00AC6F81">
        <w:rPr>
          <w:bCs/>
          <w:i/>
          <w:sz w:val="20"/>
          <w:szCs w:val="20"/>
        </w:rPr>
        <w:t>. Novasam</w:t>
      </w:r>
      <w:r w:rsidRPr="00AC6F81">
        <w:rPr>
          <w:bCs/>
          <w:sz w:val="20"/>
          <w:szCs w:val="20"/>
        </w:rPr>
        <w:t xml:space="preserve">; </w:t>
      </w:r>
      <w:r w:rsidRPr="00AC6F81">
        <w:rPr>
          <w:iCs/>
          <w:sz w:val="20"/>
          <w:szCs w:val="20"/>
        </w:rPr>
        <w:t>EKL 1988, lk 05987</w:t>
      </w:r>
      <w:r w:rsidRPr="00AC6F81">
        <w:rPr>
          <w:sz w:val="20"/>
          <w:szCs w:val="20"/>
        </w:rPr>
        <w:t xml:space="preserve">, lõik 15; T-504/93: </w:t>
      </w:r>
      <w:r w:rsidRPr="00AC6F81">
        <w:rPr>
          <w:i/>
          <w:iCs/>
          <w:sz w:val="20"/>
          <w:szCs w:val="20"/>
        </w:rPr>
        <w:t xml:space="preserve">Tiercé Ladbroke </w:t>
      </w:r>
      <w:r w:rsidRPr="00AC6F81">
        <w:rPr>
          <w:sz w:val="20"/>
          <w:szCs w:val="20"/>
        </w:rPr>
        <w:t>vs</w:t>
      </w:r>
      <w:r w:rsidRPr="00AC6F81">
        <w:rPr>
          <w:i/>
          <w:sz w:val="20"/>
          <w:szCs w:val="20"/>
        </w:rPr>
        <w:t>.Komisjon</w:t>
      </w:r>
      <w:r w:rsidRPr="00AC6F81">
        <w:rPr>
          <w:sz w:val="20"/>
          <w:szCs w:val="20"/>
        </w:rPr>
        <w:t>, op. cit. lõik 102.</w:t>
      </w:r>
    </w:p>
  </w:footnote>
  <w:footnote w:id="16">
    <w:p w14:paraId="5BCCA4CD" w14:textId="77777777" w:rsidR="00456678" w:rsidRPr="00AC6F81" w:rsidRDefault="00456678" w:rsidP="00AC6F81">
      <w:pPr>
        <w:rPr>
          <w:sz w:val="20"/>
          <w:szCs w:val="20"/>
        </w:rPr>
      </w:pPr>
      <w:r w:rsidRPr="00AC6F81">
        <w:rPr>
          <w:rStyle w:val="Allmrkuseviide"/>
          <w:sz w:val="20"/>
          <w:szCs w:val="20"/>
        </w:rPr>
        <w:footnoteRef/>
      </w:r>
      <w:r w:rsidRPr="00AC6F81">
        <w:rPr>
          <w:sz w:val="20"/>
          <w:szCs w:val="20"/>
        </w:rPr>
        <w:t xml:space="preserve"> </w:t>
      </w:r>
      <w:r w:rsidRPr="00AC6F81">
        <w:rPr>
          <w:i/>
          <w:iCs/>
          <w:noProof/>
          <w:sz w:val="20"/>
          <w:szCs w:val="20"/>
        </w:rPr>
        <w:t xml:space="preserve">Deutsche Bahn </w:t>
      </w:r>
      <w:r w:rsidRPr="00AC6F81">
        <w:rPr>
          <w:noProof/>
          <w:sz w:val="20"/>
          <w:szCs w:val="20"/>
        </w:rPr>
        <w:t xml:space="preserve">v </w:t>
      </w:r>
      <w:r w:rsidRPr="00AC6F81">
        <w:rPr>
          <w:i/>
          <w:iCs/>
          <w:noProof/>
          <w:sz w:val="20"/>
          <w:szCs w:val="20"/>
        </w:rPr>
        <w:t>Commission</w:t>
      </w:r>
      <w:r w:rsidRPr="00AC6F81">
        <w:rPr>
          <w:noProof/>
          <w:sz w:val="20"/>
          <w:szCs w:val="20"/>
        </w:rPr>
        <w:t xml:space="preserve"> [1997] ECR II-1689, paragraph 92. Case T-139/98 </w:t>
      </w:r>
      <w:r w:rsidRPr="00AC6F81">
        <w:rPr>
          <w:i/>
          <w:iCs/>
          <w:noProof/>
          <w:sz w:val="20"/>
          <w:szCs w:val="20"/>
        </w:rPr>
        <w:t xml:space="preserve">AAMS </w:t>
      </w:r>
      <w:r w:rsidRPr="00AC6F81">
        <w:rPr>
          <w:noProof/>
          <w:sz w:val="20"/>
          <w:szCs w:val="20"/>
        </w:rPr>
        <w:t xml:space="preserve">v </w:t>
      </w:r>
      <w:r w:rsidRPr="00AC6F81">
        <w:rPr>
          <w:i/>
          <w:iCs/>
          <w:noProof/>
          <w:sz w:val="20"/>
          <w:szCs w:val="20"/>
        </w:rPr>
        <w:t>Commission</w:t>
      </w:r>
      <w:r w:rsidRPr="00AC6F81">
        <w:rPr>
          <w:noProof/>
          <w:sz w:val="20"/>
          <w:szCs w:val="20"/>
        </w:rPr>
        <w:t>, [2001] ECR0000-II, paragraph 39, viidatud turuanalüüsi ja märkimisväärse turujõu hindamise suuniste punktis 56).</w:t>
      </w:r>
    </w:p>
  </w:footnote>
  <w:footnote w:id="17">
    <w:p w14:paraId="36F4DD3F" w14:textId="56B4F068" w:rsidR="00456678" w:rsidRPr="00AC6F81" w:rsidRDefault="00456678" w:rsidP="00AC6F81">
      <w:pPr>
        <w:rPr>
          <w:sz w:val="20"/>
          <w:szCs w:val="20"/>
        </w:rPr>
      </w:pPr>
      <w:r w:rsidRPr="00AC6F81">
        <w:rPr>
          <w:rStyle w:val="Allmrkuseviide"/>
          <w:sz w:val="20"/>
          <w:szCs w:val="20"/>
        </w:rPr>
        <w:footnoteRef/>
      </w:r>
      <w:r w:rsidRPr="00AC6F81">
        <w:rPr>
          <w:sz w:val="20"/>
          <w:szCs w:val="20"/>
        </w:rPr>
        <w:t xml:space="preserve"> </w:t>
      </w:r>
      <w:r w:rsidRPr="00AC6F81">
        <w:rPr>
          <w:bCs/>
          <w:sz w:val="20"/>
          <w:szCs w:val="20"/>
        </w:rPr>
        <w:t>Seadmemajutus (</w:t>
      </w:r>
      <w:r w:rsidRPr="00AC6F81">
        <w:rPr>
          <w:bCs/>
          <w:i/>
          <w:sz w:val="20"/>
          <w:szCs w:val="20"/>
        </w:rPr>
        <w:t>colocation</w:t>
      </w:r>
      <w:r w:rsidRPr="00AC6F81">
        <w:rPr>
          <w:bCs/>
          <w:sz w:val="20"/>
          <w:szCs w:val="20"/>
        </w:rPr>
        <w:t>) - teisele sideettevõtjale antakse kasutada kõrgendatud turvanõuetele vastava lahenduse ja spetsiaalse tehnilise infrastruktuuriga ruumid võrguelementide ja nendega seotud vahendite majutamiseks ja haldamiseks mahus, mis on vajalik kohaliku juurdepääsu hulgituru koosseisu kuuluvate teenuste kasutamiseks.</w:t>
      </w:r>
    </w:p>
  </w:footnote>
  <w:footnote w:id="18">
    <w:p w14:paraId="6AD89226" w14:textId="77777777" w:rsidR="00456678" w:rsidRPr="00AC6F81" w:rsidRDefault="00456678" w:rsidP="00AC6F81">
      <w:pPr>
        <w:rPr>
          <w:sz w:val="20"/>
          <w:szCs w:val="20"/>
        </w:rPr>
      </w:pPr>
      <w:r w:rsidRPr="00AC6F81">
        <w:rPr>
          <w:rStyle w:val="Allmrkuseviide"/>
          <w:sz w:val="20"/>
          <w:szCs w:val="20"/>
        </w:rPr>
        <w:footnoteRef/>
      </w:r>
      <w:r w:rsidRPr="00AC6F81">
        <w:rPr>
          <w:sz w:val="20"/>
          <w:szCs w:val="20"/>
        </w:rPr>
        <w:t xml:space="preserve"> </w:t>
      </w:r>
      <w:r w:rsidRPr="00AC6F81">
        <w:rPr>
          <w:i/>
          <w:sz w:val="20"/>
          <w:szCs w:val="20"/>
          <w:lang w:val="en-US"/>
        </w:rPr>
        <w:t>Digital Subscriber Line</w:t>
      </w:r>
      <w:r w:rsidRPr="00AC6F81">
        <w:rPr>
          <w:sz w:val="20"/>
          <w:szCs w:val="20"/>
        </w:rPr>
        <w:t xml:space="preserve"> – digitaalne abonendiliin.</w:t>
      </w:r>
    </w:p>
  </w:footnote>
  <w:footnote w:id="19">
    <w:p w14:paraId="7D2FA8BB" w14:textId="0F33F2F6" w:rsidR="00456678" w:rsidRPr="00AC6F81" w:rsidRDefault="00456678" w:rsidP="00AC6F81">
      <w:pPr>
        <w:rPr>
          <w:sz w:val="20"/>
          <w:szCs w:val="20"/>
        </w:rPr>
      </w:pPr>
      <w:r w:rsidRPr="00AC6F81">
        <w:rPr>
          <w:rStyle w:val="Allmrkuseviide"/>
          <w:sz w:val="20"/>
          <w:szCs w:val="20"/>
        </w:rPr>
        <w:footnoteRef/>
      </w:r>
      <w:r w:rsidRPr="00AC6F81">
        <w:rPr>
          <w:sz w:val="20"/>
          <w:szCs w:val="20"/>
        </w:rPr>
        <w:t xml:space="preserve"> </w:t>
      </w:r>
      <w:r w:rsidRPr="00AC6F81">
        <w:rPr>
          <w:i/>
          <w:sz w:val="20"/>
          <w:szCs w:val="20"/>
        </w:rPr>
        <w:t>Vectoring</w:t>
      </w:r>
      <w:r w:rsidRPr="00AC6F81">
        <w:rPr>
          <w:sz w:val="20"/>
          <w:szCs w:val="20"/>
        </w:rPr>
        <w:t xml:space="preserve"> - Performance in G.fast systems is limited to a large extent by crosstalk between multiple wire pairs in a single cable G.993.5 (02/19) Self-FEXT cancellation (vectoring) for use with VDSL2 transceivers  </w:t>
      </w:r>
    </w:p>
  </w:footnote>
  <w:footnote w:id="20">
    <w:p w14:paraId="2ACF8E23" w14:textId="31750A34" w:rsidR="00456678" w:rsidRPr="00AC6F81" w:rsidRDefault="00456678" w:rsidP="00AC6F81">
      <w:pPr>
        <w:rPr>
          <w:sz w:val="20"/>
          <w:szCs w:val="20"/>
        </w:rPr>
      </w:pPr>
      <w:r w:rsidRPr="00AC6F81">
        <w:rPr>
          <w:rStyle w:val="Allmrkuseviide"/>
          <w:sz w:val="20"/>
          <w:szCs w:val="20"/>
        </w:rPr>
        <w:footnoteRef/>
      </w:r>
      <w:r w:rsidRPr="00AC6F81">
        <w:rPr>
          <w:sz w:val="20"/>
          <w:szCs w:val="20"/>
        </w:rPr>
        <w:t xml:space="preserve"> </w:t>
      </w:r>
      <w:r w:rsidRPr="00AC6F81">
        <w:rPr>
          <w:i/>
          <w:sz w:val="20"/>
          <w:szCs w:val="20"/>
        </w:rPr>
        <w:t>G.fast</w:t>
      </w:r>
      <w:r w:rsidRPr="00AC6F81">
        <w:rPr>
          <w:sz w:val="20"/>
          <w:szCs w:val="20"/>
        </w:rPr>
        <w:t xml:space="preserve"> - digital subscriber line (DSL) protocol standard for local loops shorter than 500 m, with performance targets between 0.1 and 1 Gbit/s (ITU G.9700 (07/19))</w:t>
      </w:r>
    </w:p>
  </w:footnote>
  <w:footnote w:id="21">
    <w:p w14:paraId="38DD6341" w14:textId="500C2F35" w:rsidR="00456678" w:rsidRPr="00EC5511" w:rsidRDefault="00456678">
      <w:pPr>
        <w:pStyle w:val="Allmrkusetekst"/>
        <w:rPr>
          <w:sz w:val="20"/>
          <w:szCs w:val="20"/>
        </w:rPr>
      </w:pPr>
      <w:r w:rsidRPr="00EC5511">
        <w:rPr>
          <w:rStyle w:val="Allmrkuseviide"/>
          <w:sz w:val="20"/>
          <w:szCs w:val="20"/>
        </w:rPr>
        <w:footnoteRef/>
      </w:r>
      <w:r w:rsidRPr="00EC5511">
        <w:rPr>
          <w:sz w:val="20"/>
          <w:szCs w:val="20"/>
        </w:rPr>
        <w:t xml:space="preserve"> https://www.mkm.ee/sites/default/files/kiire_interneti_uhenduste_viimase_miili_analuus_ja_ettepanekud.pdf</w:t>
      </w:r>
    </w:p>
  </w:footnote>
  <w:footnote w:id="22">
    <w:p w14:paraId="7917A257" w14:textId="0B0E02B5" w:rsidR="00456678" w:rsidRPr="006B4C33" w:rsidRDefault="00456678">
      <w:pPr>
        <w:pStyle w:val="Allmrkusetekst"/>
        <w:rPr>
          <w:sz w:val="20"/>
          <w:szCs w:val="20"/>
        </w:rPr>
      </w:pPr>
      <w:r w:rsidRPr="006B4C33">
        <w:rPr>
          <w:rStyle w:val="Allmrkuseviide"/>
          <w:sz w:val="20"/>
          <w:szCs w:val="20"/>
        </w:rPr>
        <w:footnoteRef/>
      </w:r>
      <w:r w:rsidRPr="006B4C33">
        <w:rPr>
          <w:sz w:val="20"/>
          <w:szCs w:val="20"/>
        </w:rPr>
        <w:t xml:space="preserve"> http://www.vorgud.ee/wp-content/uploads/2014/08/Sissejuhatus_vorgutehnoloogiasse.pdf</w:t>
      </w:r>
    </w:p>
  </w:footnote>
  <w:footnote w:id="23">
    <w:p w14:paraId="2C61AC45" w14:textId="4D28D5EC" w:rsidR="00456678" w:rsidRDefault="00456678">
      <w:pPr>
        <w:pStyle w:val="Allmrkusetekst"/>
      </w:pPr>
      <w:r>
        <w:rPr>
          <w:rStyle w:val="Allmrkuseviide"/>
        </w:rPr>
        <w:footnoteRef/>
      </w:r>
      <w:r>
        <w:t xml:space="preserve"> </w:t>
      </w:r>
      <w:hyperlink r:id="rId4" w:history="1">
        <w:r w:rsidRPr="00955BDE">
          <w:rPr>
            <w:rStyle w:val="Hperlink"/>
            <w:sz w:val="20"/>
            <w:szCs w:val="20"/>
          </w:rPr>
          <w:t>https://www.huawei.com/us/static/HW-278064.pdf</w:t>
        </w:r>
      </w:hyperlink>
      <w:r>
        <w:rPr>
          <w:sz w:val="20"/>
          <w:szCs w:val="20"/>
        </w:rPr>
        <w:t xml:space="preserve"> lk8</w:t>
      </w:r>
    </w:p>
  </w:footnote>
  <w:footnote w:id="24">
    <w:p w14:paraId="6CF02C48" w14:textId="133D50F5" w:rsidR="00456678" w:rsidRPr="00AC6F81" w:rsidRDefault="00456678" w:rsidP="00AC6F81">
      <w:pPr>
        <w:jc w:val="both"/>
        <w:rPr>
          <w:sz w:val="20"/>
          <w:szCs w:val="20"/>
        </w:rPr>
      </w:pPr>
      <w:r w:rsidRPr="00AC6F81">
        <w:rPr>
          <w:rStyle w:val="Allmrkuseviide"/>
          <w:sz w:val="20"/>
          <w:szCs w:val="20"/>
        </w:rPr>
        <w:footnoteRef/>
      </w:r>
      <w:r w:rsidRPr="00AC6F81">
        <w:rPr>
          <w:sz w:val="20"/>
          <w:szCs w:val="20"/>
          <w:u w:val="single"/>
        </w:rPr>
        <w:t xml:space="preserve"> Seadmemajutus</w:t>
      </w:r>
      <w:r w:rsidRPr="00AC6F81">
        <w:rPr>
          <w:sz w:val="20"/>
          <w:szCs w:val="20"/>
        </w:rPr>
        <w:t xml:space="preserve"> (</w:t>
      </w:r>
      <w:r w:rsidRPr="00AC6F81">
        <w:rPr>
          <w:i/>
          <w:sz w:val="20"/>
          <w:szCs w:val="20"/>
        </w:rPr>
        <w:t>colocation</w:t>
      </w:r>
      <w:r w:rsidRPr="00AC6F81">
        <w:rPr>
          <w:sz w:val="20"/>
          <w:szCs w:val="20"/>
        </w:rPr>
        <w:t>) - teisele sideettevõtjale antakse kasutada kõrgendatud turvanõuetele vastava lahenduse ja spetsiaalse tehnilise infrastruktuuriga ruumid võrguelementide ja nendega seotud vahendite majutamiseks ja haldamiseks mahus, mis on vajalik vaskpaarile juurdepääsu hulgituru koosseisu kuuluvate teenuste kasutamiseks</w:t>
      </w:r>
    </w:p>
  </w:footnote>
  <w:footnote w:id="25">
    <w:p w14:paraId="54DFB9D8" w14:textId="1D3B9383" w:rsidR="00456678" w:rsidRPr="00AC6F81" w:rsidRDefault="00456678" w:rsidP="00D95E36">
      <w:pPr>
        <w:pStyle w:val="Allmrkusetekst"/>
        <w:rPr>
          <w:sz w:val="20"/>
          <w:szCs w:val="20"/>
        </w:rPr>
      </w:pPr>
      <w:r w:rsidRPr="00AC6F81">
        <w:rPr>
          <w:sz w:val="20"/>
          <w:szCs w:val="20"/>
        </w:rPr>
        <w:footnoteRef/>
      </w:r>
      <w:r w:rsidRPr="00AC6F81">
        <w:rPr>
          <w:sz w:val="20"/>
          <w:szCs w:val="20"/>
        </w:rPr>
        <w:t xml:space="preserve"> toote- ja teenuseturgude soovituse seletuskiri (selgitav memorandum), lk 34</w:t>
      </w:r>
      <w:r>
        <w:rPr>
          <w:sz w:val="20"/>
          <w:szCs w:val="20"/>
        </w:rPr>
        <w:t xml:space="preserve"> </w:t>
      </w:r>
    </w:p>
  </w:footnote>
  <w:footnote w:id="26">
    <w:p w14:paraId="4284F60E" w14:textId="788B776D" w:rsidR="00456678" w:rsidRPr="00F45BB7" w:rsidRDefault="00456678">
      <w:pPr>
        <w:pStyle w:val="Allmrkusetekst"/>
        <w:rPr>
          <w:sz w:val="20"/>
          <w:szCs w:val="20"/>
        </w:rPr>
      </w:pPr>
      <w:r w:rsidRPr="00154B38">
        <w:rPr>
          <w:rStyle w:val="Allmrkuseviide"/>
          <w:sz w:val="20"/>
          <w:szCs w:val="20"/>
        </w:rPr>
        <w:footnoteRef/>
      </w:r>
      <w:r>
        <w:t xml:space="preserve"> </w:t>
      </w:r>
      <w:hyperlink r:id="rId5" w:history="1">
        <w:r w:rsidRPr="00F45BB7">
          <w:rPr>
            <w:rStyle w:val="Hperlink"/>
            <w:sz w:val="20"/>
            <w:szCs w:val="20"/>
          </w:rPr>
          <w:t>https://www.ttja.ee/sites/default/files/content-editors/Sideteenused/mobiilse_interneti_andmesidekiirused_eestis_09.2019.pdf</w:t>
        </w:r>
      </w:hyperlink>
    </w:p>
    <w:p w14:paraId="5591C30D" w14:textId="77777777" w:rsidR="00456678" w:rsidRDefault="00456678">
      <w:pPr>
        <w:pStyle w:val="Allmrkusetekst"/>
      </w:pPr>
    </w:p>
  </w:footnote>
  <w:footnote w:id="27">
    <w:p w14:paraId="65693D3C" w14:textId="26C6F0C7" w:rsidR="00456678" w:rsidRDefault="00456678" w:rsidP="00864595">
      <w:pPr>
        <w:pStyle w:val="Allmrkusetekst"/>
      </w:pPr>
      <w:r>
        <w:rPr>
          <w:rStyle w:val="Allmrkuseviide"/>
        </w:rPr>
        <w:footnoteRef/>
      </w:r>
      <w:r w:rsidRPr="00496F8C">
        <w:rPr>
          <w:sz w:val="20"/>
          <w:szCs w:val="20"/>
        </w:rPr>
        <w:t>Comission Staff Working Document accompanies the Communication "Connectivity for a Competitive Digital Single Market – Towards a European Gigabit Society" Brussels, 14.9.2016 SWD(2016) 300 final</w:t>
      </w:r>
      <w:r>
        <w:rPr>
          <w:sz w:val="20"/>
          <w:szCs w:val="20"/>
        </w:rPr>
        <w:t xml:space="preserve">, (lk 53), </w:t>
      </w:r>
      <w:hyperlink r:id="rId6" w:history="1">
        <w:r w:rsidRPr="00496F8C">
          <w:rPr>
            <w:rStyle w:val="Hperlink"/>
            <w:sz w:val="20"/>
            <w:szCs w:val="20"/>
          </w:rPr>
          <w:t>http://eur-lex.europa.eu/legal-content/en/TXT/?uri=CELEX%3A52016SC0300</w:t>
        </w:r>
      </w:hyperlink>
    </w:p>
  </w:footnote>
  <w:footnote w:id="28">
    <w:p w14:paraId="7B902E8D" w14:textId="398DC840" w:rsidR="00456678" w:rsidRDefault="00456678">
      <w:pPr>
        <w:pStyle w:val="Allmrkusetekst"/>
      </w:pPr>
      <w:r>
        <w:rPr>
          <w:rStyle w:val="Allmrkuseviide"/>
        </w:rPr>
        <w:footnoteRef/>
      </w:r>
      <w:r>
        <w:t xml:space="preserve"> </w:t>
      </w:r>
      <w:r w:rsidRPr="00A01994">
        <w:rPr>
          <w:sz w:val="16"/>
          <w:szCs w:val="16"/>
        </w:rPr>
        <w:t>Elisa Teleteenused AS (kuni 12.01.2018 Starman AS)</w:t>
      </w:r>
    </w:p>
  </w:footnote>
  <w:footnote w:id="29">
    <w:p w14:paraId="514808CB" w14:textId="357A8588" w:rsidR="00456678" w:rsidRPr="00043585" w:rsidRDefault="00456678" w:rsidP="00D82259">
      <w:pPr>
        <w:pStyle w:val="Allmrkusetekst"/>
        <w:spacing w:before="120" w:after="120"/>
        <w:rPr>
          <w:sz w:val="20"/>
          <w:szCs w:val="20"/>
        </w:rPr>
      </w:pPr>
      <w:r>
        <w:rPr>
          <w:rStyle w:val="Allmrkuseviide"/>
        </w:rPr>
        <w:footnoteRef/>
      </w:r>
      <w:r>
        <w:t xml:space="preserve"> </w:t>
      </w:r>
      <w:r w:rsidRPr="00043585">
        <w:rPr>
          <w:i/>
          <w:sz w:val="20"/>
          <w:szCs w:val="20"/>
        </w:rPr>
        <w:t>Tunneldamine</w:t>
      </w:r>
      <w:r w:rsidRPr="00043585">
        <w:rPr>
          <w:sz w:val="20"/>
          <w:szCs w:val="20"/>
        </w:rPr>
        <w:t xml:space="preserve">: meetod ühe </w:t>
      </w:r>
      <w:hyperlink r:id="rId7" w:history="1">
        <w:r w:rsidRPr="00043585">
          <w:rPr>
            <w:sz w:val="20"/>
            <w:szCs w:val="20"/>
          </w:rPr>
          <w:t xml:space="preserve">võrgu </w:t>
        </w:r>
      </w:hyperlink>
      <w:hyperlink r:id="rId8" w:history="1">
        <w:r w:rsidRPr="00043585">
          <w:rPr>
            <w:sz w:val="20"/>
            <w:szCs w:val="20"/>
          </w:rPr>
          <w:t xml:space="preserve">andmete </w:t>
        </w:r>
      </w:hyperlink>
      <w:r w:rsidRPr="00043585">
        <w:rPr>
          <w:sz w:val="20"/>
          <w:szCs w:val="20"/>
        </w:rPr>
        <w:t>edastamiseks läbi teise võrgu (</w:t>
      </w:r>
      <w:hyperlink r:id="rId9" w:history="1">
        <w:r w:rsidRPr="00ED217A">
          <w:rPr>
            <w:rStyle w:val="Hperlink"/>
            <w:sz w:val="20"/>
            <w:szCs w:val="20"/>
          </w:rPr>
          <w:t>www.vallaste.ee</w:t>
        </w:r>
      </w:hyperlink>
      <w:r>
        <w:rPr>
          <w:sz w:val="20"/>
          <w:szCs w:val="20"/>
        </w:rPr>
        <w:t xml:space="preserve"> </w:t>
      </w:r>
      <w:r w:rsidRPr="00043585">
        <w:rPr>
          <w:sz w:val="20"/>
          <w:szCs w:val="20"/>
        </w:rPr>
        <w:t>).</w:t>
      </w:r>
    </w:p>
  </w:footnote>
  <w:footnote w:id="30">
    <w:p w14:paraId="53863C0C" w14:textId="57CA6B3E" w:rsidR="00456678" w:rsidRPr="00875262" w:rsidRDefault="00456678" w:rsidP="00875262">
      <w:pPr>
        <w:rPr>
          <w:sz w:val="20"/>
          <w:szCs w:val="20"/>
        </w:rPr>
      </w:pPr>
      <w:r w:rsidRPr="00875262">
        <w:rPr>
          <w:rStyle w:val="Allmrkuseviide"/>
          <w:sz w:val="20"/>
          <w:szCs w:val="20"/>
        </w:rPr>
        <w:footnoteRef/>
      </w:r>
      <w:r w:rsidRPr="00875262">
        <w:rPr>
          <w:sz w:val="20"/>
          <w:szCs w:val="20"/>
        </w:rPr>
        <w:t xml:space="preserve"> </w:t>
      </w:r>
      <w:r w:rsidRPr="00875262">
        <w:rPr>
          <w:sz w:val="20"/>
          <w:szCs w:val="20"/>
          <w:u w:val="single"/>
        </w:rPr>
        <w:t>seadmemajutus</w:t>
      </w:r>
      <w:r w:rsidRPr="00875262">
        <w:rPr>
          <w:sz w:val="20"/>
          <w:szCs w:val="20"/>
        </w:rPr>
        <w:t xml:space="preserve"> (</w:t>
      </w:r>
      <w:r w:rsidRPr="00875262">
        <w:rPr>
          <w:i/>
          <w:sz w:val="20"/>
          <w:szCs w:val="20"/>
        </w:rPr>
        <w:t>colocation</w:t>
      </w:r>
      <w:r w:rsidRPr="00875262">
        <w:rPr>
          <w:sz w:val="20"/>
          <w:szCs w:val="20"/>
        </w:rPr>
        <w:t>) - teisele sideettevõtjale antakse kasutada kõrgendatud turvanõuetele vastava lahenduse ja spetsiaalse tehnilise infrastruktuuriga ruumid võrguelementide ja nendega seotud vahendite majutamiseks ja haldamiseks mahus, mis on vajalik vaskpaarile juurdepääsu hulgituru koosseisu kuuluvate teenuste kasutamiseks</w:t>
      </w:r>
    </w:p>
  </w:footnote>
  <w:footnote w:id="31">
    <w:p w14:paraId="5FBA6C34" w14:textId="5AA3C506" w:rsidR="00456678" w:rsidRPr="00875262" w:rsidRDefault="00456678" w:rsidP="00875262">
      <w:pPr>
        <w:rPr>
          <w:noProof/>
          <w:sz w:val="20"/>
          <w:szCs w:val="20"/>
        </w:rPr>
      </w:pPr>
      <w:r w:rsidRPr="00875262">
        <w:rPr>
          <w:rStyle w:val="Allmrkuseviide"/>
          <w:noProof/>
          <w:sz w:val="20"/>
          <w:szCs w:val="20"/>
        </w:rPr>
        <w:footnoteRef/>
      </w:r>
      <w:r w:rsidRPr="00875262">
        <w:rPr>
          <w:noProof/>
          <w:sz w:val="20"/>
          <w:szCs w:val="20"/>
        </w:rPr>
        <w:t xml:space="preserve"> </w:t>
      </w:r>
      <w:r w:rsidRPr="00875262">
        <w:rPr>
          <w:sz w:val="20"/>
          <w:szCs w:val="20"/>
        </w:rPr>
        <w:t>Turuanalüüsi ja märkimisväärse turujõu hindamise suuniste punktid 70, 26 ja 27</w:t>
      </w:r>
    </w:p>
  </w:footnote>
  <w:footnote w:id="32">
    <w:p w14:paraId="0DD5EA8C" w14:textId="7ECEB286" w:rsidR="00456678" w:rsidRPr="00875262" w:rsidRDefault="00456678" w:rsidP="00875262">
      <w:pPr>
        <w:rPr>
          <w:sz w:val="20"/>
          <w:szCs w:val="20"/>
        </w:rPr>
      </w:pPr>
      <w:r w:rsidRPr="00875262">
        <w:rPr>
          <w:rStyle w:val="Allmrkuseviide"/>
          <w:sz w:val="20"/>
          <w:szCs w:val="20"/>
        </w:rPr>
        <w:footnoteRef/>
      </w:r>
      <w:r w:rsidRPr="00875262">
        <w:rPr>
          <w:sz w:val="20"/>
          <w:szCs w:val="20"/>
        </w:rPr>
        <w:t xml:space="preserve"> RT I, 13.03.2019, 92</w:t>
      </w:r>
    </w:p>
  </w:footnote>
  <w:footnote w:id="33">
    <w:p w14:paraId="6293C6A9" w14:textId="0B81113A" w:rsidR="00456678" w:rsidRPr="00E91FA6" w:rsidRDefault="00456678" w:rsidP="00F702CE">
      <w:pPr>
        <w:pStyle w:val="Allmrkusetekst"/>
        <w:rPr>
          <w:noProof/>
          <w:sz w:val="20"/>
          <w:szCs w:val="20"/>
        </w:rPr>
      </w:pPr>
      <w:r w:rsidRPr="00E91FA6">
        <w:rPr>
          <w:rStyle w:val="Allmrkuseviide"/>
          <w:noProof/>
          <w:sz w:val="20"/>
          <w:szCs w:val="20"/>
        </w:rPr>
        <w:footnoteRef/>
      </w:r>
      <w:r w:rsidRPr="00E91FA6">
        <w:rPr>
          <w:sz w:val="20"/>
          <w:szCs w:val="20"/>
        </w:rPr>
        <w:t>Turuanalüüsi ja märkimisväärse turujõu hindamise suuniste punktid 16, 30 ja 31.</w:t>
      </w:r>
    </w:p>
  </w:footnote>
  <w:footnote w:id="34">
    <w:p w14:paraId="5A393E60" w14:textId="77777777" w:rsidR="00456678" w:rsidRPr="00FC3169" w:rsidRDefault="00456678" w:rsidP="00CC6E9A">
      <w:pPr>
        <w:pStyle w:val="Normaallaadveeb"/>
        <w:spacing w:before="0" w:beforeAutospacing="0" w:after="0" w:afterAutospacing="0"/>
        <w:rPr>
          <w:noProof/>
          <w:sz w:val="20"/>
          <w:szCs w:val="20"/>
          <w:lang w:val="et-EE"/>
        </w:rPr>
      </w:pPr>
      <w:r>
        <w:rPr>
          <w:rStyle w:val="Allmrkuseviide"/>
          <w:noProof/>
          <w:sz w:val="20"/>
          <w:szCs w:val="20"/>
        </w:rPr>
        <w:footnoteRef/>
      </w:r>
      <w:r w:rsidRPr="00FC3169">
        <w:rPr>
          <w:noProof/>
          <w:sz w:val="20"/>
          <w:szCs w:val="20"/>
          <w:lang w:val="et-EE"/>
        </w:rPr>
        <w:t xml:space="preserve"> </w:t>
      </w:r>
      <w:r w:rsidRPr="00FC3169">
        <w:rPr>
          <w:bCs/>
          <w:noProof/>
          <w:sz w:val="20"/>
          <w:szCs w:val="20"/>
          <w:lang w:val="et-EE"/>
        </w:rPr>
        <w:t>C-62/86</w:t>
      </w:r>
      <w:r w:rsidRPr="00FC3169">
        <w:rPr>
          <w:noProof/>
          <w:sz w:val="20"/>
          <w:szCs w:val="20"/>
          <w:lang w:val="et-EE"/>
        </w:rPr>
        <w:t xml:space="preserve">: </w:t>
      </w:r>
      <w:r w:rsidRPr="00FC3169">
        <w:rPr>
          <w:i/>
          <w:noProof/>
          <w:sz w:val="20"/>
          <w:szCs w:val="20"/>
          <w:lang w:val="et-EE"/>
        </w:rPr>
        <w:t xml:space="preserve">AKZO Chemie vs. Komisjon, </w:t>
      </w:r>
      <w:r w:rsidRPr="00FC3169">
        <w:rPr>
          <w:noProof/>
          <w:sz w:val="20"/>
          <w:szCs w:val="20"/>
          <w:lang w:val="et-EE"/>
        </w:rPr>
        <w:t xml:space="preserve">op. cit., lõik 60; Euroopa Ühenduste Esimese Astme Kohtu </w:t>
      </w:r>
      <w:r w:rsidRPr="00FC3169">
        <w:rPr>
          <w:bCs/>
          <w:noProof/>
          <w:sz w:val="20"/>
          <w:szCs w:val="20"/>
          <w:lang w:val="et-EE"/>
        </w:rPr>
        <w:t>7. oktoobri 1999</w:t>
      </w:r>
      <w:r w:rsidRPr="00FC3169">
        <w:rPr>
          <w:noProof/>
          <w:sz w:val="20"/>
          <w:szCs w:val="20"/>
          <w:lang w:val="et-EE"/>
        </w:rPr>
        <w:t xml:space="preserve">. a otsus kohtuasjas </w:t>
      </w:r>
      <w:r w:rsidRPr="00FC3169">
        <w:rPr>
          <w:bCs/>
          <w:noProof/>
          <w:sz w:val="20"/>
          <w:szCs w:val="20"/>
          <w:lang w:val="et-EE"/>
        </w:rPr>
        <w:t xml:space="preserve">T-228/97: </w:t>
      </w:r>
      <w:r w:rsidRPr="00FC3169">
        <w:rPr>
          <w:bCs/>
          <w:i/>
          <w:noProof/>
          <w:sz w:val="20"/>
          <w:szCs w:val="20"/>
          <w:lang w:val="et-EE"/>
        </w:rPr>
        <w:t>Irish Sugar vs. Komisjon</w:t>
      </w:r>
      <w:r w:rsidRPr="00FC3169">
        <w:rPr>
          <w:bCs/>
          <w:noProof/>
          <w:sz w:val="20"/>
          <w:szCs w:val="20"/>
          <w:lang w:val="et-EE"/>
        </w:rPr>
        <w:t xml:space="preserve">; EKL </w:t>
      </w:r>
      <w:r w:rsidRPr="00FC3169">
        <w:rPr>
          <w:iCs/>
          <w:noProof/>
          <w:sz w:val="20"/>
          <w:szCs w:val="20"/>
          <w:lang w:val="et-EE"/>
        </w:rPr>
        <w:t>1999, lk II-02969</w:t>
      </w:r>
      <w:r w:rsidRPr="00FC3169">
        <w:rPr>
          <w:noProof/>
          <w:sz w:val="20"/>
          <w:szCs w:val="20"/>
          <w:lang w:val="et-EE"/>
        </w:rPr>
        <w:t xml:space="preserve">, lõik 70; </w:t>
      </w:r>
      <w:r w:rsidRPr="00FC3169">
        <w:rPr>
          <w:bCs/>
          <w:noProof/>
          <w:sz w:val="20"/>
          <w:szCs w:val="20"/>
          <w:lang w:val="et-EE"/>
        </w:rPr>
        <w:t xml:space="preserve">85/76: </w:t>
      </w:r>
      <w:r w:rsidRPr="00FC3169">
        <w:rPr>
          <w:i/>
          <w:noProof/>
          <w:sz w:val="20"/>
          <w:szCs w:val="20"/>
          <w:lang w:val="et-EE"/>
        </w:rPr>
        <w:t>Hoffmann-La Roche vs. Komisjon</w:t>
      </w:r>
      <w:r w:rsidRPr="00FC3169">
        <w:rPr>
          <w:noProof/>
          <w:sz w:val="20"/>
          <w:szCs w:val="20"/>
          <w:lang w:val="et-EE"/>
        </w:rPr>
        <w:t xml:space="preserve">, op. cit, lõik 41; Euroopa Ühenduste Esimese Astme Kohtu </w:t>
      </w:r>
      <w:r w:rsidRPr="00FC3169">
        <w:rPr>
          <w:bCs/>
          <w:noProof/>
          <w:sz w:val="20"/>
          <w:szCs w:val="20"/>
          <w:lang w:val="et-EE"/>
        </w:rPr>
        <w:t>22. novembri 2001</w:t>
      </w:r>
      <w:r w:rsidRPr="00FC3169">
        <w:rPr>
          <w:noProof/>
          <w:sz w:val="20"/>
          <w:szCs w:val="20"/>
          <w:lang w:val="et-EE"/>
        </w:rPr>
        <w:t xml:space="preserve">. a otsus kohtuasjas </w:t>
      </w:r>
      <w:r w:rsidRPr="00FC3169">
        <w:rPr>
          <w:bCs/>
          <w:noProof/>
          <w:sz w:val="20"/>
          <w:szCs w:val="20"/>
          <w:lang w:val="et-EE"/>
        </w:rPr>
        <w:t>T-139/98</w:t>
      </w:r>
      <w:r w:rsidRPr="00FC3169">
        <w:rPr>
          <w:noProof/>
          <w:sz w:val="20"/>
          <w:szCs w:val="20"/>
          <w:lang w:val="et-EE"/>
        </w:rPr>
        <w:t xml:space="preserve">: </w:t>
      </w:r>
      <w:r w:rsidRPr="00FC3169">
        <w:rPr>
          <w:bCs/>
          <w:i/>
          <w:noProof/>
          <w:sz w:val="20"/>
          <w:szCs w:val="20"/>
          <w:lang w:val="et-EE"/>
        </w:rPr>
        <w:t>AAMS vs. Komisjon</w:t>
      </w:r>
      <w:r w:rsidRPr="00FC3169">
        <w:rPr>
          <w:noProof/>
          <w:sz w:val="20"/>
          <w:szCs w:val="20"/>
          <w:lang w:val="et-EE"/>
        </w:rPr>
        <w:t xml:space="preserve">; EKL 2001, lk </w:t>
      </w:r>
      <w:r w:rsidRPr="00FC3169">
        <w:rPr>
          <w:iCs/>
          <w:noProof/>
          <w:sz w:val="20"/>
          <w:szCs w:val="20"/>
          <w:lang w:val="et-EE"/>
        </w:rPr>
        <w:t>II-03413</w:t>
      </w:r>
      <w:r w:rsidRPr="00FC3169">
        <w:rPr>
          <w:noProof/>
          <w:sz w:val="20"/>
          <w:szCs w:val="20"/>
          <w:lang w:val="et-EE"/>
        </w:rPr>
        <w:t>, lõik 51.</w:t>
      </w:r>
    </w:p>
  </w:footnote>
  <w:footnote w:id="35">
    <w:p w14:paraId="611AC1D0" w14:textId="3FBF8794" w:rsidR="00456678" w:rsidRPr="00FF6E5D" w:rsidRDefault="00456678" w:rsidP="000A779B">
      <w:pPr>
        <w:rPr>
          <w:sz w:val="20"/>
          <w:szCs w:val="20"/>
        </w:rPr>
      </w:pPr>
      <w:r w:rsidRPr="00FF6E5D">
        <w:rPr>
          <w:rStyle w:val="Allmrkusmrgid"/>
          <w:sz w:val="20"/>
          <w:szCs w:val="20"/>
        </w:rPr>
        <w:footnoteRef/>
      </w:r>
      <w:r w:rsidRPr="00FF6E5D">
        <w:rPr>
          <w:sz w:val="20"/>
          <w:szCs w:val="20"/>
        </w:rPr>
        <w:t xml:space="preserve"> </w:t>
      </w:r>
      <w:r w:rsidRPr="0087792B">
        <w:rPr>
          <w:bCs/>
          <w:sz w:val="20"/>
          <w:szCs w:val="20"/>
        </w:rPr>
        <w:t>27/76</w:t>
      </w:r>
      <w:r w:rsidRPr="0087792B">
        <w:rPr>
          <w:sz w:val="20"/>
          <w:szCs w:val="20"/>
        </w:rPr>
        <w:t xml:space="preserve">: </w:t>
      </w:r>
      <w:r w:rsidRPr="001374DA">
        <w:rPr>
          <w:bCs/>
          <w:i/>
          <w:sz w:val="20"/>
          <w:szCs w:val="20"/>
        </w:rPr>
        <w:t>United Brands</w:t>
      </w:r>
      <w:r w:rsidRPr="001374DA">
        <w:rPr>
          <w:bCs/>
          <w:sz w:val="20"/>
          <w:szCs w:val="20"/>
        </w:rPr>
        <w:t>, op. cit.</w:t>
      </w:r>
      <w:r w:rsidRPr="001374DA">
        <w:rPr>
          <w:rStyle w:val="Rhutus"/>
          <w:i w:val="0"/>
          <w:sz w:val="20"/>
          <w:szCs w:val="20"/>
        </w:rPr>
        <w:t>;</w:t>
      </w:r>
      <w:r w:rsidRPr="001374DA">
        <w:rPr>
          <w:rStyle w:val="Rhutus"/>
          <w:sz w:val="20"/>
          <w:szCs w:val="20"/>
        </w:rPr>
        <w:t xml:space="preserve"> </w:t>
      </w:r>
      <w:r w:rsidRPr="001374DA">
        <w:rPr>
          <w:bCs/>
          <w:sz w:val="20"/>
          <w:szCs w:val="20"/>
        </w:rPr>
        <w:t>85/76</w:t>
      </w:r>
      <w:r w:rsidRPr="001374DA">
        <w:rPr>
          <w:sz w:val="20"/>
          <w:szCs w:val="20"/>
        </w:rPr>
        <w:t xml:space="preserve">: </w:t>
      </w:r>
      <w:r w:rsidRPr="001374DA">
        <w:rPr>
          <w:bCs/>
          <w:i/>
          <w:sz w:val="20"/>
          <w:szCs w:val="20"/>
        </w:rPr>
        <w:t>Hoffmann-La Roche</w:t>
      </w:r>
      <w:r w:rsidRPr="0087792B">
        <w:rPr>
          <w:bCs/>
          <w:i/>
          <w:sz w:val="20"/>
          <w:szCs w:val="20"/>
        </w:rPr>
        <w:t xml:space="preserve"> </w:t>
      </w:r>
      <w:r w:rsidRPr="0087792B">
        <w:rPr>
          <w:bCs/>
          <w:sz w:val="20"/>
          <w:szCs w:val="20"/>
        </w:rPr>
        <w:t>vs</w:t>
      </w:r>
      <w:r w:rsidRPr="0087792B">
        <w:rPr>
          <w:bCs/>
          <w:i/>
          <w:sz w:val="20"/>
          <w:szCs w:val="20"/>
        </w:rPr>
        <w:t>. Komisjon</w:t>
      </w:r>
      <w:r w:rsidRPr="0087792B">
        <w:rPr>
          <w:bCs/>
          <w:sz w:val="20"/>
          <w:szCs w:val="20"/>
        </w:rPr>
        <w:t xml:space="preserve">, op. </w:t>
      </w:r>
      <w:r w:rsidRPr="001374DA">
        <w:rPr>
          <w:bCs/>
          <w:sz w:val="20"/>
          <w:szCs w:val="20"/>
        </w:rPr>
        <w:t>cit</w:t>
      </w:r>
      <w:r w:rsidRPr="001374DA">
        <w:rPr>
          <w:sz w:val="20"/>
          <w:szCs w:val="20"/>
        </w:rPr>
        <w:t xml:space="preserve">; </w:t>
      </w:r>
      <w:r w:rsidRPr="001374DA">
        <w:rPr>
          <w:bCs/>
          <w:sz w:val="20"/>
          <w:szCs w:val="20"/>
        </w:rPr>
        <w:t>322/81</w:t>
      </w:r>
      <w:r w:rsidRPr="001374DA">
        <w:rPr>
          <w:sz w:val="20"/>
          <w:szCs w:val="20"/>
        </w:rPr>
        <w:t xml:space="preserve">: </w:t>
      </w:r>
      <w:r w:rsidRPr="001374DA">
        <w:rPr>
          <w:i/>
          <w:sz w:val="20"/>
          <w:szCs w:val="20"/>
        </w:rPr>
        <w:t>Michelin</w:t>
      </w:r>
      <w:r w:rsidRPr="0087792B">
        <w:rPr>
          <w:i/>
          <w:sz w:val="20"/>
          <w:szCs w:val="20"/>
        </w:rPr>
        <w:t xml:space="preserve"> </w:t>
      </w:r>
      <w:r w:rsidRPr="0087792B">
        <w:rPr>
          <w:sz w:val="20"/>
          <w:szCs w:val="20"/>
        </w:rPr>
        <w:t>vs</w:t>
      </w:r>
      <w:r w:rsidRPr="0087792B">
        <w:rPr>
          <w:i/>
          <w:sz w:val="20"/>
          <w:szCs w:val="20"/>
        </w:rPr>
        <w:t>. Komisjon</w:t>
      </w:r>
      <w:r w:rsidRPr="0087792B">
        <w:rPr>
          <w:sz w:val="20"/>
          <w:szCs w:val="20"/>
        </w:rPr>
        <w:t>, op. cit.</w:t>
      </w:r>
      <w:r w:rsidRPr="0087792B">
        <w:rPr>
          <w:iCs/>
          <w:sz w:val="20"/>
          <w:szCs w:val="20"/>
        </w:rPr>
        <w:t xml:space="preserve">; </w:t>
      </w:r>
      <w:r w:rsidRPr="0087792B">
        <w:rPr>
          <w:sz w:val="20"/>
          <w:szCs w:val="20"/>
        </w:rPr>
        <w:t>vt ka raamdirektiivi art</w:t>
      </w:r>
      <w:r>
        <w:rPr>
          <w:sz w:val="20"/>
          <w:szCs w:val="20"/>
        </w:rPr>
        <w:t>ikkel</w:t>
      </w:r>
      <w:r w:rsidRPr="0087792B">
        <w:rPr>
          <w:sz w:val="20"/>
          <w:szCs w:val="20"/>
        </w:rPr>
        <w:t xml:space="preserve"> 14 p</w:t>
      </w:r>
      <w:r>
        <w:rPr>
          <w:sz w:val="20"/>
          <w:szCs w:val="20"/>
        </w:rPr>
        <w:t>unkt</w:t>
      </w:r>
      <w:r w:rsidRPr="0087792B">
        <w:rPr>
          <w:sz w:val="20"/>
          <w:szCs w:val="20"/>
        </w:rPr>
        <w:t xml:space="preserve"> 2 ja ESS § 45 </w:t>
      </w:r>
      <w:r w:rsidRPr="00CD7775">
        <w:rPr>
          <w:rStyle w:val="Laad1Mrk"/>
        </w:rPr>
        <w:t>lõige</w:t>
      </w:r>
      <w:r w:rsidRPr="0087792B">
        <w:rPr>
          <w:sz w:val="20"/>
          <w:szCs w:val="20"/>
        </w:rPr>
        <w:t xml:space="preserve"> 2</w:t>
      </w:r>
    </w:p>
  </w:footnote>
  <w:footnote w:id="36">
    <w:p w14:paraId="7E790322" w14:textId="77777777" w:rsidR="00456678" w:rsidRPr="00094424" w:rsidRDefault="00456678" w:rsidP="00D67E10">
      <w:pPr>
        <w:pStyle w:val="Allmrkusetekst"/>
        <w:spacing w:before="60" w:after="60"/>
        <w:rPr>
          <w:sz w:val="20"/>
          <w:szCs w:val="20"/>
        </w:rPr>
      </w:pPr>
      <w:r w:rsidRPr="00094424">
        <w:rPr>
          <w:rStyle w:val="Allmrkuseviide"/>
          <w:sz w:val="20"/>
          <w:szCs w:val="20"/>
        </w:rPr>
        <w:footnoteRef/>
      </w:r>
      <w:r w:rsidRPr="00094424">
        <w:rPr>
          <w:sz w:val="20"/>
          <w:szCs w:val="20"/>
        </w:rPr>
        <w:t xml:space="preserve"> </w:t>
      </w:r>
      <w:r w:rsidRPr="00CD7775">
        <w:rPr>
          <w:rStyle w:val="Laad1Mrk"/>
        </w:rPr>
        <w:t>ESS § 40 lõige 1</w:t>
      </w:r>
    </w:p>
  </w:footnote>
  <w:footnote w:id="37">
    <w:p w14:paraId="037A3CE5" w14:textId="77777777" w:rsidR="00456678" w:rsidRPr="00CD7775" w:rsidRDefault="00456678" w:rsidP="00D67E10">
      <w:pPr>
        <w:pStyle w:val="Allmrkusetekst"/>
        <w:spacing w:before="60" w:after="60"/>
      </w:pPr>
      <w:r w:rsidRPr="00094424">
        <w:rPr>
          <w:rStyle w:val="Allmrkuseviide"/>
          <w:sz w:val="20"/>
          <w:szCs w:val="20"/>
        </w:rPr>
        <w:footnoteRef/>
      </w:r>
      <w:r w:rsidRPr="00094424">
        <w:rPr>
          <w:sz w:val="20"/>
          <w:szCs w:val="20"/>
        </w:rPr>
        <w:t xml:space="preserve"> </w:t>
      </w:r>
      <w:r w:rsidRPr="00A44FD8">
        <w:rPr>
          <w:rStyle w:val="Laad1Mrk"/>
        </w:rPr>
        <w:t>ESS § 46 lõige 2</w:t>
      </w:r>
    </w:p>
  </w:footnote>
  <w:footnote w:id="38">
    <w:p w14:paraId="037ED551" w14:textId="77777777" w:rsidR="00456678" w:rsidRPr="00094424" w:rsidRDefault="00456678" w:rsidP="00D67E10">
      <w:pPr>
        <w:pStyle w:val="Allmrkusetekst"/>
        <w:spacing w:before="60" w:after="60"/>
        <w:rPr>
          <w:sz w:val="20"/>
          <w:szCs w:val="20"/>
        </w:rPr>
      </w:pPr>
      <w:r w:rsidRPr="00094424">
        <w:rPr>
          <w:rStyle w:val="Allmrkuseviide"/>
          <w:sz w:val="20"/>
          <w:szCs w:val="20"/>
        </w:rPr>
        <w:footnoteRef/>
      </w:r>
      <w:r w:rsidRPr="00094424">
        <w:rPr>
          <w:sz w:val="20"/>
          <w:szCs w:val="20"/>
        </w:rPr>
        <w:t xml:space="preserve"> </w:t>
      </w:r>
      <w:r w:rsidRPr="00CD7775">
        <w:rPr>
          <w:rStyle w:val="Laad1Mrk"/>
        </w:rPr>
        <w:t>ESS § 50 lõige 5</w:t>
      </w:r>
    </w:p>
  </w:footnote>
  <w:footnote w:id="39">
    <w:p w14:paraId="33CA39C7" w14:textId="77777777" w:rsidR="00456678" w:rsidRPr="00094424" w:rsidRDefault="00456678" w:rsidP="00D67E10">
      <w:pPr>
        <w:pStyle w:val="Allmrkusetekst"/>
        <w:spacing w:before="60" w:after="60"/>
        <w:rPr>
          <w:sz w:val="20"/>
          <w:szCs w:val="20"/>
        </w:rPr>
      </w:pPr>
      <w:r w:rsidRPr="00094424">
        <w:rPr>
          <w:rStyle w:val="Allmrkuseviide"/>
          <w:sz w:val="20"/>
          <w:szCs w:val="20"/>
        </w:rPr>
        <w:footnoteRef/>
      </w:r>
      <w:r w:rsidRPr="00094424">
        <w:rPr>
          <w:sz w:val="20"/>
          <w:szCs w:val="20"/>
        </w:rPr>
        <w:t xml:space="preserve"> </w:t>
      </w:r>
      <w:r w:rsidRPr="00CD7775">
        <w:rPr>
          <w:rStyle w:val="Laad1Mrk"/>
        </w:rPr>
        <w:t>ESS § 50 lõige 3</w:t>
      </w:r>
    </w:p>
  </w:footnote>
  <w:footnote w:id="40">
    <w:p w14:paraId="7017475B" w14:textId="77777777" w:rsidR="00456678" w:rsidRPr="00094424" w:rsidRDefault="00456678" w:rsidP="00D67E10">
      <w:pPr>
        <w:pStyle w:val="Allmrkusetekst"/>
        <w:spacing w:before="60" w:after="60"/>
        <w:rPr>
          <w:sz w:val="20"/>
          <w:szCs w:val="20"/>
        </w:rPr>
      </w:pPr>
      <w:r w:rsidRPr="00094424">
        <w:rPr>
          <w:rStyle w:val="Allmrkuseviide"/>
          <w:sz w:val="20"/>
          <w:szCs w:val="20"/>
        </w:rPr>
        <w:footnoteRef/>
      </w:r>
      <w:r w:rsidRPr="00094424">
        <w:rPr>
          <w:sz w:val="20"/>
          <w:szCs w:val="20"/>
        </w:rPr>
        <w:t xml:space="preserve"> </w:t>
      </w:r>
      <w:r w:rsidRPr="00CD7775">
        <w:rPr>
          <w:rStyle w:val="Laad1Mrk"/>
        </w:rPr>
        <w:t>ESS § 50 lõige 1 ja 2</w:t>
      </w:r>
    </w:p>
  </w:footnote>
  <w:footnote w:id="41">
    <w:p w14:paraId="48195383" w14:textId="77777777" w:rsidR="00456678" w:rsidRPr="00094424" w:rsidRDefault="00456678" w:rsidP="00D67E10">
      <w:pPr>
        <w:pStyle w:val="Allmrkusetekst"/>
        <w:spacing w:before="60" w:after="60"/>
        <w:rPr>
          <w:sz w:val="20"/>
          <w:szCs w:val="20"/>
        </w:rPr>
      </w:pPr>
      <w:r w:rsidRPr="00094424">
        <w:rPr>
          <w:rStyle w:val="Allmrkuseviide"/>
          <w:sz w:val="20"/>
          <w:szCs w:val="20"/>
        </w:rPr>
        <w:footnoteRef/>
      </w:r>
      <w:r w:rsidRPr="00094424">
        <w:rPr>
          <w:sz w:val="20"/>
          <w:szCs w:val="20"/>
        </w:rPr>
        <w:t xml:space="preserve"> </w:t>
      </w:r>
      <w:r w:rsidRPr="00CD7775">
        <w:rPr>
          <w:rStyle w:val="Laad1Mrk"/>
        </w:rPr>
        <w:t>ESS § 50 lõige 4 ja 7</w:t>
      </w:r>
    </w:p>
  </w:footnote>
  <w:footnote w:id="42">
    <w:p w14:paraId="0EA5A056" w14:textId="77777777" w:rsidR="00456678" w:rsidRPr="00933E56" w:rsidRDefault="00456678" w:rsidP="00D67E10">
      <w:pPr>
        <w:pStyle w:val="Allmrkusetekst"/>
        <w:rPr>
          <w:rStyle w:val="Laad1Mrk"/>
        </w:rPr>
      </w:pPr>
      <w:r>
        <w:rPr>
          <w:rStyle w:val="Allmrkuseviide"/>
        </w:rPr>
        <w:footnoteRef/>
      </w:r>
      <w:r>
        <w:t xml:space="preserve"> </w:t>
      </w:r>
      <w:r w:rsidRPr="00933E56">
        <w:rPr>
          <w:rStyle w:val="Laad1Mrk"/>
        </w:rPr>
        <w:t xml:space="preserve">ESS </w:t>
      </w:r>
      <w:r>
        <w:rPr>
          <w:rStyle w:val="Laad1Mrk"/>
        </w:rPr>
        <w:t>§ 2 lõige 14</w:t>
      </w:r>
    </w:p>
  </w:footnote>
  <w:footnote w:id="43">
    <w:p w14:paraId="0304AB42" w14:textId="77777777" w:rsidR="00456678" w:rsidRPr="00CF05AB" w:rsidRDefault="00456678" w:rsidP="00D67E10">
      <w:pPr>
        <w:pStyle w:val="Allmrkusetekst"/>
        <w:rPr>
          <w:sz w:val="18"/>
          <w:szCs w:val="18"/>
        </w:rPr>
      </w:pPr>
      <w:r>
        <w:rPr>
          <w:rStyle w:val="Allmrkuseviide"/>
        </w:rPr>
        <w:footnoteRef/>
      </w:r>
      <w:r>
        <w:t xml:space="preserve"> </w:t>
      </w:r>
      <w:r w:rsidRPr="006B0907">
        <w:rPr>
          <w:i/>
          <w:sz w:val="18"/>
          <w:szCs w:val="18"/>
          <w:lang w:val="en-GB"/>
        </w:rPr>
        <w:t xml:space="preserve">The MDF </w:t>
      </w:r>
      <w:r>
        <w:rPr>
          <w:i/>
          <w:sz w:val="18"/>
          <w:szCs w:val="18"/>
          <w:lang w:val="en-GB"/>
        </w:rPr>
        <w:t xml:space="preserve">(Main Distribution Frame) </w:t>
      </w:r>
      <w:r w:rsidRPr="006B0907">
        <w:rPr>
          <w:i/>
          <w:sz w:val="18"/>
          <w:szCs w:val="18"/>
          <w:lang w:val="en-GB"/>
        </w:rPr>
        <w:t>is often found at the CO/local exchange and is used to terminate the copper cables running from the customers’ premises. The frame allows these cables to be cross connected to other equipment such as a concentrator or switch</w:t>
      </w:r>
      <w:r>
        <w:rPr>
          <w:i/>
          <w:sz w:val="18"/>
          <w:szCs w:val="18"/>
          <w:lang w:val="en-GB"/>
        </w:rPr>
        <w:t xml:space="preserve">. </w:t>
      </w:r>
      <w:hyperlink r:id="rId10" w:history="1">
        <w:r w:rsidRPr="003C7D66">
          <w:rPr>
            <w:rStyle w:val="Hperlink"/>
            <w:sz w:val="18"/>
            <w:szCs w:val="18"/>
          </w:rPr>
          <w:t>https://berec.europa.eu/eng/document_register/subject_matter/berec/download/0/1100-glossary-of-terms-in-relation-to-the-ber_0.pdf</w:t>
        </w:r>
      </w:hyperlink>
    </w:p>
  </w:footnote>
  <w:footnote w:id="44">
    <w:p w14:paraId="652AB64D" w14:textId="77777777" w:rsidR="00456678" w:rsidRDefault="00456678" w:rsidP="00D67E10">
      <w:pPr>
        <w:pStyle w:val="Allmrkusetekst"/>
      </w:pPr>
      <w:r>
        <w:rPr>
          <w:rStyle w:val="Allmrkuseviide"/>
        </w:rPr>
        <w:footnoteRef/>
      </w:r>
      <w:r>
        <w:t xml:space="preserve"> </w:t>
      </w:r>
      <w:r w:rsidRPr="007062F0">
        <w:rPr>
          <w:i/>
          <w:sz w:val="18"/>
          <w:szCs w:val="18"/>
          <w:lang w:val="en-GB"/>
        </w:rPr>
        <w:t xml:space="preserve">The ODF </w:t>
      </w:r>
      <w:r>
        <w:rPr>
          <w:i/>
          <w:sz w:val="18"/>
          <w:szCs w:val="18"/>
          <w:lang w:val="en-GB"/>
        </w:rPr>
        <w:t xml:space="preserve">(Optical Distribution Frame) </w:t>
      </w:r>
      <w:r w:rsidRPr="007062F0">
        <w:rPr>
          <w:i/>
          <w:sz w:val="18"/>
          <w:szCs w:val="18"/>
          <w:lang w:val="en-GB"/>
        </w:rPr>
        <w:t>is a passive device which terminates optical fibre cables. It is used for interconnection and patching between the optical transmission network/equipment and also optical access networks, in case of a P2P FTTH.</w:t>
      </w:r>
      <w:r>
        <w:t xml:space="preserve"> </w:t>
      </w:r>
      <w:hyperlink r:id="rId11" w:history="1">
        <w:r w:rsidRPr="003C7D66">
          <w:rPr>
            <w:rStyle w:val="Hperlink"/>
            <w:sz w:val="18"/>
            <w:szCs w:val="18"/>
          </w:rPr>
          <w:t>https://berec.europa.eu/eng/document_register/subject_matter/berec/download/0/1100-glossary-of-terms-in-relation-to-the-ber_0.pdf</w:t>
        </w:r>
      </w:hyperlink>
      <w:r w:rsidRPr="003C7D66">
        <w:rPr>
          <w:sz w:val="18"/>
          <w:szCs w:val="18"/>
        </w:rPr>
        <w:t xml:space="preserve">  </w:t>
      </w:r>
    </w:p>
  </w:footnote>
  <w:footnote w:id="45">
    <w:p w14:paraId="32A09213" w14:textId="77777777" w:rsidR="00456678" w:rsidRDefault="00456678" w:rsidP="00D67E10">
      <w:pPr>
        <w:pStyle w:val="Allmrkusetekst"/>
      </w:pPr>
      <w:r>
        <w:rPr>
          <w:rStyle w:val="Allmrkuseviide"/>
        </w:rPr>
        <w:footnoteRef/>
      </w:r>
      <w:r>
        <w:t xml:space="preserve"> </w:t>
      </w:r>
      <w:r w:rsidRPr="006B0907">
        <w:rPr>
          <w:i/>
          <w:sz w:val="18"/>
          <w:szCs w:val="18"/>
          <w:lang w:val="en-GB"/>
        </w:rPr>
        <w:t xml:space="preserve">The </w:t>
      </w:r>
      <w:r w:rsidRPr="003C7D66">
        <w:rPr>
          <w:i/>
          <w:sz w:val="18"/>
          <w:szCs w:val="18"/>
          <w:lang w:val="en-GB"/>
        </w:rPr>
        <w:t xml:space="preserve">OLT </w:t>
      </w:r>
      <w:r>
        <w:rPr>
          <w:i/>
          <w:sz w:val="18"/>
          <w:szCs w:val="18"/>
          <w:lang w:val="en-GB"/>
        </w:rPr>
        <w:t xml:space="preserve">(Optical Line Termination) </w:t>
      </w:r>
      <w:r w:rsidRPr="003C7D66">
        <w:rPr>
          <w:i/>
          <w:sz w:val="18"/>
          <w:szCs w:val="18"/>
          <w:lang w:val="en-GB"/>
        </w:rPr>
        <w:t>is an access concentrator and termination point (for ONUs) on a FttX (e.g. PON) solution, normally located at the CO</w:t>
      </w:r>
      <w:r>
        <w:rPr>
          <w:i/>
          <w:sz w:val="18"/>
          <w:szCs w:val="18"/>
          <w:lang w:val="en-GB"/>
        </w:rPr>
        <w:t xml:space="preserve"> (Central Office) / MPop (</w:t>
      </w:r>
      <w:r w:rsidRPr="007062F0">
        <w:rPr>
          <w:i/>
          <w:sz w:val="18"/>
          <w:szCs w:val="18"/>
          <w:lang w:val="en-GB"/>
        </w:rPr>
        <w:t>Metropolitan Point of Presence</w:t>
      </w:r>
      <w:r>
        <w:rPr>
          <w:i/>
          <w:sz w:val="18"/>
          <w:szCs w:val="18"/>
          <w:lang w:val="en-GB"/>
        </w:rPr>
        <w:t>)</w:t>
      </w:r>
      <w:r w:rsidRPr="003C7D66">
        <w:rPr>
          <w:i/>
          <w:sz w:val="18"/>
          <w:szCs w:val="18"/>
          <w:lang w:val="en-GB"/>
        </w:rPr>
        <w:t>. A single fibre runs from the OLT towards the customers (ONUs) and, typically, a single OLT serves up to 32 ONUs for distances up to dozens of km. Normally uses separate optical wavelengths for voice/data (and/or video) downstream and upstream.</w:t>
      </w:r>
      <w:r>
        <w:rPr>
          <w:i/>
          <w:sz w:val="18"/>
          <w:szCs w:val="18"/>
          <w:lang w:val="en-GB"/>
        </w:rPr>
        <w:t xml:space="preserve"> </w:t>
      </w:r>
      <w:hyperlink r:id="rId12" w:history="1">
        <w:r w:rsidRPr="007A3C5F">
          <w:rPr>
            <w:rStyle w:val="Hperlink"/>
            <w:sz w:val="18"/>
            <w:szCs w:val="18"/>
          </w:rPr>
          <w:t>https://berec.europa.eu/eng/document_register/subject_matter/berec/download/0/1100-glossary-of-terms-in-relation-to-the-ber_0.pdf</w:t>
        </w:r>
      </w:hyperlink>
      <w:r w:rsidRPr="007A3C5F">
        <w:rPr>
          <w:sz w:val="18"/>
          <w:szCs w:val="18"/>
        </w:rPr>
        <w:t xml:space="preserve">  </w:t>
      </w:r>
    </w:p>
  </w:footnote>
  <w:footnote w:id="46">
    <w:p w14:paraId="5510B52C" w14:textId="77777777" w:rsidR="00456678" w:rsidRPr="00CF05AB" w:rsidRDefault="00456678" w:rsidP="00D67E10">
      <w:pPr>
        <w:pStyle w:val="Allmrkusetekst"/>
        <w:rPr>
          <w:sz w:val="18"/>
          <w:szCs w:val="18"/>
        </w:rPr>
      </w:pPr>
      <w:r>
        <w:rPr>
          <w:rStyle w:val="Allmrkuseviide"/>
        </w:rPr>
        <w:footnoteRef/>
      </w:r>
      <w:r>
        <w:t xml:space="preserve"> </w:t>
      </w:r>
      <w:r w:rsidRPr="003C7D66">
        <w:rPr>
          <w:i/>
          <w:sz w:val="18"/>
          <w:szCs w:val="18"/>
          <w:lang w:val="en-GB"/>
        </w:rPr>
        <w:t xml:space="preserve">Splitter - </w:t>
      </w:r>
      <w:r>
        <w:rPr>
          <w:i/>
          <w:sz w:val="18"/>
          <w:szCs w:val="18"/>
          <w:lang w:val="en-GB"/>
        </w:rPr>
        <w:t>a</w:t>
      </w:r>
      <w:r w:rsidRPr="003C7D66">
        <w:rPr>
          <w:i/>
          <w:sz w:val="18"/>
          <w:szCs w:val="18"/>
          <w:lang w:val="en-GB"/>
        </w:rPr>
        <w:t xml:space="preserve"> passive fibre optic device that divides light from a single fibre into two or more fibre (channels). Most splitters are designed bi-directionally, enabling the same product to be used as a coupler or a splitter.</w:t>
      </w:r>
      <w:r>
        <w:rPr>
          <w:i/>
          <w:sz w:val="18"/>
          <w:szCs w:val="18"/>
          <w:lang w:val="en-GB"/>
        </w:rPr>
        <w:t xml:space="preserve"> </w:t>
      </w:r>
      <w:hyperlink r:id="rId13" w:history="1">
        <w:r w:rsidRPr="007A3C5F">
          <w:rPr>
            <w:rStyle w:val="Hperlink"/>
            <w:sz w:val="18"/>
            <w:szCs w:val="18"/>
          </w:rPr>
          <w:t>https://berec.europa.eu/eng/document_register/subject_matter/berec/download/0/1100-glossary-of-terms-in-relation-to-the-ber_0.pdf</w:t>
        </w:r>
      </w:hyperlink>
    </w:p>
  </w:footnote>
  <w:footnote w:id="47">
    <w:p w14:paraId="7D0343C1" w14:textId="77777777" w:rsidR="00456678" w:rsidRDefault="00456678" w:rsidP="00D67E10">
      <w:pPr>
        <w:ind w:right="64"/>
        <w:jc w:val="both"/>
      </w:pPr>
      <w:r>
        <w:rPr>
          <w:rStyle w:val="Allmrkuseviide"/>
        </w:rPr>
        <w:footnoteRef/>
      </w:r>
      <w:r>
        <w:t xml:space="preserve"> </w:t>
      </w:r>
      <w:r w:rsidRPr="00790CD8">
        <w:rPr>
          <w:i/>
          <w:sz w:val="18"/>
          <w:szCs w:val="18"/>
        </w:rPr>
        <w:t>DSLAM - e</w:t>
      </w:r>
      <w:r w:rsidRPr="00F77CEB">
        <w:rPr>
          <w:i/>
          <w:sz w:val="18"/>
          <w:szCs w:val="18"/>
          <w:lang w:val="en-GB"/>
        </w:rPr>
        <w:t>quipment</w:t>
      </w:r>
      <w:r w:rsidRPr="003C7D66">
        <w:rPr>
          <w:i/>
          <w:sz w:val="18"/>
          <w:szCs w:val="18"/>
          <w:lang w:val="en-GB"/>
        </w:rPr>
        <w:t xml:space="preserve"> which allows copper lines to support broadband access. It is network equipment, normally located in the local exchange (but may also be installed in a street cabinet) whose function is to aggregate the traffic of several access lines which have modems that are compatible with xDSL technology and re-lay it through the data network (core). Depending on the product, DSLAM multiplexers connect DSL lines with some combination of ATM, Ethernet, or IP networks. (BoR (10) 08, p. 65)</w:t>
      </w:r>
      <w:r>
        <w:rPr>
          <w:i/>
          <w:sz w:val="18"/>
          <w:szCs w:val="18"/>
          <w:lang w:val="en-GB"/>
        </w:rPr>
        <w:t xml:space="preserve"> </w:t>
      </w:r>
      <w:hyperlink r:id="rId14" w:history="1">
        <w:r w:rsidRPr="007A3C5F">
          <w:rPr>
            <w:rStyle w:val="Hperlink"/>
            <w:sz w:val="18"/>
            <w:szCs w:val="18"/>
          </w:rPr>
          <w:t>https://berec.europa.eu/eng/document_register/subject_matter/berec/download/0/1100-glossary-of-terms-in-relation-to-the-ber_0.pdf</w:t>
        </w:r>
      </w:hyperlink>
    </w:p>
  </w:footnote>
  <w:footnote w:id="48">
    <w:p w14:paraId="014B3D1A" w14:textId="77777777" w:rsidR="00456678" w:rsidRPr="00790CD8" w:rsidRDefault="00456678" w:rsidP="00D67E10">
      <w:pPr>
        <w:pStyle w:val="Allmrkusetekst"/>
        <w:rPr>
          <w:i/>
          <w:sz w:val="18"/>
          <w:szCs w:val="18"/>
          <w:lang w:val="en-GB"/>
        </w:rPr>
      </w:pPr>
      <w:r>
        <w:rPr>
          <w:rStyle w:val="Allmrkuseviide"/>
        </w:rPr>
        <w:footnoteRef/>
      </w:r>
      <w:r>
        <w:t xml:space="preserve"> </w:t>
      </w:r>
      <w:r w:rsidRPr="00790CD8">
        <w:rPr>
          <w:i/>
          <w:sz w:val="18"/>
          <w:szCs w:val="18"/>
          <w:lang w:val="en-GB"/>
        </w:rPr>
        <w:t xml:space="preserve">The SDF </w:t>
      </w:r>
      <w:r>
        <w:rPr>
          <w:i/>
          <w:sz w:val="18"/>
          <w:szCs w:val="18"/>
          <w:lang w:val="en-GB"/>
        </w:rPr>
        <w:t xml:space="preserve">(Sub Distribution Frame) </w:t>
      </w:r>
      <w:r w:rsidRPr="00790CD8">
        <w:rPr>
          <w:i/>
          <w:sz w:val="18"/>
          <w:szCs w:val="18"/>
          <w:lang w:val="en-GB"/>
        </w:rPr>
        <w:t xml:space="preserve">is often found at the street cabinet and concentrates the </w:t>
      </w:r>
      <w:r>
        <w:rPr>
          <w:i/>
          <w:sz w:val="18"/>
          <w:szCs w:val="18"/>
          <w:lang w:val="en-GB"/>
        </w:rPr>
        <w:t>c</w:t>
      </w:r>
      <w:r w:rsidRPr="00790CD8">
        <w:rPr>
          <w:i/>
          <w:sz w:val="18"/>
          <w:szCs w:val="18"/>
          <w:lang w:val="en-GB"/>
        </w:rPr>
        <w:t xml:space="preserve">opper running </w:t>
      </w:r>
      <w:r>
        <w:rPr>
          <w:i/>
          <w:sz w:val="18"/>
          <w:szCs w:val="18"/>
          <w:lang w:val="en-GB"/>
        </w:rPr>
        <w:t xml:space="preserve">from </w:t>
      </w:r>
      <w:r w:rsidRPr="00790CD8">
        <w:rPr>
          <w:i/>
          <w:sz w:val="18"/>
          <w:szCs w:val="18"/>
          <w:lang w:val="en-GB"/>
        </w:rPr>
        <w:t>the customers’ premises.</w:t>
      </w:r>
    </w:p>
  </w:footnote>
  <w:footnote w:id="49">
    <w:p w14:paraId="3E73B6D5" w14:textId="77777777" w:rsidR="00456678" w:rsidRDefault="00456678" w:rsidP="00D67E10">
      <w:pPr>
        <w:ind w:right="64"/>
        <w:rPr>
          <w:sz w:val="18"/>
          <w:szCs w:val="18"/>
        </w:rPr>
      </w:pPr>
      <w:r>
        <w:rPr>
          <w:rStyle w:val="Allmrkuseviide"/>
        </w:rPr>
        <w:footnoteRef/>
      </w:r>
      <w:r>
        <w:t xml:space="preserve"> </w:t>
      </w:r>
      <w:r w:rsidRPr="00790CD8">
        <w:rPr>
          <w:i/>
          <w:sz w:val="18"/>
          <w:szCs w:val="18"/>
          <w:lang w:val="en-GB"/>
        </w:rPr>
        <w:t>ONU/ONT Optical Network Unit/Terminal</w:t>
      </w:r>
      <w:r>
        <w:rPr>
          <w:i/>
          <w:sz w:val="18"/>
          <w:szCs w:val="18"/>
          <w:lang w:val="en-GB"/>
        </w:rPr>
        <w:t xml:space="preserve"> - w</w:t>
      </w:r>
      <w:r w:rsidRPr="00790CD8">
        <w:rPr>
          <w:i/>
          <w:sz w:val="18"/>
          <w:szCs w:val="18"/>
          <w:lang w:val="en-GB"/>
        </w:rPr>
        <w:t>ithin FttX networks the user nodes are called ONUs or optical network terminals (ONTs). An ONT is a single integrated electronics unit, while an ONU is a shelf with plug-in circuit packs, in practice, either term is used generically to refer to both classes of equipment.</w:t>
      </w:r>
      <w:r>
        <w:rPr>
          <w:i/>
          <w:sz w:val="18"/>
          <w:szCs w:val="18"/>
          <w:lang w:val="en-GB"/>
        </w:rPr>
        <w:t xml:space="preserve"> </w:t>
      </w:r>
      <w:hyperlink r:id="rId15" w:history="1">
        <w:r w:rsidRPr="007A3C5F">
          <w:rPr>
            <w:rStyle w:val="Hperlink"/>
            <w:sz w:val="18"/>
            <w:szCs w:val="18"/>
          </w:rPr>
          <w:t>https://berec.europa.eu/eng/document_register/subject_matter/berec/download/0/1100-glossary-of-terms-in-relation-to-the-ber_0.pdf</w:t>
        </w:r>
      </w:hyperlink>
    </w:p>
    <w:p w14:paraId="7839DF8B" w14:textId="77777777" w:rsidR="00456678" w:rsidRPr="00CF05AB" w:rsidRDefault="00456678" w:rsidP="00D67E10">
      <w:pPr>
        <w:ind w:right="64"/>
        <w:rPr>
          <w:sz w:val="18"/>
          <w:szCs w:val="18"/>
        </w:rPr>
      </w:pPr>
      <w:r w:rsidRPr="00AA4B57">
        <w:rPr>
          <w:i/>
          <w:sz w:val="18"/>
          <w:szCs w:val="18"/>
          <w:lang w:val="en-GB"/>
        </w:rPr>
        <w:t>ONU converts optical signals transmitted via fiber to electrical signals. These electrical signals are then sent to individual subscribers. In general, there is a distance or other access network between ONU and end user's premises. Furthermore, ONU can send, aggregate and groom different types of data coming from the customer and send it upstream to the OLT. Grooming is the process that optimises and reorganises the data stream so it would be delivered more efficiently. OLT supports bandwidth allocation that allows making smooth delivery of data float to the OLT, that usually arrives in bursts from the customer. ONU could be connected by various methods and cable types, like twisted-pair copper wire, coaxial cable, optical fiber or Wi-Fi.</w:t>
      </w:r>
      <w:r w:rsidRPr="003C7D66">
        <w:rPr>
          <w:sz w:val="18"/>
          <w:szCs w:val="18"/>
        </w:rPr>
        <w:t xml:space="preserve"> </w:t>
      </w:r>
      <w:hyperlink r:id="rId16" w:history="1">
        <w:r w:rsidRPr="003C7D66">
          <w:rPr>
            <w:rStyle w:val="Hperlink"/>
            <w:sz w:val="18"/>
            <w:szCs w:val="18"/>
          </w:rPr>
          <w:t>https://community.fs.com/blog/abc-of-pon-understanding-olt-onu-ont-and-odn.html</w:t>
        </w:r>
      </w:hyperlink>
    </w:p>
  </w:footnote>
  <w:footnote w:id="50">
    <w:p w14:paraId="5F41DED1" w14:textId="77777777" w:rsidR="00456678" w:rsidRDefault="00456678" w:rsidP="00D67E10">
      <w:pPr>
        <w:pStyle w:val="Allmrkusetekst"/>
      </w:pPr>
      <w:r>
        <w:rPr>
          <w:rStyle w:val="Allmrkuseviide"/>
        </w:rPr>
        <w:footnoteRef/>
      </w:r>
      <w:r>
        <w:t xml:space="preserve"> </w:t>
      </w:r>
      <w:r w:rsidRPr="00AB1BA1">
        <w:rPr>
          <w:sz w:val="18"/>
          <w:szCs w:val="18"/>
        </w:rPr>
        <w:t>ESS § 2 lg 70</w:t>
      </w:r>
    </w:p>
  </w:footnote>
  <w:footnote w:id="51">
    <w:p w14:paraId="7D0DD38F" w14:textId="77777777" w:rsidR="00456678" w:rsidRPr="003C7D66" w:rsidRDefault="00456678" w:rsidP="00D67E10">
      <w:pPr>
        <w:pStyle w:val="Allmrkusetekst"/>
        <w:rPr>
          <w:sz w:val="18"/>
          <w:szCs w:val="18"/>
        </w:rPr>
      </w:pPr>
      <w:r>
        <w:rPr>
          <w:rStyle w:val="Allmrkuseviide"/>
        </w:rPr>
        <w:footnoteRef/>
      </w:r>
      <w:r>
        <w:t xml:space="preserve"> </w:t>
      </w:r>
      <w:r w:rsidRPr="00AB1BA1">
        <w:rPr>
          <w:sz w:val="18"/>
          <w:szCs w:val="18"/>
        </w:rPr>
        <w:t>ESS § 2 lg 24 ja 67- l</w:t>
      </w:r>
      <w:r w:rsidRPr="003C7D66">
        <w:rPr>
          <w:sz w:val="18"/>
          <w:szCs w:val="18"/>
        </w:rPr>
        <w:t>iin ühendab lõpp-punkti kliendi terminaliseadmega</w:t>
      </w:r>
      <w:r>
        <w:rPr>
          <w:sz w:val="18"/>
          <w:szCs w:val="18"/>
        </w:rPr>
        <w:t xml:space="preserve"> (läbi ühenduspunkti)</w:t>
      </w:r>
      <w:r w:rsidRPr="003C7D66">
        <w:rPr>
          <w:sz w:val="18"/>
          <w:szCs w:val="18"/>
        </w:rPr>
        <w:t>.</w:t>
      </w:r>
    </w:p>
  </w:footnote>
  <w:footnote w:id="52">
    <w:p w14:paraId="167A1AC6" w14:textId="77777777" w:rsidR="00456678" w:rsidRPr="00AA4B57" w:rsidRDefault="00456678" w:rsidP="00D67E10">
      <w:pPr>
        <w:pStyle w:val="Allmrkusetekst"/>
        <w:rPr>
          <w:sz w:val="18"/>
          <w:szCs w:val="18"/>
        </w:rPr>
      </w:pPr>
      <w:r>
        <w:rPr>
          <w:rStyle w:val="Allmrkuseviide"/>
        </w:rPr>
        <w:footnoteRef/>
      </w:r>
      <w:r>
        <w:t xml:space="preserve"> </w:t>
      </w:r>
      <w:bookmarkStart w:id="285" w:name="_Hlk23929631"/>
      <w:r w:rsidRPr="00AA4B57">
        <w:rPr>
          <w:sz w:val="18"/>
          <w:szCs w:val="18"/>
        </w:rPr>
        <w:t>Telia kaablikanalisatsiooni rendi teenusetingimused punkt 2, https://www.telia.ee/images/documents/tt/est/tt_kaablikanali_rent.pdf</w:t>
      </w:r>
      <w:bookmarkEnd w:id="285"/>
    </w:p>
  </w:footnote>
  <w:footnote w:id="53">
    <w:p w14:paraId="6561E14A" w14:textId="77777777" w:rsidR="00456678" w:rsidRPr="00E11F94" w:rsidRDefault="00456678" w:rsidP="00D67E10">
      <w:pPr>
        <w:pStyle w:val="Allmrkusetekst"/>
        <w:rPr>
          <w:sz w:val="20"/>
          <w:szCs w:val="20"/>
        </w:rPr>
      </w:pPr>
      <w:r>
        <w:rPr>
          <w:rStyle w:val="Allmrkuseviide"/>
        </w:rPr>
        <w:footnoteRef/>
      </w:r>
      <w:r>
        <w:t xml:space="preserve"> </w:t>
      </w:r>
      <w:r w:rsidRPr="00E11F94">
        <w:rPr>
          <w:sz w:val="20"/>
          <w:szCs w:val="20"/>
        </w:rPr>
        <w:t>Telia kaablikanalisatsiooni kasutamise tingimused p. 1.12</w:t>
      </w:r>
      <w:r>
        <w:t xml:space="preserve"> </w:t>
      </w:r>
      <w:hyperlink r:id="rId17" w:history="1">
        <w:r w:rsidRPr="009C092E">
          <w:rPr>
            <w:rStyle w:val="Hperlink"/>
            <w:sz w:val="20"/>
            <w:szCs w:val="20"/>
          </w:rPr>
          <w:t>https://www.telia.ee/images/documents/juhendid/est/telia_kaablikanalisatsiooni_kasutamise_tingimused.pdf</w:t>
        </w:r>
      </w:hyperlink>
    </w:p>
  </w:footnote>
  <w:footnote w:id="54">
    <w:p w14:paraId="770CB908" w14:textId="77777777" w:rsidR="00456678" w:rsidRDefault="00456678" w:rsidP="00D67E10">
      <w:pPr>
        <w:pStyle w:val="Allmrkusetekst"/>
      </w:pPr>
      <w:r>
        <w:rPr>
          <w:rStyle w:val="Allmrkuseviide"/>
        </w:rPr>
        <w:footnoteRef/>
      </w:r>
      <w:r>
        <w:t xml:space="preserve"> </w:t>
      </w:r>
      <w:r w:rsidRPr="004E0A1A">
        <w:rPr>
          <w:sz w:val="20"/>
          <w:szCs w:val="20"/>
        </w:rPr>
        <w:t>raamdirektiivi (</w:t>
      </w:r>
      <w:hyperlink r:id="rId18" w:history="1">
        <w:r w:rsidRPr="004E0A1A">
          <w:rPr>
            <w:rStyle w:val="Hperlink"/>
            <w:sz w:val="20"/>
            <w:szCs w:val="20"/>
          </w:rPr>
          <w:t>https://eur-lex.europa.eu/legal-content/ET/TXT/PDF/?uri=CELEX:02002L0021-20091219&amp;from=EN</w:t>
        </w:r>
      </w:hyperlink>
      <w:r w:rsidRPr="004E0A1A">
        <w:rPr>
          <w:sz w:val="20"/>
          <w:szCs w:val="20"/>
        </w:rPr>
        <w:t xml:space="preserve"> ) artikli 14 lõige 2, ESS § 45 lõige 2</w:t>
      </w:r>
    </w:p>
  </w:footnote>
  <w:footnote w:id="55">
    <w:p w14:paraId="3E23705A" w14:textId="77777777" w:rsidR="00456678" w:rsidRDefault="00456678" w:rsidP="00D67E10">
      <w:pPr>
        <w:pStyle w:val="Allmrkusetekst"/>
      </w:pPr>
      <w:r>
        <w:rPr>
          <w:rStyle w:val="Allmrkuseviide"/>
        </w:rPr>
        <w:footnoteRef/>
      </w:r>
      <w:r>
        <w:t xml:space="preserve"> </w:t>
      </w:r>
      <w:r w:rsidRPr="00CD7775">
        <w:rPr>
          <w:rStyle w:val="Laad1Mrk"/>
        </w:rPr>
        <w:t>ESS § 134 lõi</w:t>
      </w:r>
      <w:r>
        <w:rPr>
          <w:rStyle w:val="Laad1Mrk"/>
        </w:rPr>
        <w:t>k</w:t>
      </w:r>
      <w:r w:rsidRPr="00CD7775">
        <w:rPr>
          <w:rStyle w:val="Laad1Mrk"/>
        </w:rPr>
        <w:t xml:space="preserve">e </w:t>
      </w:r>
      <w:r>
        <w:rPr>
          <w:rStyle w:val="Laad1Mrk"/>
        </w:rPr>
        <w:t>1 punktid 1 ja 2</w:t>
      </w:r>
    </w:p>
  </w:footnote>
  <w:footnote w:id="56">
    <w:p w14:paraId="7099FDB1" w14:textId="77777777" w:rsidR="00456678" w:rsidRDefault="00456678" w:rsidP="00D67E10">
      <w:pPr>
        <w:pStyle w:val="Allmrkusetekst"/>
      </w:pPr>
      <w:r>
        <w:rPr>
          <w:rStyle w:val="Allmrkuseviide"/>
        </w:rPr>
        <w:footnoteRef/>
      </w:r>
      <w:r>
        <w:t xml:space="preserve"> </w:t>
      </w:r>
      <w:r w:rsidRPr="00CD7775">
        <w:rPr>
          <w:rStyle w:val="Laad1Mrk"/>
        </w:rPr>
        <w:t>ESS § 50 lõige</w:t>
      </w:r>
      <w:r>
        <w:rPr>
          <w:rStyle w:val="Laad1Mrk"/>
        </w:rPr>
        <w:t xml:space="preserve"> 1 punkt </w:t>
      </w:r>
      <w:r w:rsidRPr="00CD7775">
        <w:rPr>
          <w:rStyle w:val="Laad1Mrk"/>
        </w:rPr>
        <w:t xml:space="preserve"> 5</w:t>
      </w:r>
    </w:p>
  </w:footnote>
  <w:footnote w:id="57">
    <w:p w14:paraId="5EA656B3" w14:textId="77777777" w:rsidR="00456678" w:rsidRDefault="00456678" w:rsidP="00D67E10">
      <w:pPr>
        <w:pStyle w:val="Allmrkusetekst"/>
      </w:pPr>
      <w:r>
        <w:rPr>
          <w:rStyle w:val="Allmrkuseviide"/>
        </w:rPr>
        <w:footnoteRef/>
      </w:r>
      <w:r>
        <w:t xml:space="preserve"> </w:t>
      </w:r>
      <w:r w:rsidRPr="00FD2DA6">
        <w:rPr>
          <w:sz w:val="20"/>
          <w:szCs w:val="20"/>
        </w:rPr>
        <w:t>ESS § 51 lg 3</w:t>
      </w:r>
    </w:p>
  </w:footnote>
  <w:footnote w:id="58">
    <w:p w14:paraId="2E590458" w14:textId="77777777" w:rsidR="00456678" w:rsidRDefault="00456678" w:rsidP="00D67E10">
      <w:pPr>
        <w:pStyle w:val="Allmrkusetekst"/>
      </w:pPr>
      <w:r>
        <w:rPr>
          <w:rStyle w:val="Allmrkuseviide"/>
        </w:rPr>
        <w:footnoteRef/>
      </w:r>
      <w:r>
        <w:t xml:space="preserve"> ESS § 64 lg 1</w:t>
      </w:r>
    </w:p>
  </w:footnote>
  <w:footnote w:id="59">
    <w:p w14:paraId="28086C5A" w14:textId="77777777" w:rsidR="00456678" w:rsidRDefault="00456678" w:rsidP="00D67E10">
      <w:pPr>
        <w:pStyle w:val="Allmrkusetekst"/>
      </w:pPr>
      <w:r>
        <w:rPr>
          <w:rStyle w:val="Allmrkuseviide"/>
        </w:rPr>
        <w:footnoteRef/>
      </w:r>
      <w:r>
        <w:t xml:space="preserve"> ESS § 64 lg 2</w:t>
      </w:r>
    </w:p>
    <w:p w14:paraId="66317E01" w14:textId="77777777" w:rsidR="00456678" w:rsidRDefault="00456678" w:rsidP="00D67E10">
      <w:pPr>
        <w:pStyle w:val="Allmrkusetekst"/>
      </w:pPr>
    </w:p>
  </w:footnote>
  <w:footnote w:id="60">
    <w:p w14:paraId="21932DAB" w14:textId="2E1628D8" w:rsidR="00456678" w:rsidRPr="00EC17AE" w:rsidRDefault="00456678">
      <w:pPr>
        <w:pStyle w:val="Allmrkusetekst"/>
        <w:rPr>
          <w:sz w:val="20"/>
          <w:szCs w:val="20"/>
        </w:rPr>
      </w:pPr>
      <w:r>
        <w:rPr>
          <w:rStyle w:val="Allmrkuseviide"/>
        </w:rPr>
        <w:footnoteRef/>
      </w:r>
      <w:r>
        <w:t xml:space="preserve"> </w:t>
      </w:r>
      <w:r w:rsidRPr="00EC17AE">
        <w:rPr>
          <w:sz w:val="20"/>
          <w:szCs w:val="20"/>
        </w:rPr>
        <w:t xml:space="preserve">Body of European Regulators for Electronic Communications. See on Euroopa sideturu regulaatoreid ühendav amet, nimetatakse ka Euroopa Sideametiks, vt ka </w:t>
      </w:r>
      <w:hyperlink r:id="rId19" w:history="1">
        <w:r w:rsidRPr="00EC17AE">
          <w:rPr>
            <w:rStyle w:val="Hperlink"/>
            <w:sz w:val="20"/>
            <w:szCs w:val="20"/>
          </w:rPr>
          <w:t>https://berec.europa.eu/</w:t>
        </w:r>
      </w:hyperlink>
      <w:r w:rsidRPr="00EC17AE">
        <w:rPr>
          <w:sz w:val="20"/>
          <w:szCs w:val="20"/>
        </w:rPr>
        <w:t xml:space="preserve"> </w:t>
      </w:r>
    </w:p>
  </w:footnote>
  <w:footnote w:id="61">
    <w:p w14:paraId="13BBC6E1" w14:textId="7A2DD298" w:rsidR="00456678" w:rsidRPr="00F61F8C" w:rsidRDefault="00456678" w:rsidP="00D67E10">
      <w:pPr>
        <w:pStyle w:val="Allmrkusetekst"/>
        <w:rPr>
          <w:sz w:val="20"/>
          <w:szCs w:val="20"/>
        </w:rPr>
      </w:pPr>
      <w:r w:rsidRPr="00EC17AE">
        <w:rPr>
          <w:rStyle w:val="Allmrkuseviide"/>
          <w:sz w:val="20"/>
          <w:szCs w:val="20"/>
        </w:rPr>
        <w:footnoteRef/>
      </w:r>
      <w:r w:rsidRPr="00F61F8C">
        <w:rPr>
          <w:sz w:val="20"/>
          <w:szCs w:val="20"/>
        </w:rPr>
        <w:t xml:space="preserve"> </w:t>
      </w:r>
      <w:bookmarkStart w:id="306" w:name="_Hlk39045614"/>
      <w:r>
        <w:rPr>
          <w:sz w:val="20"/>
          <w:szCs w:val="20"/>
        </w:rPr>
        <w:t>,</w:t>
      </w:r>
      <w:hyperlink r:id="rId20" w:history="1">
        <w:r w:rsidRPr="00ED2304">
          <w:rPr>
            <w:rStyle w:val="Hperlink"/>
            <w:sz w:val="20"/>
            <w:szCs w:val="20"/>
          </w:rPr>
          <w:t>https://berec.europa.eu/eng/document_register/subject_matter/berec/regulatory_best_practices/common_approaches_positions/1127-revised-berec-common-position-on-best-practice-in-remedies-on-the-market-for-wholesale-physical-network-infrastructure-access-including-shared-or-fully-unbundled-access-at-a-fixed-location-imposed-as-a-consequence-of-a-position-of-significant-market-power-in-the-relevant-market</w:t>
        </w:r>
      </w:hyperlink>
      <w:bookmarkEnd w:id="306"/>
    </w:p>
  </w:footnote>
  <w:footnote w:id="62">
    <w:p w14:paraId="25C96967" w14:textId="77777777" w:rsidR="00456678" w:rsidRPr="0074444E" w:rsidRDefault="00456678" w:rsidP="00D67E10">
      <w:pPr>
        <w:pStyle w:val="Allmrkusetekst"/>
        <w:rPr>
          <w:sz w:val="20"/>
          <w:szCs w:val="20"/>
        </w:rPr>
      </w:pPr>
      <w:r>
        <w:rPr>
          <w:rStyle w:val="Allmrkuseviide"/>
        </w:rPr>
        <w:footnoteRef/>
      </w:r>
      <w:r>
        <w:t xml:space="preserve"> </w:t>
      </w:r>
      <w:r w:rsidRPr="0074444E">
        <w:rPr>
          <w:sz w:val="20"/>
          <w:szCs w:val="20"/>
        </w:rPr>
        <w:t>Juurdepääsudirektiivi preambuli punkti 19</w:t>
      </w:r>
    </w:p>
  </w:footnote>
  <w:footnote w:id="63">
    <w:p w14:paraId="3ADD48B8" w14:textId="77777777" w:rsidR="00456678" w:rsidRPr="00F61F8C" w:rsidRDefault="00456678" w:rsidP="00D67E10">
      <w:pPr>
        <w:pStyle w:val="Allmrkusetekst"/>
        <w:rPr>
          <w:sz w:val="20"/>
          <w:szCs w:val="20"/>
        </w:rPr>
      </w:pPr>
      <w:r w:rsidRPr="00F61F8C">
        <w:rPr>
          <w:rStyle w:val="Allmrkuseviide"/>
          <w:sz w:val="20"/>
          <w:szCs w:val="20"/>
        </w:rPr>
        <w:footnoteRef/>
      </w:r>
      <w:r w:rsidRPr="00F61F8C">
        <w:rPr>
          <w:sz w:val="20"/>
          <w:szCs w:val="20"/>
        </w:rPr>
        <w:t xml:space="preserve"> ESS § 50 lõige 1 ja 2</w:t>
      </w:r>
    </w:p>
  </w:footnote>
  <w:footnote w:id="64">
    <w:p w14:paraId="563B8C71" w14:textId="77777777" w:rsidR="00456678" w:rsidRPr="00F61F8C" w:rsidRDefault="00456678" w:rsidP="00D67E10">
      <w:pPr>
        <w:pStyle w:val="Allmrkusetekst"/>
        <w:rPr>
          <w:sz w:val="20"/>
          <w:szCs w:val="20"/>
        </w:rPr>
      </w:pPr>
      <w:r w:rsidRPr="00F61F8C">
        <w:rPr>
          <w:rStyle w:val="Allmrkuseviide"/>
          <w:sz w:val="20"/>
          <w:szCs w:val="20"/>
        </w:rPr>
        <w:footnoteRef/>
      </w:r>
      <w:r w:rsidRPr="00F61F8C">
        <w:rPr>
          <w:sz w:val="20"/>
          <w:szCs w:val="20"/>
        </w:rPr>
        <w:t xml:space="preserve"> ESS § 50 lõige 3</w:t>
      </w:r>
    </w:p>
  </w:footnote>
  <w:footnote w:id="65">
    <w:p w14:paraId="45879D79" w14:textId="77777777" w:rsidR="00456678" w:rsidRDefault="00456678" w:rsidP="00D67E10">
      <w:pPr>
        <w:pStyle w:val="Allmrkusetekst"/>
      </w:pPr>
      <w:r w:rsidRPr="00F61F8C">
        <w:rPr>
          <w:rStyle w:val="Allmrkuseviide"/>
          <w:sz w:val="20"/>
          <w:szCs w:val="20"/>
        </w:rPr>
        <w:footnoteRef/>
      </w:r>
      <w:r w:rsidRPr="00F61F8C">
        <w:rPr>
          <w:sz w:val="20"/>
          <w:szCs w:val="20"/>
        </w:rPr>
        <w:t xml:space="preserve"> ESS § 50 lõige 4 ja 7</w:t>
      </w:r>
    </w:p>
  </w:footnote>
  <w:footnote w:id="66">
    <w:p w14:paraId="7EB0FD4D" w14:textId="77777777" w:rsidR="00456678" w:rsidRDefault="00456678" w:rsidP="00D67E10">
      <w:pPr>
        <w:pStyle w:val="Allmrkusetekst"/>
      </w:pPr>
      <w:r>
        <w:rPr>
          <w:rStyle w:val="Allmrkuseviide"/>
        </w:rPr>
        <w:footnoteRef/>
      </w:r>
      <w:r>
        <w:t xml:space="preserve"> </w:t>
      </w:r>
      <w:r w:rsidRPr="005C02C4">
        <w:rPr>
          <w:sz w:val="20"/>
          <w:szCs w:val="20"/>
        </w:rPr>
        <w:t>Tehnilise Järelevalve Ameti 16.06.17 otsuse  nr 1-10/17-228 lisa 1 pt. 6.2</w:t>
      </w:r>
      <w:r>
        <w:t xml:space="preserve"> </w:t>
      </w:r>
      <w:hyperlink r:id="rId21" w:history="1">
        <w:r w:rsidRPr="004A594A">
          <w:rPr>
            <w:rStyle w:val="Hperlink"/>
            <w:sz w:val="20"/>
            <w:szCs w:val="20"/>
          </w:rPr>
          <w:t>https://www.ttja.ee/sites/default/files/content-editors/Sideturg/II/lisa_1._t3a_turu_analuus_mte_maaramine_ja_kohustused_veebi.pdf</w:t>
        </w:r>
      </w:hyperlink>
    </w:p>
  </w:footnote>
  <w:footnote w:id="67">
    <w:p w14:paraId="66F264B6" w14:textId="77777777" w:rsidR="00456678" w:rsidRPr="005C02C4" w:rsidRDefault="00456678" w:rsidP="00D67E10">
      <w:pPr>
        <w:pStyle w:val="Allmrkusetekst"/>
        <w:rPr>
          <w:sz w:val="20"/>
          <w:szCs w:val="20"/>
        </w:rPr>
      </w:pPr>
      <w:r>
        <w:rPr>
          <w:rStyle w:val="Allmrkuseviide"/>
        </w:rPr>
        <w:footnoteRef/>
      </w:r>
      <w:r>
        <w:t xml:space="preserve"> </w:t>
      </w:r>
      <w:r w:rsidRPr="005C02C4">
        <w:rPr>
          <w:sz w:val="20"/>
          <w:szCs w:val="20"/>
        </w:rPr>
        <w:t>Tehnilise Järelevalve Ameti 16.06.17 otsuse  nr 1-10/17-228 lisa 1 pt. 6.2.4</w:t>
      </w:r>
      <w:r>
        <w:t xml:space="preserve"> </w:t>
      </w:r>
      <w:hyperlink r:id="rId22" w:history="1">
        <w:r w:rsidRPr="004A594A">
          <w:rPr>
            <w:rStyle w:val="Hperlink"/>
            <w:sz w:val="20"/>
            <w:szCs w:val="20"/>
          </w:rPr>
          <w:t>https://www.ttja.ee/sites/default/files/content-editors/Sideturg/II/lisa_1._t3a_turu_analuus_mte_maaramine_ja_kohustused_veebi.pdf</w:t>
        </w:r>
      </w:hyperlink>
    </w:p>
  </w:footnote>
  <w:footnote w:id="68">
    <w:p w14:paraId="7C0E9020" w14:textId="77777777" w:rsidR="00456678" w:rsidRDefault="00456678" w:rsidP="00D67E10">
      <w:pPr>
        <w:pStyle w:val="Allmrkusetekst"/>
      </w:pPr>
      <w:r>
        <w:rPr>
          <w:rStyle w:val="Allmrkuseviide"/>
        </w:rPr>
        <w:footnoteRef/>
      </w:r>
      <w:r>
        <w:t xml:space="preserve"> </w:t>
      </w:r>
      <w:r w:rsidRPr="00197725">
        <w:rPr>
          <w:sz w:val="20"/>
          <w:szCs w:val="20"/>
        </w:rPr>
        <w:t>See on</w:t>
      </w:r>
      <w:r>
        <w:t xml:space="preserve"> </w:t>
      </w:r>
      <w:r>
        <w:rPr>
          <w:sz w:val="20"/>
          <w:szCs w:val="20"/>
        </w:rPr>
        <w:t>k</w:t>
      </w:r>
      <w:r w:rsidRPr="00556DED">
        <w:rPr>
          <w:sz w:val="20"/>
          <w:szCs w:val="20"/>
        </w:rPr>
        <w:t>aalutud keskmine</w:t>
      </w:r>
      <w:r>
        <w:rPr>
          <w:sz w:val="20"/>
          <w:szCs w:val="20"/>
        </w:rPr>
        <w:t>, mille kaaludeks on väljastatutud tehniliste tingimuste arv.</w:t>
      </w:r>
    </w:p>
  </w:footnote>
  <w:footnote w:id="69">
    <w:p w14:paraId="55BC1F0C" w14:textId="77777777" w:rsidR="00456678" w:rsidRDefault="00456678" w:rsidP="00D67E10">
      <w:pPr>
        <w:pStyle w:val="Allmrkusetekst"/>
      </w:pPr>
      <w:r>
        <w:rPr>
          <w:rStyle w:val="Allmrkuseviide"/>
        </w:rPr>
        <w:footnoteRef/>
      </w:r>
      <w:r>
        <w:t xml:space="preserve"> </w:t>
      </w:r>
      <w:r w:rsidRPr="00197725">
        <w:rPr>
          <w:sz w:val="20"/>
          <w:szCs w:val="20"/>
        </w:rPr>
        <w:t>See on kaalutud keskmine, mille kaaludeks on väljastatutud tehniliste tingimuste arv.</w:t>
      </w:r>
    </w:p>
  </w:footnote>
  <w:footnote w:id="70">
    <w:p w14:paraId="2D000047" w14:textId="77777777" w:rsidR="00456678" w:rsidRPr="00A05940" w:rsidRDefault="00456678" w:rsidP="00D67E10">
      <w:pPr>
        <w:pStyle w:val="Allmrkusetekst"/>
        <w:rPr>
          <w:sz w:val="20"/>
          <w:szCs w:val="20"/>
        </w:rPr>
      </w:pPr>
      <w:r>
        <w:rPr>
          <w:rStyle w:val="Allmrkuseviide"/>
        </w:rPr>
        <w:footnoteRef/>
      </w:r>
      <w:r>
        <w:t xml:space="preserve"> </w:t>
      </w:r>
      <w:hyperlink r:id="rId23" w:history="1">
        <w:r w:rsidRPr="00A05940">
          <w:rPr>
            <w:rStyle w:val="Hperlink"/>
            <w:sz w:val="20"/>
            <w:szCs w:val="20"/>
          </w:rPr>
          <w:t>https://www.telia.ee/images/documents/sideettevotjale/Kaablikanalisatsiooni_ava_rent.pdf</w:t>
        </w:r>
      </w:hyperlink>
      <w:r w:rsidRPr="00A05940">
        <w:rPr>
          <w:sz w:val="20"/>
          <w:szCs w:val="20"/>
        </w:rPr>
        <w:t xml:space="preserve"> </w:t>
      </w:r>
    </w:p>
  </w:footnote>
  <w:footnote w:id="71">
    <w:p w14:paraId="7417735D" w14:textId="77777777" w:rsidR="00456678" w:rsidRPr="00A05940" w:rsidRDefault="00456678" w:rsidP="00D67E10">
      <w:pPr>
        <w:pStyle w:val="Allmrkusetekst"/>
        <w:rPr>
          <w:sz w:val="20"/>
          <w:szCs w:val="20"/>
        </w:rPr>
      </w:pPr>
      <w:r>
        <w:rPr>
          <w:rStyle w:val="Allmrkuseviide"/>
        </w:rPr>
        <w:footnoteRef/>
      </w:r>
      <w:r>
        <w:t xml:space="preserve"> </w:t>
      </w:r>
      <w:hyperlink r:id="rId24" w:history="1">
        <w:r w:rsidRPr="00A05940">
          <w:rPr>
            <w:rStyle w:val="Hperlink"/>
            <w:sz w:val="20"/>
            <w:szCs w:val="20"/>
          </w:rPr>
          <w:t>https://www.telia.ee/images/documents/sideettevotjale/Vaskkaabli_ressurss.pdf</w:t>
        </w:r>
      </w:hyperlink>
      <w:r w:rsidRPr="00A05940">
        <w:rPr>
          <w:sz w:val="20"/>
          <w:szCs w:val="20"/>
        </w:rPr>
        <w:t xml:space="preserve"> </w:t>
      </w:r>
    </w:p>
  </w:footnote>
  <w:footnote w:id="72">
    <w:p w14:paraId="42B1B33E" w14:textId="77777777" w:rsidR="00456678" w:rsidRDefault="00456678" w:rsidP="00D67E10">
      <w:pPr>
        <w:pStyle w:val="Allmrkusetekst"/>
      </w:pPr>
      <w:r>
        <w:rPr>
          <w:rStyle w:val="Allmrkuseviide"/>
        </w:rPr>
        <w:footnoteRef/>
      </w:r>
      <w:r>
        <w:t xml:space="preserve"> </w:t>
      </w:r>
      <w:hyperlink r:id="rId25" w:history="1">
        <w:r w:rsidRPr="005A567F">
          <w:rPr>
            <w:rStyle w:val="Hperlink"/>
            <w:sz w:val="20"/>
            <w:szCs w:val="20"/>
          </w:rPr>
          <w:t>https://www.telia.ee/images/documents/sideettevotjale/Optiline_juurdep%C3%A4%C3%A4suliin.pdf</w:t>
        </w:r>
      </w:hyperlink>
      <w:r>
        <w:rPr>
          <w:sz w:val="20"/>
          <w:szCs w:val="20"/>
        </w:rPr>
        <w:t xml:space="preserve"> </w:t>
      </w:r>
    </w:p>
  </w:footnote>
  <w:footnote w:id="73">
    <w:p w14:paraId="36362020" w14:textId="77777777" w:rsidR="00456678" w:rsidRDefault="00456678" w:rsidP="00D67E10">
      <w:pPr>
        <w:pStyle w:val="Allmrkusetekst"/>
      </w:pPr>
      <w:r>
        <w:rPr>
          <w:rStyle w:val="Allmrkuseviide"/>
        </w:rPr>
        <w:footnoteRef/>
      </w:r>
      <w:r>
        <w:t xml:space="preserve"> </w:t>
      </w:r>
      <w:r w:rsidRPr="004B60E3">
        <w:rPr>
          <w:sz w:val="20"/>
          <w:szCs w:val="20"/>
        </w:rPr>
        <w:t>ESS § 51 lg 8 – MTE-lt võib nõuda teenuste osutamisel õiglase konkurentsi tagamiseks vajalikele tugisüsteemidele või samalaadsetele tarkvarasüsteemidele juurdepääsu pakkumist</w:t>
      </w:r>
    </w:p>
  </w:footnote>
  <w:footnote w:id="74">
    <w:p w14:paraId="7281364B" w14:textId="77777777" w:rsidR="00456678" w:rsidRDefault="00456678" w:rsidP="00D67E10">
      <w:pPr>
        <w:pStyle w:val="Allmrkusetekst"/>
      </w:pPr>
      <w:r>
        <w:rPr>
          <w:rStyle w:val="Allmrkuseviide"/>
        </w:rPr>
        <w:footnoteRef/>
      </w:r>
      <w:r>
        <w:t xml:space="preserve"> </w:t>
      </w:r>
      <w:r w:rsidRPr="00AA4B57">
        <w:rPr>
          <w:sz w:val="18"/>
          <w:szCs w:val="18"/>
        </w:rPr>
        <w:t xml:space="preserve">Telia kaablikanalisatsiooni rendi teenusetingimused punkt </w:t>
      </w:r>
      <w:r>
        <w:rPr>
          <w:sz w:val="18"/>
          <w:szCs w:val="18"/>
        </w:rPr>
        <w:t>1.1</w:t>
      </w:r>
      <w:r w:rsidRPr="00AA4B57">
        <w:rPr>
          <w:sz w:val="18"/>
          <w:szCs w:val="18"/>
        </w:rPr>
        <w:t xml:space="preserve">, </w:t>
      </w:r>
      <w:hyperlink r:id="rId26" w:history="1">
        <w:r w:rsidRPr="00C7317C">
          <w:rPr>
            <w:rStyle w:val="Hperlink"/>
            <w:sz w:val="18"/>
            <w:szCs w:val="18"/>
          </w:rPr>
          <w:t>https://www.telia.ee/images/documents/tt/est/tt_kaablikanali_rent.pdf</w:t>
        </w:r>
      </w:hyperlink>
      <w:r>
        <w:rPr>
          <w:sz w:val="18"/>
          <w:szCs w:val="18"/>
        </w:rPr>
        <w:t xml:space="preserve"> </w:t>
      </w:r>
    </w:p>
  </w:footnote>
  <w:footnote w:id="75">
    <w:p w14:paraId="620CBE00" w14:textId="77777777" w:rsidR="00456678" w:rsidRPr="00E11F94" w:rsidRDefault="00456678" w:rsidP="00D67E10">
      <w:pPr>
        <w:pStyle w:val="Allmrkusetekst"/>
        <w:rPr>
          <w:sz w:val="20"/>
          <w:szCs w:val="20"/>
        </w:rPr>
      </w:pPr>
      <w:r>
        <w:rPr>
          <w:rStyle w:val="Allmrkuseviide"/>
        </w:rPr>
        <w:footnoteRef/>
      </w:r>
      <w:r>
        <w:t xml:space="preserve"> </w:t>
      </w:r>
      <w:r w:rsidRPr="00E11F94">
        <w:rPr>
          <w:sz w:val="20"/>
          <w:szCs w:val="20"/>
        </w:rPr>
        <w:t>Telia kaablikanalisatsiooni kasutamise tingimused p. 1.12</w:t>
      </w:r>
      <w:r>
        <w:t xml:space="preserve"> </w:t>
      </w:r>
      <w:hyperlink r:id="rId27" w:history="1">
        <w:r w:rsidRPr="009C092E">
          <w:rPr>
            <w:rStyle w:val="Hperlink"/>
            <w:sz w:val="20"/>
            <w:szCs w:val="20"/>
          </w:rPr>
          <w:t>https://www.telia.ee/images/documents/juhendid/est/telia_kaablikanalisatsiooni_kasutamise_tingimused.pdf</w:t>
        </w:r>
      </w:hyperlink>
    </w:p>
  </w:footnote>
  <w:footnote w:id="76">
    <w:p w14:paraId="1DE1EF6D" w14:textId="77777777" w:rsidR="00456678" w:rsidRDefault="00456678" w:rsidP="00D67E10">
      <w:pPr>
        <w:pStyle w:val="Allmrkusetekst"/>
      </w:pPr>
      <w:r>
        <w:rPr>
          <w:rStyle w:val="Allmrkuseviide"/>
        </w:rPr>
        <w:footnoteRef/>
      </w:r>
      <w:r>
        <w:t xml:space="preserve"> </w:t>
      </w:r>
      <w:r w:rsidRPr="005B5E42">
        <w:rPr>
          <w:sz w:val="20"/>
          <w:szCs w:val="20"/>
        </w:rPr>
        <w:t>Lk 9</w:t>
      </w:r>
      <w:r>
        <w:t xml:space="preserve"> </w:t>
      </w:r>
      <w:hyperlink r:id="rId28" w:history="1">
        <w:r w:rsidRPr="005A567F">
          <w:rPr>
            <w:rStyle w:val="Hperlink"/>
            <w:sz w:val="20"/>
            <w:szCs w:val="20"/>
          </w:rPr>
          <w:t>https://www.slo.lv/upload/catalog/telekomunikacijas/draka.vara.telekomunikaciju.tiklu.kabeli.en.pdf</w:t>
        </w:r>
      </w:hyperlink>
      <w:r>
        <w:t xml:space="preserve"> </w:t>
      </w:r>
    </w:p>
  </w:footnote>
  <w:footnote w:id="77">
    <w:p w14:paraId="7FAAF1E0" w14:textId="77777777" w:rsidR="00456678" w:rsidRDefault="00456678" w:rsidP="00D67E10">
      <w:pPr>
        <w:pStyle w:val="Allmrkusetekst"/>
      </w:pPr>
      <w:r>
        <w:rPr>
          <w:rStyle w:val="Allmrkuseviide"/>
        </w:rPr>
        <w:footnoteRef/>
      </w:r>
      <w:r>
        <w:t xml:space="preserve"> </w:t>
      </w:r>
      <w:r w:rsidRPr="005B5E42">
        <w:rPr>
          <w:sz w:val="20"/>
          <w:szCs w:val="20"/>
        </w:rPr>
        <w:t>Lk 1</w:t>
      </w:r>
      <w:r>
        <w:rPr>
          <w:sz w:val="20"/>
          <w:szCs w:val="20"/>
        </w:rPr>
        <w:t>1</w:t>
      </w:r>
      <w:r>
        <w:t xml:space="preserve"> </w:t>
      </w:r>
      <w:hyperlink r:id="rId29" w:history="1">
        <w:r w:rsidRPr="005A567F">
          <w:rPr>
            <w:rStyle w:val="Hperlink"/>
            <w:sz w:val="20"/>
            <w:szCs w:val="20"/>
          </w:rPr>
          <w:t>https://www.europacable.eu/wp-content/uploads/2017/07/Europacable_Introduction_to_Telecommunication_Cables_20_March_2013.pdf</w:t>
        </w:r>
      </w:hyperlink>
    </w:p>
  </w:footnote>
  <w:footnote w:id="78">
    <w:p w14:paraId="5C0E10F0" w14:textId="77777777" w:rsidR="00456678" w:rsidRDefault="00456678" w:rsidP="00D67E10">
      <w:pPr>
        <w:pStyle w:val="Allmrkusetekst"/>
      </w:pPr>
      <w:r>
        <w:rPr>
          <w:rStyle w:val="Allmrkuseviide"/>
        </w:rPr>
        <w:footnoteRef/>
      </w:r>
      <w:r>
        <w:t xml:space="preserve"> </w:t>
      </w:r>
      <w:r w:rsidRPr="00B65E70">
        <w:rPr>
          <w:sz w:val="20"/>
          <w:szCs w:val="20"/>
        </w:rPr>
        <w:t xml:space="preserve">Ringi pindala valem S =  </w:t>
      </w:r>
      <w:r>
        <w:rPr>
          <w:sz w:val="20"/>
          <w:szCs w:val="20"/>
        </w:rPr>
        <w:t xml:space="preserve">π x </w:t>
      </w:r>
      <w:r w:rsidRPr="00B65E70">
        <w:rPr>
          <w:sz w:val="20"/>
          <w:szCs w:val="20"/>
        </w:rPr>
        <w:t>r</w:t>
      </w:r>
      <w:r w:rsidRPr="00B65E70">
        <w:rPr>
          <w:sz w:val="20"/>
          <w:szCs w:val="20"/>
          <w:vertAlign w:val="superscript"/>
        </w:rPr>
        <w:t>2</w:t>
      </w:r>
      <w:r w:rsidRPr="00B65E70">
        <w:rPr>
          <w:sz w:val="20"/>
          <w:szCs w:val="20"/>
        </w:rPr>
        <w:t>, S - ringi pindala, r - ringi raadius</w:t>
      </w:r>
      <w:r>
        <w:rPr>
          <w:sz w:val="20"/>
          <w:szCs w:val="20"/>
        </w:rPr>
        <w:t>, π</w:t>
      </w:r>
      <w:r w:rsidRPr="00B65E70">
        <w:rPr>
          <w:sz w:val="20"/>
          <w:szCs w:val="20"/>
        </w:rPr>
        <w:t>= 3,14</w:t>
      </w:r>
    </w:p>
  </w:footnote>
  <w:footnote w:id="79">
    <w:p w14:paraId="22ACBD0D" w14:textId="77777777" w:rsidR="00456678" w:rsidRDefault="00456678" w:rsidP="00D67E10">
      <w:pPr>
        <w:pStyle w:val="Allmrkusetekst"/>
      </w:pPr>
      <w:r>
        <w:rPr>
          <w:rStyle w:val="Allmrkuseviide"/>
        </w:rPr>
        <w:footnoteRef/>
      </w:r>
      <w:r w:rsidRPr="007A1CD3">
        <w:rPr>
          <w:sz w:val="20"/>
          <w:szCs w:val="20"/>
        </w:rPr>
        <w:t xml:space="preserve"> </w:t>
      </w:r>
      <w:hyperlink r:id="rId30" w:history="1">
        <w:r w:rsidRPr="007A1CD3">
          <w:rPr>
            <w:rStyle w:val="Hperlink"/>
            <w:sz w:val="20"/>
            <w:szCs w:val="20"/>
          </w:rPr>
          <w:t>https://www.ttja.ee/sites/default/files/content-editors/Sideturg/II/lisa_1._t3a_turu_analuus_mte_maaramine_ja_kohustused_veebi.pdf</w:t>
        </w:r>
      </w:hyperlink>
      <w:r>
        <w:t xml:space="preserve"> </w:t>
      </w:r>
    </w:p>
  </w:footnote>
  <w:footnote w:id="80">
    <w:p w14:paraId="57DD6AD9" w14:textId="77777777" w:rsidR="00456678" w:rsidRDefault="00456678" w:rsidP="00D67E10">
      <w:pPr>
        <w:pStyle w:val="Allmrkusetekst"/>
      </w:pPr>
      <w:r>
        <w:rPr>
          <w:rStyle w:val="Allmrkuseviide"/>
        </w:rPr>
        <w:footnoteRef/>
      </w:r>
      <w:r>
        <w:t xml:space="preserve"> </w:t>
      </w:r>
      <w:r w:rsidRPr="002260B7">
        <w:rPr>
          <w:sz w:val="20"/>
          <w:szCs w:val="20"/>
        </w:rPr>
        <w:t>TTJA 16.06.17 otsus nr 1-10/17-228</w:t>
      </w:r>
      <w:r w:rsidRPr="002260B7">
        <w:t xml:space="preserve"> </w:t>
      </w:r>
      <w:hyperlink r:id="rId31" w:history="1">
        <w:r w:rsidRPr="002260B7">
          <w:rPr>
            <w:rStyle w:val="Hperlink"/>
            <w:sz w:val="20"/>
            <w:szCs w:val="20"/>
          </w:rPr>
          <w:t>https://www.ttja.ee/sites/default/files/content-editors/Sideturg/II/lisa_1._t3a_turu_analuus_mte_maaramine_ja_kohustused_veebi.pdf</w:t>
        </w:r>
      </w:hyperlink>
    </w:p>
  </w:footnote>
  <w:footnote w:id="81">
    <w:p w14:paraId="6458D97A" w14:textId="77777777" w:rsidR="00456678" w:rsidRPr="00752395" w:rsidRDefault="00456678" w:rsidP="00D67E10">
      <w:pPr>
        <w:pStyle w:val="Allmrkusetekst"/>
        <w:rPr>
          <w:sz w:val="20"/>
          <w:szCs w:val="20"/>
        </w:rPr>
      </w:pPr>
      <w:r w:rsidRPr="00752395">
        <w:rPr>
          <w:rStyle w:val="Allmrkuseviide"/>
          <w:sz w:val="20"/>
          <w:szCs w:val="20"/>
        </w:rPr>
        <w:footnoteRef/>
      </w:r>
      <w:r w:rsidRPr="00752395">
        <w:rPr>
          <w:sz w:val="20"/>
          <w:szCs w:val="20"/>
        </w:rPr>
        <w:t xml:space="preserve"> </w:t>
      </w:r>
      <w:hyperlink r:id="rId32" w:history="1">
        <w:r w:rsidRPr="00752395">
          <w:rPr>
            <w:rStyle w:val="Hperlink"/>
            <w:sz w:val="20"/>
            <w:szCs w:val="20"/>
          </w:rPr>
          <w:t>https://www.telia.ee/images/documents/eeskirjad/vaskkaablipaari_rendi_eeskiri.pdf</w:t>
        </w:r>
      </w:hyperlink>
      <w:r w:rsidRPr="00752395">
        <w:rPr>
          <w:sz w:val="20"/>
          <w:szCs w:val="20"/>
        </w:rPr>
        <w:t xml:space="preserve"> </w:t>
      </w:r>
    </w:p>
  </w:footnote>
  <w:footnote w:id="82">
    <w:p w14:paraId="3F9C0492" w14:textId="77777777" w:rsidR="00456678" w:rsidRPr="009F4CA5" w:rsidRDefault="00456678" w:rsidP="00D67E10">
      <w:pPr>
        <w:pStyle w:val="Allmrkusetekst"/>
        <w:rPr>
          <w:sz w:val="20"/>
          <w:szCs w:val="20"/>
        </w:rPr>
      </w:pPr>
      <w:r w:rsidRPr="009F4CA5">
        <w:rPr>
          <w:rStyle w:val="Allmrkuseviide"/>
          <w:sz w:val="20"/>
          <w:szCs w:val="20"/>
        </w:rPr>
        <w:footnoteRef/>
      </w:r>
      <w:r w:rsidRPr="009F4CA5">
        <w:rPr>
          <w:sz w:val="20"/>
          <w:szCs w:val="20"/>
        </w:rPr>
        <w:t xml:space="preserve"> </w:t>
      </w:r>
      <w:hyperlink r:id="rId33" w:history="1">
        <w:r w:rsidRPr="009F4CA5">
          <w:rPr>
            <w:rStyle w:val="Hperlink"/>
            <w:sz w:val="20"/>
            <w:szCs w:val="20"/>
          </w:rPr>
          <w:t>https://www.telia.ee/images/documents/tt/est/tt_optiline_juurdaasuliin_alates10032017.pdf</w:t>
        </w:r>
      </w:hyperlink>
    </w:p>
  </w:footnote>
  <w:footnote w:id="83">
    <w:p w14:paraId="5F683A6A" w14:textId="77777777" w:rsidR="00456678" w:rsidRDefault="00456678" w:rsidP="00D67E10">
      <w:pPr>
        <w:pStyle w:val="Allmrkusetekst"/>
      </w:pPr>
      <w:r>
        <w:rPr>
          <w:rStyle w:val="Allmrkuseviide"/>
        </w:rPr>
        <w:footnoteRef/>
      </w:r>
      <w:r>
        <w:t xml:space="preserve"> </w:t>
      </w:r>
      <w:r w:rsidRPr="0018780F">
        <w:rPr>
          <w:sz w:val="20"/>
          <w:szCs w:val="20"/>
        </w:rPr>
        <w:t>Sideameti 20. aprill 2007. a otsus nr J.1.-45/07/1</w:t>
      </w:r>
      <w:r>
        <w:t xml:space="preserve">   </w:t>
      </w:r>
    </w:p>
  </w:footnote>
  <w:footnote w:id="84">
    <w:p w14:paraId="3C95EB7F" w14:textId="77777777" w:rsidR="00456678" w:rsidRDefault="00456678" w:rsidP="00D67E10">
      <w:pPr>
        <w:pStyle w:val="Allmrkusetekst"/>
      </w:pPr>
      <w:r>
        <w:rPr>
          <w:rStyle w:val="Allmrkuseviide"/>
        </w:rPr>
        <w:footnoteRef/>
      </w:r>
      <w:r>
        <w:t xml:space="preserve"> </w:t>
      </w:r>
      <w:r w:rsidRPr="00500506">
        <w:rPr>
          <w:sz w:val="20"/>
          <w:szCs w:val="20"/>
        </w:rPr>
        <w:t>ESS § 50 lõige 5; § 51 lõi</w:t>
      </w:r>
      <w:r>
        <w:rPr>
          <w:sz w:val="20"/>
          <w:szCs w:val="20"/>
        </w:rPr>
        <w:t>g</w:t>
      </w:r>
      <w:r w:rsidRPr="00500506">
        <w:rPr>
          <w:sz w:val="20"/>
          <w:szCs w:val="20"/>
        </w:rPr>
        <w:t>e 1 punkt 8; § 51 lõi</w:t>
      </w:r>
      <w:r>
        <w:rPr>
          <w:sz w:val="20"/>
          <w:szCs w:val="20"/>
        </w:rPr>
        <w:t>g</w:t>
      </w:r>
      <w:r w:rsidRPr="00500506">
        <w:rPr>
          <w:sz w:val="20"/>
          <w:szCs w:val="20"/>
        </w:rPr>
        <w:t>e 3</w:t>
      </w:r>
    </w:p>
  </w:footnote>
  <w:footnote w:id="85">
    <w:p w14:paraId="5E782BB2" w14:textId="77777777" w:rsidR="00456678" w:rsidRDefault="00456678" w:rsidP="00D67E10">
      <w:pPr>
        <w:pStyle w:val="Allmrkusetekst"/>
      </w:pPr>
      <w:r>
        <w:rPr>
          <w:rStyle w:val="Allmrkuseviide"/>
        </w:rPr>
        <w:footnoteRef/>
      </w:r>
      <w:r>
        <w:t xml:space="preserve"> </w:t>
      </w:r>
      <w:r w:rsidRPr="00F14D85">
        <w:rPr>
          <w:rStyle w:val="Laad1Mrk"/>
        </w:rPr>
        <w:t xml:space="preserve">ESS § 50 lg 1 p 5  ja §-51 </w:t>
      </w:r>
      <w:r>
        <w:rPr>
          <w:rStyle w:val="Laad1Mrk"/>
        </w:rPr>
        <w:t>lg 1 p 2</w:t>
      </w:r>
    </w:p>
  </w:footnote>
  <w:footnote w:id="86">
    <w:p w14:paraId="43312D39" w14:textId="77777777" w:rsidR="00456678" w:rsidRDefault="00456678" w:rsidP="00D67E10">
      <w:pPr>
        <w:suppressAutoHyphens w:val="0"/>
        <w:autoSpaceDE w:val="0"/>
        <w:autoSpaceDN w:val="0"/>
        <w:adjustRightInd w:val="0"/>
      </w:pPr>
      <w:r>
        <w:rPr>
          <w:rStyle w:val="Allmrkuseviide"/>
        </w:rPr>
        <w:footnoteRef/>
      </w:r>
      <w:r>
        <w:t xml:space="preserve"> </w:t>
      </w:r>
      <w:r>
        <w:rPr>
          <w:rStyle w:val="Laad1Mrk"/>
        </w:rPr>
        <w:t>Kasutuses mitte olev ja reserveerimata vaskpaar,</w:t>
      </w:r>
      <w:r w:rsidRPr="00FF03DA">
        <w:rPr>
          <w:rStyle w:val="Laad1Mrk"/>
        </w:rPr>
        <w:t xml:space="preserve"> arvestades seejuures </w:t>
      </w:r>
      <w:r>
        <w:rPr>
          <w:rStyle w:val="Laad1Mrk"/>
        </w:rPr>
        <w:t xml:space="preserve">Telia </w:t>
      </w:r>
      <w:r w:rsidRPr="00FF03DA">
        <w:rPr>
          <w:rStyle w:val="Laad1Mrk"/>
        </w:rPr>
        <w:t>tulevasi vajadusi, mis peavad olema piisavalt põhjendatud</w:t>
      </w:r>
      <w:r>
        <w:rPr>
          <w:rStyle w:val="Laad1Mrk"/>
        </w:rPr>
        <w:t>.</w:t>
      </w:r>
    </w:p>
  </w:footnote>
  <w:footnote w:id="87">
    <w:p w14:paraId="50A0AA37" w14:textId="77777777" w:rsidR="00456678" w:rsidRDefault="00456678" w:rsidP="00D67E10">
      <w:pPr>
        <w:pStyle w:val="Allmrkusetekst"/>
      </w:pPr>
      <w:r>
        <w:rPr>
          <w:rStyle w:val="Allmrkuseviide"/>
        </w:rPr>
        <w:footnoteRef/>
      </w:r>
      <w:r>
        <w:t xml:space="preserve"> </w:t>
      </w:r>
      <w:r w:rsidRPr="00F14D85">
        <w:rPr>
          <w:rStyle w:val="Laad1Mrk"/>
        </w:rPr>
        <w:t xml:space="preserve">ESS § 50 lg 1 p 5  ja §-51 </w:t>
      </w:r>
      <w:r>
        <w:rPr>
          <w:rStyle w:val="Laad1Mrk"/>
        </w:rPr>
        <w:t>lg 1 p 1</w:t>
      </w:r>
    </w:p>
  </w:footnote>
  <w:footnote w:id="88">
    <w:p w14:paraId="3EAED6E6" w14:textId="77777777" w:rsidR="00456678" w:rsidRDefault="00456678" w:rsidP="00D67E10">
      <w:pPr>
        <w:pStyle w:val="Allmrkusetekst"/>
      </w:pPr>
      <w:r>
        <w:rPr>
          <w:rStyle w:val="Allmrkuseviide"/>
        </w:rPr>
        <w:footnoteRef/>
      </w:r>
      <w:r>
        <w:t xml:space="preserve"> </w:t>
      </w:r>
      <w:r w:rsidRPr="00F14D85">
        <w:rPr>
          <w:rStyle w:val="Laad1Mrk"/>
        </w:rPr>
        <w:t>ESS § 50 lg 1 p 5  ja §</w:t>
      </w:r>
      <w:r>
        <w:rPr>
          <w:rStyle w:val="Laad1Mrk"/>
        </w:rPr>
        <w:t xml:space="preserve"> </w:t>
      </w:r>
      <w:r w:rsidRPr="00F14D85">
        <w:rPr>
          <w:rStyle w:val="Laad1Mrk"/>
        </w:rPr>
        <w:t xml:space="preserve">51 </w:t>
      </w:r>
      <w:r>
        <w:rPr>
          <w:rStyle w:val="Laad1Mrk"/>
        </w:rPr>
        <w:t>lg 1 p 1 ning § 65 lg 2</w:t>
      </w:r>
    </w:p>
  </w:footnote>
  <w:footnote w:id="89">
    <w:p w14:paraId="54770401" w14:textId="77777777" w:rsidR="00456678" w:rsidRDefault="00456678" w:rsidP="00D67E10">
      <w:pPr>
        <w:pStyle w:val="Allmrkusetekst"/>
      </w:pPr>
      <w:r>
        <w:rPr>
          <w:rStyle w:val="Allmrkuseviide"/>
        </w:rPr>
        <w:footnoteRef/>
      </w:r>
      <w:r>
        <w:t xml:space="preserve"> </w:t>
      </w:r>
      <w:r>
        <w:rPr>
          <w:rStyle w:val="Laad1Mrk"/>
        </w:rPr>
        <w:t xml:space="preserve">ESS § 50 lg 1 p 5  ja § </w:t>
      </w:r>
      <w:r w:rsidRPr="00F14D85">
        <w:rPr>
          <w:rStyle w:val="Laad1Mrk"/>
        </w:rPr>
        <w:t xml:space="preserve">51 </w:t>
      </w:r>
      <w:r>
        <w:rPr>
          <w:rStyle w:val="Laad1Mrk"/>
        </w:rPr>
        <w:t>lg 1 p 6</w:t>
      </w:r>
    </w:p>
  </w:footnote>
  <w:footnote w:id="90">
    <w:p w14:paraId="74E17B05" w14:textId="77777777" w:rsidR="00456678" w:rsidRDefault="00456678" w:rsidP="00D67E10">
      <w:pPr>
        <w:pStyle w:val="Allmrkusetekst"/>
      </w:pPr>
      <w:r>
        <w:rPr>
          <w:rStyle w:val="Allmrkuseviide"/>
        </w:rPr>
        <w:footnoteRef/>
      </w:r>
      <w:r>
        <w:t xml:space="preserve"> </w:t>
      </w:r>
      <w:r>
        <w:rPr>
          <w:rStyle w:val="Laad1Mrk"/>
        </w:rPr>
        <w:t xml:space="preserve">ESS § 50 lg 1 p 5  ja § </w:t>
      </w:r>
      <w:r w:rsidRPr="00F14D85">
        <w:rPr>
          <w:rStyle w:val="Laad1Mrk"/>
        </w:rPr>
        <w:t xml:space="preserve">51 </w:t>
      </w:r>
      <w:r>
        <w:rPr>
          <w:rStyle w:val="Laad1Mrk"/>
        </w:rPr>
        <w:t>lg 1 p 8</w:t>
      </w:r>
    </w:p>
  </w:footnote>
  <w:footnote w:id="91">
    <w:p w14:paraId="093954CC" w14:textId="77777777" w:rsidR="00456678" w:rsidRDefault="00456678" w:rsidP="00D67E10">
      <w:pPr>
        <w:pStyle w:val="Allmrkusetekst"/>
      </w:pPr>
      <w:r>
        <w:rPr>
          <w:rStyle w:val="Allmrkuseviide"/>
        </w:rPr>
        <w:footnoteRef/>
      </w:r>
      <w:r>
        <w:t xml:space="preserve"> </w:t>
      </w:r>
      <w:r>
        <w:rPr>
          <w:rStyle w:val="Laad1Mrk"/>
        </w:rPr>
        <w:t xml:space="preserve">ESS § 50 lg 1 p 5  ja § </w:t>
      </w:r>
      <w:r w:rsidRPr="00F14D85">
        <w:rPr>
          <w:rStyle w:val="Laad1Mrk"/>
        </w:rPr>
        <w:t xml:space="preserve">51 </w:t>
      </w:r>
      <w:r>
        <w:rPr>
          <w:rStyle w:val="Laad1Mrk"/>
        </w:rPr>
        <w:t>lg 1 p 12</w:t>
      </w:r>
    </w:p>
  </w:footnote>
  <w:footnote w:id="92">
    <w:p w14:paraId="245C82F1" w14:textId="77777777" w:rsidR="00456678" w:rsidRDefault="00456678" w:rsidP="00D67E10">
      <w:pPr>
        <w:pStyle w:val="Allmrkusetekst"/>
      </w:pPr>
      <w:r>
        <w:rPr>
          <w:rStyle w:val="Allmrkuseviide"/>
        </w:rPr>
        <w:footnoteRef/>
      </w:r>
      <w:r>
        <w:t xml:space="preserve"> </w:t>
      </w:r>
      <w:r>
        <w:rPr>
          <w:rStyle w:val="Laad1Mrk"/>
        </w:rPr>
        <w:t>ESS § 64 lg 1 ja lg 2 p 4 ning § 51 lg 3</w:t>
      </w:r>
    </w:p>
  </w:footnote>
  <w:footnote w:id="93">
    <w:p w14:paraId="05C04F44" w14:textId="77777777" w:rsidR="00456678" w:rsidRDefault="00456678" w:rsidP="00D67E10">
      <w:pPr>
        <w:pStyle w:val="Allmrkusetekst"/>
      </w:pPr>
      <w:r>
        <w:rPr>
          <w:rStyle w:val="Allmrkuseviide"/>
        </w:rPr>
        <w:footnoteRef/>
      </w:r>
      <w:r>
        <w:t xml:space="preserve"> </w:t>
      </w:r>
      <w:r w:rsidRPr="00F14D85">
        <w:rPr>
          <w:rStyle w:val="Laad1Mrk"/>
        </w:rPr>
        <w:t xml:space="preserve">ESS §-51 </w:t>
      </w:r>
      <w:r>
        <w:rPr>
          <w:rStyle w:val="Laad1Mrk"/>
        </w:rPr>
        <w:t>lg 1 p 2</w:t>
      </w:r>
    </w:p>
  </w:footnote>
  <w:footnote w:id="94">
    <w:p w14:paraId="3DAD9FB9" w14:textId="77777777" w:rsidR="00456678" w:rsidRDefault="00456678" w:rsidP="00D67E10">
      <w:pPr>
        <w:pStyle w:val="Allmrkusetekst"/>
      </w:pPr>
      <w:r>
        <w:rPr>
          <w:rStyle w:val="Allmrkuseviide"/>
        </w:rPr>
        <w:footnoteRef/>
      </w:r>
      <w:r>
        <w:t xml:space="preserve"> </w:t>
      </w:r>
      <w:r w:rsidRPr="00DA4DE2">
        <w:rPr>
          <w:sz w:val="18"/>
        </w:rPr>
        <w:t xml:space="preserve">Kasutuses mitte olev ja reserveerimata </w:t>
      </w:r>
      <w:r>
        <w:rPr>
          <w:sz w:val="18"/>
        </w:rPr>
        <w:t>kaablikanalisatsiooni maht</w:t>
      </w:r>
      <w:r w:rsidRPr="00DA4DE2">
        <w:rPr>
          <w:sz w:val="18"/>
        </w:rPr>
        <w:t>, arvestades seejuures Telia tulevasi vajadusi, mis peavad olema piisavalt põhjendatud</w:t>
      </w:r>
      <w:r>
        <w:rPr>
          <w:sz w:val="18"/>
        </w:rPr>
        <w:t>.</w:t>
      </w:r>
    </w:p>
  </w:footnote>
  <w:footnote w:id="95">
    <w:p w14:paraId="48D542A4" w14:textId="77777777" w:rsidR="00456678" w:rsidRDefault="00456678" w:rsidP="00D67E10">
      <w:pPr>
        <w:pStyle w:val="Allmrkusetekst"/>
      </w:pPr>
      <w:r>
        <w:rPr>
          <w:rStyle w:val="Allmrkuseviide"/>
        </w:rPr>
        <w:footnoteRef/>
      </w:r>
      <w:r>
        <w:t xml:space="preserve"> </w:t>
      </w:r>
      <w:r w:rsidRPr="00F14D85">
        <w:rPr>
          <w:rStyle w:val="Laad1Mrk"/>
        </w:rPr>
        <w:t xml:space="preserve">ESS § 50 lg 1 p 5  </w:t>
      </w:r>
      <w:r>
        <w:rPr>
          <w:rStyle w:val="Laad1Mrk"/>
        </w:rPr>
        <w:t xml:space="preserve">ja </w:t>
      </w:r>
      <w:r w:rsidRPr="00D046EA">
        <w:rPr>
          <w:rStyle w:val="Laad1Mrk"/>
        </w:rPr>
        <w:t>§-51 lg</w:t>
      </w:r>
      <w:r>
        <w:rPr>
          <w:rStyle w:val="Laad1Mrk"/>
        </w:rPr>
        <w:t xml:space="preserve"> 1 p 1</w:t>
      </w:r>
    </w:p>
  </w:footnote>
  <w:footnote w:id="96">
    <w:p w14:paraId="386A5D87" w14:textId="77777777" w:rsidR="00456678" w:rsidRDefault="00456678" w:rsidP="00D67E10">
      <w:pPr>
        <w:pStyle w:val="Allmrkusetekst"/>
      </w:pPr>
      <w:r>
        <w:rPr>
          <w:rStyle w:val="Allmrkuseviide"/>
        </w:rPr>
        <w:footnoteRef/>
      </w:r>
      <w:r>
        <w:t xml:space="preserve"> </w:t>
      </w:r>
      <w:r w:rsidRPr="00F14D85">
        <w:rPr>
          <w:rStyle w:val="Laad1Mrk"/>
        </w:rPr>
        <w:t xml:space="preserve">ESS § 50 lg 1 p 5  ja §-51 </w:t>
      </w:r>
      <w:r>
        <w:rPr>
          <w:rStyle w:val="Laad1Mrk"/>
        </w:rPr>
        <w:t xml:space="preserve">lg 1 p 1 </w:t>
      </w:r>
      <w:r w:rsidRPr="00952655">
        <w:rPr>
          <w:rStyle w:val="Laad1Mrk"/>
        </w:rPr>
        <w:t>ja § 5</w:t>
      </w:r>
      <w:r>
        <w:rPr>
          <w:rStyle w:val="Laad1Mrk"/>
        </w:rPr>
        <w:t>1</w:t>
      </w:r>
      <w:r w:rsidRPr="00952655">
        <w:rPr>
          <w:rStyle w:val="Laad1Mrk"/>
        </w:rPr>
        <w:t xml:space="preserve"> </w:t>
      </w:r>
      <w:r>
        <w:rPr>
          <w:rStyle w:val="Laad1Mrk"/>
        </w:rPr>
        <w:t>l</w:t>
      </w:r>
      <w:r w:rsidRPr="00952655">
        <w:rPr>
          <w:rStyle w:val="Laad1Mrk"/>
        </w:rPr>
        <w:t>g 3</w:t>
      </w:r>
    </w:p>
  </w:footnote>
  <w:footnote w:id="97">
    <w:p w14:paraId="6392D69D" w14:textId="77777777" w:rsidR="00456678" w:rsidRDefault="00456678" w:rsidP="00D67E10">
      <w:pPr>
        <w:pStyle w:val="Allmrkusetekst"/>
      </w:pPr>
      <w:r>
        <w:rPr>
          <w:rStyle w:val="Allmrkuseviide"/>
        </w:rPr>
        <w:footnoteRef/>
      </w:r>
      <w:r>
        <w:t xml:space="preserve"> </w:t>
      </w:r>
      <w:r w:rsidRPr="00F14D85">
        <w:rPr>
          <w:rStyle w:val="Laad1Mrk"/>
        </w:rPr>
        <w:t>ESS § 50 lg 1 p 5</w:t>
      </w:r>
      <w:r>
        <w:rPr>
          <w:rStyle w:val="Laad1Mrk"/>
        </w:rPr>
        <w:t>,</w:t>
      </w:r>
      <w:r w:rsidRPr="00F14D85">
        <w:rPr>
          <w:rStyle w:val="Laad1Mrk"/>
        </w:rPr>
        <w:t xml:space="preserve">  </w:t>
      </w:r>
      <w:r w:rsidRPr="003C5411">
        <w:rPr>
          <w:sz w:val="20"/>
          <w:szCs w:val="20"/>
        </w:rPr>
        <w:t>§ 51 l</w:t>
      </w:r>
      <w:r>
        <w:rPr>
          <w:sz w:val="20"/>
          <w:szCs w:val="20"/>
        </w:rPr>
        <w:t>g</w:t>
      </w:r>
      <w:r w:rsidRPr="003C5411">
        <w:rPr>
          <w:sz w:val="20"/>
          <w:szCs w:val="20"/>
        </w:rPr>
        <w:t xml:space="preserve"> 1 p 7</w:t>
      </w:r>
      <w:r>
        <w:rPr>
          <w:sz w:val="20"/>
          <w:szCs w:val="20"/>
        </w:rPr>
        <w:t xml:space="preserve"> ja § 51 lg 3</w:t>
      </w:r>
    </w:p>
  </w:footnote>
  <w:footnote w:id="98">
    <w:p w14:paraId="13402552" w14:textId="77777777" w:rsidR="00456678" w:rsidRDefault="00456678" w:rsidP="00D67E10">
      <w:pPr>
        <w:pStyle w:val="Allmrkusetekst"/>
      </w:pPr>
      <w:r>
        <w:rPr>
          <w:rStyle w:val="Allmrkuseviide"/>
        </w:rPr>
        <w:footnoteRef/>
      </w:r>
      <w:r>
        <w:t xml:space="preserve"> </w:t>
      </w:r>
      <w:r w:rsidRPr="00F14D85">
        <w:rPr>
          <w:rStyle w:val="Laad1Mrk"/>
        </w:rPr>
        <w:t xml:space="preserve">ESS § 50 lg 1 p 5  ja §-51 </w:t>
      </w:r>
      <w:r>
        <w:rPr>
          <w:rStyle w:val="Laad1Mrk"/>
        </w:rPr>
        <w:t>lg 1 p 6</w:t>
      </w:r>
    </w:p>
  </w:footnote>
  <w:footnote w:id="99">
    <w:p w14:paraId="1EE47DED" w14:textId="77777777" w:rsidR="00456678" w:rsidRDefault="00456678" w:rsidP="00D67E10">
      <w:pPr>
        <w:pStyle w:val="Allmrkusetekst"/>
      </w:pPr>
      <w:r>
        <w:rPr>
          <w:rStyle w:val="Allmrkuseviide"/>
        </w:rPr>
        <w:footnoteRef/>
      </w:r>
      <w:r>
        <w:t xml:space="preserve"> </w:t>
      </w:r>
      <w:r w:rsidRPr="00F14D85">
        <w:rPr>
          <w:rStyle w:val="Laad1Mrk"/>
        </w:rPr>
        <w:t xml:space="preserve">ESS § 50 lg 1 p 5  ja §-51 </w:t>
      </w:r>
      <w:r>
        <w:rPr>
          <w:rStyle w:val="Laad1Mrk"/>
        </w:rPr>
        <w:t>lg 1 p 8</w:t>
      </w:r>
    </w:p>
  </w:footnote>
  <w:footnote w:id="100">
    <w:p w14:paraId="3EBFBD59" w14:textId="77777777" w:rsidR="00456678" w:rsidRPr="00952655" w:rsidRDefault="00456678" w:rsidP="00D67E10">
      <w:pPr>
        <w:pStyle w:val="Allmrkusetekst"/>
        <w:rPr>
          <w:rStyle w:val="Laad1Mrk"/>
        </w:rPr>
      </w:pPr>
      <w:r>
        <w:rPr>
          <w:rStyle w:val="Allmrkuseviide"/>
        </w:rPr>
        <w:footnoteRef/>
      </w:r>
      <w:r>
        <w:t xml:space="preserve"> </w:t>
      </w:r>
      <w:r w:rsidRPr="00952655">
        <w:rPr>
          <w:rStyle w:val="Laad1Mrk"/>
        </w:rPr>
        <w:t>ESS § 64 lg 1 ja § 5</w:t>
      </w:r>
      <w:r>
        <w:rPr>
          <w:rStyle w:val="Laad1Mrk"/>
        </w:rPr>
        <w:t>1</w:t>
      </w:r>
      <w:r w:rsidRPr="00952655">
        <w:rPr>
          <w:rStyle w:val="Laad1Mrk"/>
        </w:rPr>
        <w:t xml:space="preserve"> </w:t>
      </w:r>
      <w:r>
        <w:rPr>
          <w:rStyle w:val="Laad1Mrk"/>
        </w:rPr>
        <w:t>l</w:t>
      </w:r>
      <w:r w:rsidRPr="00952655">
        <w:rPr>
          <w:rStyle w:val="Laad1Mrk"/>
        </w:rPr>
        <w:t>g 3</w:t>
      </w:r>
    </w:p>
  </w:footnote>
  <w:footnote w:id="101">
    <w:p w14:paraId="5CCFC769" w14:textId="77777777" w:rsidR="00456678" w:rsidRPr="00BA1697" w:rsidRDefault="00456678" w:rsidP="00D67E10">
      <w:pPr>
        <w:pStyle w:val="Allmrkusetekst"/>
        <w:rPr>
          <w:sz w:val="20"/>
          <w:szCs w:val="20"/>
        </w:rPr>
      </w:pPr>
      <w:r w:rsidRPr="00BA1697">
        <w:rPr>
          <w:rStyle w:val="Allmrkuseviide"/>
          <w:sz w:val="20"/>
          <w:szCs w:val="20"/>
        </w:rPr>
        <w:footnoteRef/>
      </w:r>
      <w:r w:rsidRPr="00BA1697">
        <w:rPr>
          <w:sz w:val="20"/>
          <w:szCs w:val="20"/>
        </w:rPr>
        <w:t xml:space="preserve"> </w:t>
      </w:r>
      <w:r w:rsidRPr="00BE0CBA">
        <w:rPr>
          <w:rStyle w:val="Laad1Mrk"/>
        </w:rPr>
        <w:t xml:space="preserve">Juurdepääsudirektiivi (2002/19/EÜ) preambuli punkti 17 </w:t>
      </w:r>
      <w:hyperlink r:id="rId34" w:history="1">
        <w:r w:rsidRPr="00BE0CBA">
          <w:rPr>
            <w:rStyle w:val="Laad1Mrk"/>
          </w:rPr>
          <w:t>http://eur-lex.europa.eu/legal-content/EN-ET/TXT/?uri=CELEX:32002L0019&amp;from=EN</w:t>
        </w:r>
      </w:hyperlink>
      <w:r w:rsidRPr="00BE0CBA">
        <w:rPr>
          <w:rStyle w:val="Laad1Mrk"/>
        </w:rPr>
        <w:t xml:space="preserve"> ja ESS § 134 lõige 1</w:t>
      </w:r>
      <w:r w:rsidRPr="00FF6608">
        <w:rPr>
          <w:rStyle w:val="Laad1Mrk"/>
        </w:rPr>
        <w:t xml:space="preserve"> </w:t>
      </w:r>
    </w:p>
  </w:footnote>
  <w:footnote w:id="102">
    <w:p w14:paraId="2A21FD4F" w14:textId="77777777" w:rsidR="00456678" w:rsidRPr="003D4299" w:rsidRDefault="00456678" w:rsidP="00D67E10">
      <w:pPr>
        <w:pStyle w:val="Allmrkusetekst"/>
        <w:rPr>
          <w:sz w:val="18"/>
          <w:szCs w:val="18"/>
        </w:rPr>
      </w:pPr>
      <w:r w:rsidRPr="003D4299">
        <w:rPr>
          <w:rStyle w:val="Allmrkuseviide"/>
          <w:sz w:val="18"/>
          <w:szCs w:val="18"/>
        </w:rPr>
        <w:footnoteRef/>
      </w:r>
      <w:r w:rsidRPr="003D4299">
        <w:rPr>
          <w:sz w:val="18"/>
          <w:szCs w:val="18"/>
        </w:rPr>
        <w:t xml:space="preserve"> </w:t>
      </w:r>
      <w:r w:rsidRPr="003D4299">
        <w:rPr>
          <w:rStyle w:val="Laad1Mrk"/>
          <w:szCs w:val="18"/>
        </w:rPr>
        <w:t>ESS § 50 lõige 1 punkt 3</w:t>
      </w:r>
    </w:p>
  </w:footnote>
  <w:footnote w:id="103">
    <w:p w14:paraId="74FF8455" w14:textId="77777777" w:rsidR="00456678" w:rsidRPr="00F61F8C" w:rsidRDefault="00456678" w:rsidP="00D67E10">
      <w:pPr>
        <w:pStyle w:val="Allmrkusetekst"/>
        <w:rPr>
          <w:sz w:val="20"/>
          <w:szCs w:val="20"/>
        </w:rPr>
      </w:pPr>
      <w:r w:rsidRPr="00F61F8C">
        <w:rPr>
          <w:rStyle w:val="Allmrkuseviide"/>
          <w:sz w:val="20"/>
          <w:szCs w:val="20"/>
        </w:rPr>
        <w:footnoteRef/>
      </w:r>
      <w:r w:rsidRPr="00F61F8C">
        <w:rPr>
          <w:sz w:val="20"/>
          <w:szCs w:val="20"/>
        </w:rPr>
        <w:t xml:space="preserve"> </w:t>
      </w:r>
      <w:hyperlink r:id="rId35" w:history="1">
        <w:r w:rsidRPr="003D4299">
          <w:rPr>
            <w:rStyle w:val="Hperlink"/>
            <w:sz w:val="20"/>
            <w:szCs w:val="20"/>
          </w:rPr>
          <w:t>https://berec.europa.eu/eng/document_register/subject_matter/berec/regulatory_best_practices/common_approaches_positions/1127-revised-berec-common-position-on-best-practice-in-remedies-on-the-market-for-wholesale-physical-network-infrastructure-access-including-shared-or-fully-unbundled-access-at-a-fixed-location-imposed-as-a-consequence-of-a-position-of-significant-market-power-in-the-relevant-market</w:t>
        </w:r>
      </w:hyperlink>
    </w:p>
  </w:footnote>
  <w:footnote w:id="104">
    <w:p w14:paraId="09849968" w14:textId="77777777" w:rsidR="00456678" w:rsidRPr="0074444E" w:rsidRDefault="00456678" w:rsidP="00D67E10">
      <w:pPr>
        <w:pStyle w:val="Allmrkusetekst"/>
        <w:rPr>
          <w:sz w:val="20"/>
          <w:szCs w:val="20"/>
        </w:rPr>
      </w:pPr>
      <w:r>
        <w:rPr>
          <w:rStyle w:val="Allmrkuseviide"/>
        </w:rPr>
        <w:footnoteRef/>
      </w:r>
      <w:r>
        <w:t xml:space="preserve"> </w:t>
      </w:r>
      <w:r w:rsidRPr="0074444E">
        <w:rPr>
          <w:sz w:val="20"/>
          <w:szCs w:val="20"/>
        </w:rPr>
        <w:t>Juurdepääsudirektiivi preambuli punkti 19</w:t>
      </w:r>
    </w:p>
  </w:footnote>
  <w:footnote w:id="105">
    <w:p w14:paraId="3EFDED3E" w14:textId="77777777" w:rsidR="00456678" w:rsidRPr="003D4299" w:rsidRDefault="00456678" w:rsidP="00D67E10">
      <w:pPr>
        <w:pStyle w:val="Allmrkusetekst"/>
        <w:rPr>
          <w:sz w:val="18"/>
          <w:szCs w:val="18"/>
        </w:rPr>
      </w:pPr>
      <w:r w:rsidRPr="003D4299">
        <w:rPr>
          <w:rStyle w:val="Allmrkuseviide"/>
          <w:sz w:val="18"/>
          <w:szCs w:val="18"/>
        </w:rPr>
        <w:footnoteRef/>
      </w:r>
      <w:r w:rsidRPr="003D4299">
        <w:rPr>
          <w:sz w:val="18"/>
          <w:szCs w:val="18"/>
        </w:rPr>
        <w:t xml:space="preserve"> ESS § 50 lg 5 </w:t>
      </w:r>
    </w:p>
  </w:footnote>
  <w:footnote w:id="106">
    <w:p w14:paraId="2E8341C9" w14:textId="77777777" w:rsidR="00456678" w:rsidRDefault="00456678" w:rsidP="00D67E10">
      <w:pPr>
        <w:pStyle w:val="Allmrkusetekst"/>
      </w:pPr>
      <w:r>
        <w:rPr>
          <w:rStyle w:val="Allmrkuseviide"/>
        </w:rPr>
        <w:footnoteRef/>
      </w:r>
      <w:r>
        <w:t xml:space="preserve"> ESS § 50 lg 1 ja 2</w:t>
      </w:r>
    </w:p>
  </w:footnote>
  <w:footnote w:id="107">
    <w:p w14:paraId="7C7F82D3" w14:textId="77777777" w:rsidR="00456678" w:rsidRDefault="00456678" w:rsidP="00D67E10">
      <w:pPr>
        <w:pStyle w:val="Allmrkusetekst"/>
      </w:pPr>
      <w:r>
        <w:rPr>
          <w:rStyle w:val="Allmrkuseviide"/>
        </w:rPr>
        <w:footnoteRef/>
      </w:r>
      <w:r>
        <w:t xml:space="preserve"> ESS § 50 lg 4 ja 7</w:t>
      </w:r>
    </w:p>
  </w:footnote>
  <w:footnote w:id="108">
    <w:p w14:paraId="42CACB71" w14:textId="77777777" w:rsidR="00456678" w:rsidRDefault="00456678" w:rsidP="00D67E10">
      <w:pPr>
        <w:pStyle w:val="Allmrkusetekst"/>
      </w:pPr>
      <w:r>
        <w:rPr>
          <w:rStyle w:val="Allmrkuseviide"/>
        </w:rPr>
        <w:footnoteRef/>
      </w:r>
      <w:r>
        <w:t xml:space="preserve"> </w:t>
      </w:r>
      <w:r w:rsidRPr="005C02C4">
        <w:rPr>
          <w:sz w:val="20"/>
          <w:szCs w:val="20"/>
        </w:rPr>
        <w:t>Tehnilise Järelevalve Ameti 16.06.17 otsuse  nr 1-10/17-228 lisa 1 pt. 6.</w:t>
      </w:r>
      <w:r>
        <w:rPr>
          <w:sz w:val="20"/>
          <w:szCs w:val="20"/>
        </w:rPr>
        <w:t>3</w:t>
      </w:r>
      <w:r>
        <w:t xml:space="preserve"> </w:t>
      </w:r>
      <w:hyperlink r:id="rId36" w:history="1">
        <w:r w:rsidRPr="004A594A">
          <w:rPr>
            <w:rStyle w:val="Hperlink"/>
            <w:sz w:val="20"/>
            <w:szCs w:val="20"/>
          </w:rPr>
          <w:t>https://www.ttja.ee/sites/default/files/content-editors/Sideturg/II/lisa_1._t3a_turu_analuus_mte_maaramine_ja_kohustused_veebi.pdf</w:t>
        </w:r>
      </w:hyperlink>
    </w:p>
  </w:footnote>
  <w:footnote w:id="109">
    <w:p w14:paraId="78EB9260" w14:textId="77777777" w:rsidR="00456678" w:rsidRPr="005C02C4" w:rsidRDefault="00456678" w:rsidP="00D67E10">
      <w:pPr>
        <w:pStyle w:val="Allmrkusetekst"/>
        <w:rPr>
          <w:sz w:val="20"/>
          <w:szCs w:val="20"/>
        </w:rPr>
      </w:pPr>
      <w:r>
        <w:rPr>
          <w:rStyle w:val="Allmrkuseviide"/>
        </w:rPr>
        <w:footnoteRef/>
      </w:r>
      <w:r>
        <w:t xml:space="preserve"> </w:t>
      </w:r>
      <w:r w:rsidRPr="005C02C4">
        <w:rPr>
          <w:sz w:val="20"/>
          <w:szCs w:val="20"/>
        </w:rPr>
        <w:t>Tehnilise Järelevalve Ameti 16.06.17 otsuse  nr 1-10/17-228 lisa 1 pt. 6.</w:t>
      </w:r>
      <w:r>
        <w:rPr>
          <w:sz w:val="20"/>
          <w:szCs w:val="20"/>
        </w:rPr>
        <w:t>3</w:t>
      </w:r>
      <w:r w:rsidRPr="005C02C4">
        <w:rPr>
          <w:sz w:val="20"/>
          <w:szCs w:val="20"/>
        </w:rPr>
        <w:t>.4</w:t>
      </w:r>
      <w:r>
        <w:t xml:space="preserve"> </w:t>
      </w:r>
      <w:hyperlink r:id="rId37" w:history="1">
        <w:r w:rsidRPr="004A594A">
          <w:rPr>
            <w:rStyle w:val="Hperlink"/>
            <w:sz w:val="20"/>
            <w:szCs w:val="20"/>
          </w:rPr>
          <w:t>https://www.ttja.ee/sites/default/files/content-editors/Sideturg/II/lisa_1._t3a_turu_analuus_mte_maaramine_ja_kohustused_veebi.pdf</w:t>
        </w:r>
      </w:hyperlink>
    </w:p>
  </w:footnote>
  <w:footnote w:id="110">
    <w:p w14:paraId="005B7566" w14:textId="77777777" w:rsidR="00456678" w:rsidRPr="00BA1697" w:rsidRDefault="00456678" w:rsidP="00D67E10">
      <w:pPr>
        <w:pStyle w:val="Allmrkusetekst"/>
        <w:rPr>
          <w:sz w:val="20"/>
          <w:szCs w:val="20"/>
        </w:rPr>
      </w:pPr>
      <w:r w:rsidRPr="00BA1697">
        <w:rPr>
          <w:rStyle w:val="Allmrkuseviide"/>
          <w:sz w:val="20"/>
          <w:szCs w:val="20"/>
        </w:rPr>
        <w:footnoteRef/>
      </w:r>
      <w:r w:rsidRPr="00BA1697">
        <w:rPr>
          <w:sz w:val="20"/>
          <w:szCs w:val="20"/>
        </w:rPr>
        <w:t xml:space="preserve"> </w:t>
      </w:r>
      <w:r w:rsidRPr="00FF6608">
        <w:rPr>
          <w:rStyle w:val="Laad1Mrk"/>
        </w:rPr>
        <w:t xml:space="preserve">Juurdepääsudirektiivi (2002/19/EÜ) preambuli punkt 16 </w:t>
      </w:r>
      <w:hyperlink r:id="rId38" w:history="1">
        <w:r w:rsidRPr="00FF6608">
          <w:rPr>
            <w:rStyle w:val="Laad1Mrk"/>
          </w:rPr>
          <w:t>http://eur-lex.europa.eu/legal-content/EN-ET/TXT/?uri=CELEX:32002L0019&amp;from=EN</w:t>
        </w:r>
      </w:hyperlink>
      <w:r w:rsidRPr="00FF6608">
        <w:rPr>
          <w:rStyle w:val="Laad1Mrk"/>
        </w:rPr>
        <w:t xml:space="preserve"> </w:t>
      </w:r>
    </w:p>
  </w:footnote>
  <w:footnote w:id="111">
    <w:p w14:paraId="4FB37BBB" w14:textId="77777777" w:rsidR="00456678" w:rsidRPr="00BA1697" w:rsidRDefault="00456678" w:rsidP="00D67E10">
      <w:pPr>
        <w:pStyle w:val="Allmrkusetekst"/>
        <w:rPr>
          <w:sz w:val="20"/>
          <w:szCs w:val="20"/>
        </w:rPr>
      </w:pPr>
      <w:r w:rsidRPr="00BA1697">
        <w:rPr>
          <w:rStyle w:val="Allmrkuseviide"/>
          <w:sz w:val="20"/>
          <w:szCs w:val="20"/>
        </w:rPr>
        <w:footnoteRef/>
      </w:r>
      <w:r w:rsidRPr="00BA1697">
        <w:rPr>
          <w:sz w:val="20"/>
          <w:szCs w:val="20"/>
        </w:rPr>
        <w:t xml:space="preserve"> </w:t>
      </w:r>
      <w:r w:rsidRPr="00FF6608">
        <w:rPr>
          <w:rStyle w:val="Laad1Mrk"/>
        </w:rPr>
        <w:t>ESS § 50 lõige 1 punkt</w:t>
      </w:r>
      <w:r w:rsidRPr="00BA1697">
        <w:rPr>
          <w:sz w:val="20"/>
          <w:szCs w:val="20"/>
        </w:rPr>
        <w:t xml:space="preserve"> 1</w:t>
      </w:r>
    </w:p>
  </w:footnote>
  <w:footnote w:id="112">
    <w:p w14:paraId="339E9F2F" w14:textId="77777777" w:rsidR="00456678" w:rsidRDefault="00456678" w:rsidP="00D67E10">
      <w:pPr>
        <w:pStyle w:val="Allmrkusetekst"/>
      </w:pPr>
      <w:r w:rsidRPr="00BA1697">
        <w:rPr>
          <w:rStyle w:val="Allmrkuseviide"/>
          <w:sz w:val="20"/>
          <w:szCs w:val="20"/>
        </w:rPr>
        <w:footnoteRef/>
      </w:r>
      <w:r w:rsidRPr="00BA1697">
        <w:rPr>
          <w:sz w:val="20"/>
          <w:szCs w:val="20"/>
        </w:rPr>
        <w:t xml:space="preserve"> </w:t>
      </w:r>
      <w:r w:rsidRPr="00FF6608">
        <w:rPr>
          <w:rStyle w:val="Laad1Mrk"/>
        </w:rPr>
        <w:t>ESS § 50 lõige 1 punkt 2</w:t>
      </w:r>
    </w:p>
  </w:footnote>
  <w:footnote w:id="113">
    <w:p w14:paraId="674DA5AA" w14:textId="77777777" w:rsidR="00456678" w:rsidRPr="00984DB8" w:rsidRDefault="00456678" w:rsidP="00D67E10">
      <w:pPr>
        <w:pStyle w:val="Allmrkusetekst"/>
        <w:rPr>
          <w:rStyle w:val="Laad1Mrk"/>
        </w:rPr>
      </w:pPr>
      <w:r w:rsidRPr="00BA1697">
        <w:rPr>
          <w:rStyle w:val="Allmrkuseviide"/>
          <w:sz w:val="20"/>
          <w:szCs w:val="20"/>
        </w:rPr>
        <w:footnoteRef/>
      </w:r>
      <w:r w:rsidRPr="00BA1697">
        <w:rPr>
          <w:sz w:val="20"/>
          <w:szCs w:val="20"/>
        </w:rPr>
        <w:t xml:space="preserve"> </w:t>
      </w:r>
      <w:r>
        <w:rPr>
          <w:rStyle w:val="Laad1Mrk"/>
        </w:rPr>
        <w:t xml:space="preserve">vt </w:t>
      </w:r>
      <w:r w:rsidRPr="00FF7853">
        <w:rPr>
          <w:rStyle w:val="Laad1Mrk"/>
        </w:rPr>
        <w:t xml:space="preserve">peatükid </w:t>
      </w:r>
      <w:r>
        <w:rPr>
          <w:rStyle w:val="Laad1Mrk"/>
        </w:rPr>
        <w:fldChar w:fldCharType="begin"/>
      </w:r>
      <w:r>
        <w:rPr>
          <w:rStyle w:val="Laad1Mrk"/>
        </w:rPr>
        <w:instrText xml:space="preserve"> REF _Ref465421348 \h  \* MERGEFORMAT </w:instrText>
      </w:r>
      <w:r>
        <w:rPr>
          <w:rStyle w:val="Laad1Mrk"/>
        </w:rPr>
      </w:r>
      <w:r>
        <w:rPr>
          <w:rStyle w:val="Laad1Mrk"/>
        </w:rPr>
        <w:fldChar w:fldCharType="separate"/>
      </w:r>
      <w:r w:rsidRPr="0079054B">
        <w:rPr>
          <w:rStyle w:val="Laad1Mrk"/>
        </w:rPr>
        <w:t>6.2.2. Juurdepääsuga seotud konkurentsiprobleemid</w:t>
      </w:r>
      <w:r>
        <w:rPr>
          <w:rStyle w:val="Laad1Mrk"/>
        </w:rPr>
        <w:fldChar w:fldCharType="end"/>
      </w:r>
      <w:r>
        <w:rPr>
          <w:rStyle w:val="Laad1Mrk"/>
        </w:rPr>
        <w:t xml:space="preserve">“, </w:t>
      </w:r>
      <w:r>
        <w:rPr>
          <w:rStyle w:val="Laad1Mrk"/>
        </w:rPr>
        <w:fldChar w:fldCharType="begin"/>
      </w:r>
      <w:r>
        <w:rPr>
          <w:rStyle w:val="Laad1Mrk"/>
        </w:rPr>
        <w:instrText xml:space="preserve"> REF _Ref465421365 \h  \* MERGEFORMAT </w:instrText>
      </w:r>
      <w:r>
        <w:rPr>
          <w:rStyle w:val="Laad1Mrk"/>
        </w:rPr>
      </w:r>
      <w:r>
        <w:rPr>
          <w:rStyle w:val="Laad1Mrk"/>
        </w:rPr>
        <w:fldChar w:fldCharType="separate"/>
      </w:r>
      <w:r w:rsidRPr="0079054B">
        <w:rPr>
          <w:rStyle w:val="Laad1Mrk"/>
        </w:rPr>
        <w:t>6.3.2. Diskrimineerimisega seotud konkurentsiprobleemid</w:t>
      </w:r>
      <w:r>
        <w:rPr>
          <w:rStyle w:val="Laad1Mrk"/>
        </w:rPr>
        <w:fldChar w:fldCharType="end"/>
      </w:r>
      <w:r>
        <w:rPr>
          <w:rStyle w:val="Laad1Mrk"/>
        </w:rPr>
        <w:t xml:space="preserve">“, </w:t>
      </w:r>
      <w:r>
        <w:rPr>
          <w:rStyle w:val="Laad1Mrk"/>
        </w:rPr>
        <w:fldChar w:fldCharType="begin"/>
      </w:r>
      <w:r>
        <w:rPr>
          <w:rStyle w:val="Laad1Mrk"/>
        </w:rPr>
        <w:instrText xml:space="preserve"> REF _Ref465421375 \h  \* MERGEFORMAT </w:instrText>
      </w:r>
      <w:r>
        <w:rPr>
          <w:rStyle w:val="Laad1Mrk"/>
        </w:rPr>
      </w:r>
      <w:r>
        <w:rPr>
          <w:rStyle w:val="Laad1Mrk"/>
        </w:rPr>
        <w:fldChar w:fldCharType="separate"/>
      </w:r>
      <w:r w:rsidRPr="0079054B">
        <w:rPr>
          <w:rStyle w:val="Laad1Mrk"/>
        </w:rPr>
        <w:t>6.5.2. Hinnaga seotud konkurentsiprobleemid ja hindade analüüs</w:t>
      </w:r>
      <w:r>
        <w:rPr>
          <w:rStyle w:val="Laad1Mrk"/>
        </w:rPr>
        <w:fldChar w:fldCharType="end"/>
      </w:r>
      <w:r>
        <w:rPr>
          <w:rStyle w:val="Laad1Mrk"/>
        </w:rPr>
        <w:t>“</w:t>
      </w:r>
    </w:p>
  </w:footnote>
  <w:footnote w:id="114">
    <w:p w14:paraId="28D95190" w14:textId="77777777" w:rsidR="00456678" w:rsidRPr="00F61F8C" w:rsidRDefault="00456678" w:rsidP="00D67E10">
      <w:pPr>
        <w:pStyle w:val="Allmrkusetekst"/>
        <w:rPr>
          <w:sz w:val="20"/>
          <w:szCs w:val="20"/>
        </w:rPr>
      </w:pPr>
      <w:r w:rsidRPr="00F61F8C">
        <w:rPr>
          <w:rStyle w:val="Allmrkuseviide"/>
          <w:sz w:val="20"/>
          <w:szCs w:val="20"/>
        </w:rPr>
        <w:footnoteRef/>
      </w:r>
      <w:r w:rsidRPr="00F61F8C">
        <w:rPr>
          <w:sz w:val="20"/>
          <w:szCs w:val="20"/>
        </w:rPr>
        <w:t xml:space="preserve"> </w:t>
      </w:r>
      <w:hyperlink r:id="rId39" w:history="1">
        <w:r w:rsidRPr="003422A3">
          <w:rPr>
            <w:rStyle w:val="Hperlink"/>
            <w:sz w:val="20"/>
            <w:szCs w:val="20"/>
          </w:rPr>
          <w:t>https://berec.europa.eu/eng/document_register/subject_matter/berec/regulatory_best_practices/common_approaches_positions/1127-revised-berec-common-position-on-best-practice-in-remedies-on-the-market-for-wholesale-physical-network-infrastructure-access-including-shared-or-fully-unbundled-access-at-a-fixed-location-imposed-as-a-consequence-of-a-position-of-significant-market-power-in-the-relevant-market</w:t>
        </w:r>
      </w:hyperlink>
    </w:p>
  </w:footnote>
  <w:footnote w:id="115">
    <w:p w14:paraId="341ABCE2" w14:textId="77777777" w:rsidR="00456678" w:rsidRPr="0074444E" w:rsidRDefault="00456678" w:rsidP="00D67E10">
      <w:pPr>
        <w:pStyle w:val="Allmrkusetekst"/>
        <w:rPr>
          <w:sz w:val="20"/>
          <w:szCs w:val="20"/>
        </w:rPr>
      </w:pPr>
      <w:r>
        <w:rPr>
          <w:rStyle w:val="Allmrkuseviide"/>
        </w:rPr>
        <w:footnoteRef/>
      </w:r>
      <w:r>
        <w:t xml:space="preserve"> </w:t>
      </w:r>
      <w:r w:rsidRPr="0074444E">
        <w:rPr>
          <w:sz w:val="20"/>
          <w:szCs w:val="20"/>
        </w:rPr>
        <w:t>Juurdepääsudirektiivi preambuli punkti 19</w:t>
      </w:r>
    </w:p>
  </w:footnote>
  <w:footnote w:id="116">
    <w:p w14:paraId="00CCED17" w14:textId="77777777" w:rsidR="00456678" w:rsidRDefault="00456678" w:rsidP="00D67E10">
      <w:pPr>
        <w:pStyle w:val="Allmrkusetekst"/>
      </w:pPr>
      <w:r>
        <w:rPr>
          <w:rStyle w:val="Allmrkuseviide"/>
        </w:rPr>
        <w:footnoteRef/>
      </w:r>
      <w:r>
        <w:t xml:space="preserve"> ESS § 50 lg 3</w:t>
      </w:r>
    </w:p>
  </w:footnote>
  <w:footnote w:id="117">
    <w:p w14:paraId="50B04DAB" w14:textId="77777777" w:rsidR="00456678" w:rsidRDefault="00456678" w:rsidP="00D67E10">
      <w:pPr>
        <w:pStyle w:val="Allmrkusetekst"/>
      </w:pPr>
      <w:r>
        <w:rPr>
          <w:rStyle w:val="Allmrkuseviide"/>
        </w:rPr>
        <w:footnoteRef/>
      </w:r>
      <w:r>
        <w:t xml:space="preserve"> ESS § 50 lg 4, 5 ja 7</w:t>
      </w:r>
    </w:p>
  </w:footnote>
  <w:footnote w:id="118">
    <w:p w14:paraId="16A06973" w14:textId="77777777" w:rsidR="00456678" w:rsidRDefault="00456678" w:rsidP="00D67E10">
      <w:pPr>
        <w:pStyle w:val="Allmrkusetekst"/>
      </w:pPr>
      <w:r>
        <w:rPr>
          <w:rStyle w:val="Allmrkuseviide"/>
        </w:rPr>
        <w:footnoteRef/>
      </w:r>
      <w:r>
        <w:t xml:space="preserve"> </w:t>
      </w:r>
      <w:r w:rsidRPr="005C02C4">
        <w:rPr>
          <w:sz w:val="20"/>
          <w:szCs w:val="20"/>
        </w:rPr>
        <w:t>Tehnilise Järelevalve Ameti 16.06.17 otsuse  nr 1-10/17-228 lisa 1 pt. 6.</w:t>
      </w:r>
      <w:r>
        <w:rPr>
          <w:sz w:val="20"/>
          <w:szCs w:val="20"/>
        </w:rPr>
        <w:t>4</w:t>
      </w:r>
      <w:r>
        <w:t xml:space="preserve"> </w:t>
      </w:r>
      <w:hyperlink r:id="rId40" w:history="1">
        <w:r w:rsidRPr="004A594A">
          <w:rPr>
            <w:rStyle w:val="Hperlink"/>
            <w:sz w:val="20"/>
            <w:szCs w:val="20"/>
          </w:rPr>
          <w:t>https://www.ttja.ee/sites/default/files/content-editors/Sideturg/II/lisa_1._t3a_turu_analuus_mte_maaramine_ja_kohustused_veebi.pdf</w:t>
        </w:r>
      </w:hyperlink>
    </w:p>
  </w:footnote>
  <w:footnote w:id="119">
    <w:p w14:paraId="22FA14EE" w14:textId="77777777" w:rsidR="00456678" w:rsidRPr="005C02C4" w:rsidRDefault="00456678" w:rsidP="00D67E10">
      <w:pPr>
        <w:pStyle w:val="Allmrkusetekst"/>
        <w:rPr>
          <w:sz w:val="20"/>
          <w:szCs w:val="20"/>
        </w:rPr>
      </w:pPr>
      <w:r>
        <w:rPr>
          <w:rStyle w:val="Allmrkuseviide"/>
        </w:rPr>
        <w:footnoteRef/>
      </w:r>
      <w:r>
        <w:t xml:space="preserve"> </w:t>
      </w:r>
      <w:r w:rsidRPr="005C02C4">
        <w:rPr>
          <w:sz w:val="20"/>
          <w:szCs w:val="20"/>
        </w:rPr>
        <w:t>Tehnilise Järelevalve Ameti 16.06.17 otsuse  nr 1-10/17-228 lisa 1 pt. 6.</w:t>
      </w:r>
      <w:r>
        <w:rPr>
          <w:sz w:val="20"/>
          <w:szCs w:val="20"/>
        </w:rPr>
        <w:t>4</w:t>
      </w:r>
      <w:r w:rsidRPr="005C02C4">
        <w:rPr>
          <w:sz w:val="20"/>
          <w:szCs w:val="20"/>
        </w:rPr>
        <w:t>.4</w:t>
      </w:r>
      <w:r>
        <w:t xml:space="preserve"> </w:t>
      </w:r>
      <w:hyperlink r:id="rId41" w:history="1">
        <w:r w:rsidRPr="004A594A">
          <w:rPr>
            <w:rStyle w:val="Hperlink"/>
            <w:sz w:val="20"/>
            <w:szCs w:val="20"/>
          </w:rPr>
          <w:t>https://www.ttja.ee/sites/default/files/content-editors/Sideturg/II/lisa_1._t3a_turu_analuus_mte_maaramine_ja_kohustused_veebi.pdf</w:t>
        </w:r>
      </w:hyperlink>
    </w:p>
  </w:footnote>
  <w:footnote w:id="120">
    <w:p w14:paraId="6F01B21E" w14:textId="77777777" w:rsidR="00456678" w:rsidRDefault="00456678" w:rsidP="00D67E10">
      <w:pPr>
        <w:pStyle w:val="Allmrkusetekst"/>
      </w:pPr>
      <w:r>
        <w:rPr>
          <w:rStyle w:val="Allmrkuseviide"/>
        </w:rPr>
        <w:footnoteRef/>
      </w:r>
      <w:r>
        <w:t xml:space="preserve"> </w:t>
      </w:r>
      <w:r w:rsidRPr="00815D53">
        <w:rPr>
          <w:sz w:val="20"/>
          <w:szCs w:val="20"/>
        </w:rPr>
        <w:t xml:space="preserve">Telia kaablikanalisatsiooni kasutamise tingimuste punkt 1.12 </w:t>
      </w:r>
      <w:hyperlink r:id="rId42" w:history="1">
        <w:r w:rsidRPr="00815D53">
          <w:rPr>
            <w:rStyle w:val="Hperlink"/>
            <w:sz w:val="20"/>
            <w:szCs w:val="20"/>
          </w:rPr>
          <w:t>https://www.telia.ee/images/documents/juhendid/est/telia_kaablikanalisatsiooni_kasutamise_tingimused.pdf</w:t>
        </w:r>
      </w:hyperlink>
      <w:r>
        <w:t xml:space="preserve"> </w:t>
      </w:r>
    </w:p>
  </w:footnote>
  <w:footnote w:id="121">
    <w:p w14:paraId="2F1B29ED" w14:textId="77777777" w:rsidR="00456678" w:rsidRDefault="00456678" w:rsidP="00D67E10">
      <w:pPr>
        <w:pStyle w:val="Allmrkusetekst"/>
      </w:pPr>
      <w:r>
        <w:rPr>
          <w:rStyle w:val="Allmrkuseviide"/>
        </w:rPr>
        <w:footnoteRef/>
      </w:r>
      <w:r>
        <w:t xml:space="preserve"> </w:t>
      </w:r>
      <w:r w:rsidRPr="00C2189B">
        <w:rPr>
          <w:rStyle w:val="Laad1Mrk"/>
        </w:rPr>
        <w:t>ESS § 50 lg 1 p 1</w:t>
      </w:r>
    </w:p>
  </w:footnote>
  <w:footnote w:id="122">
    <w:p w14:paraId="40243AD8" w14:textId="77777777" w:rsidR="00456678" w:rsidRDefault="00456678" w:rsidP="00D67E10">
      <w:pPr>
        <w:pStyle w:val="Allmrkusetekst"/>
      </w:pPr>
      <w:r>
        <w:rPr>
          <w:rStyle w:val="Allmrkuseviide"/>
        </w:rPr>
        <w:footnoteRef/>
      </w:r>
      <w:r>
        <w:t xml:space="preserve"> </w:t>
      </w:r>
      <w:r w:rsidRPr="00C2189B">
        <w:rPr>
          <w:rStyle w:val="Laad1Mrk"/>
        </w:rPr>
        <w:t>ESS § 50 lg 1 p 1</w:t>
      </w:r>
    </w:p>
  </w:footnote>
  <w:footnote w:id="123">
    <w:p w14:paraId="13139F1F" w14:textId="77777777" w:rsidR="00456678" w:rsidRDefault="00456678" w:rsidP="00D67E10">
      <w:pPr>
        <w:pStyle w:val="Allmrkusetekst"/>
      </w:pPr>
      <w:r>
        <w:rPr>
          <w:rStyle w:val="Allmrkuseviide"/>
        </w:rPr>
        <w:footnoteRef/>
      </w:r>
      <w:r>
        <w:t xml:space="preserve"> </w:t>
      </w:r>
      <w:r w:rsidRPr="00C2189B">
        <w:rPr>
          <w:rStyle w:val="Laad1Mrk"/>
        </w:rPr>
        <w:t>ESS § 50 lg 1 p 1</w:t>
      </w:r>
    </w:p>
  </w:footnote>
  <w:footnote w:id="124">
    <w:p w14:paraId="72CC3463" w14:textId="77777777" w:rsidR="00456678" w:rsidRDefault="00456678" w:rsidP="00D67E10">
      <w:pPr>
        <w:pStyle w:val="Allmrkusetekst"/>
      </w:pPr>
      <w:r>
        <w:rPr>
          <w:rStyle w:val="Allmrkuseviide"/>
        </w:rPr>
        <w:footnoteRef/>
      </w:r>
      <w:r>
        <w:t xml:space="preserve"> </w:t>
      </w:r>
      <w:r w:rsidRPr="00C2189B">
        <w:rPr>
          <w:rStyle w:val="Laad1Mrk"/>
        </w:rPr>
        <w:t>ESS § 50 lg 1 p 2</w:t>
      </w:r>
    </w:p>
  </w:footnote>
  <w:footnote w:id="125">
    <w:p w14:paraId="1F02A8C9" w14:textId="77777777" w:rsidR="00456678" w:rsidRDefault="00456678" w:rsidP="00D67E10">
      <w:pPr>
        <w:pStyle w:val="Allmrkusetekst"/>
      </w:pPr>
      <w:r>
        <w:rPr>
          <w:rStyle w:val="Allmrkuseviide"/>
        </w:rPr>
        <w:footnoteRef/>
      </w:r>
      <w:r>
        <w:t xml:space="preserve"> </w:t>
      </w:r>
      <w:r w:rsidRPr="00C2189B">
        <w:rPr>
          <w:rStyle w:val="Laad1Mrk"/>
        </w:rPr>
        <w:t>ESS § 50 lg 1 p 2</w:t>
      </w:r>
    </w:p>
  </w:footnote>
  <w:footnote w:id="126">
    <w:p w14:paraId="4411F35F" w14:textId="52B82982" w:rsidR="00456678" w:rsidRPr="00F60A4F" w:rsidRDefault="00456678" w:rsidP="00D67E10">
      <w:pPr>
        <w:pStyle w:val="Allmrkusetekst"/>
        <w:rPr>
          <w:sz w:val="20"/>
          <w:szCs w:val="20"/>
        </w:rPr>
      </w:pPr>
      <w:r>
        <w:rPr>
          <w:rStyle w:val="Allmrkuseviide"/>
        </w:rPr>
        <w:footnoteRef/>
      </w:r>
      <w:r w:rsidRPr="00F60A4F">
        <w:rPr>
          <w:sz w:val="20"/>
          <w:szCs w:val="20"/>
        </w:rPr>
        <w:t xml:space="preserve"> </w:t>
      </w:r>
      <w:r w:rsidRPr="00FF6608">
        <w:rPr>
          <w:rStyle w:val="Laad1Mrk"/>
        </w:rPr>
        <w:t xml:space="preserve">Juurdepääsudirektiivi preambuli punkti 20: Hinnakontroll võib osutuda vajalikuks, kui turuanalüüs näitab, et konkurents konkreetsel turul ei ole tulemuslik. Reguleeriv sekkumine võib olla suhteliselt leebe, näiteks kohustus, et </w:t>
      </w:r>
      <w:r>
        <w:rPr>
          <w:rStyle w:val="Laad1Mrk"/>
        </w:rPr>
        <w:t>sideettevõtja</w:t>
      </w:r>
      <w:r w:rsidRPr="00FF6608">
        <w:rPr>
          <w:rStyle w:val="Laad1Mrk"/>
        </w:rPr>
        <w:t xml:space="preserve">valiku hinnad oleksid mõistlikud, nagu on sätestatud direktiivis 97/33/EÜ, või märgatavalt rangemad, näiteks kohustus, et hinnad oleksid kuludele orienteeritud, õigustamaks täielikult asjaomaseid hindu, kui konkurents ei ole piisavalt tihe, et vältida liiga kõrgeid hindu. Eelkõige peaksid märkimisväärse turujõuga </w:t>
      </w:r>
      <w:r>
        <w:rPr>
          <w:rStyle w:val="Laad1Mrk"/>
        </w:rPr>
        <w:t>sideettevõtja</w:t>
      </w:r>
      <w:r w:rsidRPr="00FF6608">
        <w:rPr>
          <w:rStyle w:val="Laad1Mrk"/>
        </w:rPr>
        <w:t xml:space="preserve">d vältima hindade kokku surumist, mille korral ei ole erinevus nende tarbijahindade ja samasuguste teenuste jaemüügiga tegelevatelt konkurentidelt nõutavate </w:t>
      </w:r>
      <w:r>
        <w:rPr>
          <w:rStyle w:val="Laad1Mrk"/>
        </w:rPr>
        <w:t>juurdepääsu</w:t>
      </w:r>
      <w:r w:rsidRPr="00FF6608">
        <w:rPr>
          <w:rStyle w:val="Laad1Mrk"/>
        </w:rPr>
        <w:t xml:space="preserve"> tasude vahel piisav, et tagada püsiv konkurents. Kui riigi reguleeriv asutus arvutab välja käesoleva direktiivi alusel kohustusliku teenuse loomisega kaasnevad kulud, on otstarbekas arvestada mõistliku kasumi saamisega kasutatud kapitalilt, kaasa arvatud kulutused tööjõule ja ehituskulud, ning kohandada vajaduse korral kapitali väärtust, et see kajastaks varade väärtust ja tegevuse tõhusust kõnealusel ajal. Kulude tagasiteenimise meetod peaks olema kooskõlas oludega ning võtma arvesse vajadust suurendada tõhusust ja püsivat konkurentsi ning võimalikult suurendada tarbijate kasu.</w:t>
      </w:r>
    </w:p>
  </w:footnote>
  <w:footnote w:id="127">
    <w:p w14:paraId="7FB260DE" w14:textId="77777777" w:rsidR="00456678" w:rsidRPr="00F60A4F" w:rsidRDefault="00456678" w:rsidP="00D67E10">
      <w:pPr>
        <w:pStyle w:val="Allmrkusetekst"/>
        <w:rPr>
          <w:sz w:val="20"/>
          <w:szCs w:val="20"/>
        </w:rPr>
      </w:pPr>
      <w:r w:rsidRPr="00F60A4F">
        <w:rPr>
          <w:rStyle w:val="Allmrkuseviide"/>
          <w:sz w:val="20"/>
          <w:szCs w:val="20"/>
        </w:rPr>
        <w:footnoteRef/>
      </w:r>
      <w:r w:rsidRPr="00F60A4F">
        <w:rPr>
          <w:sz w:val="20"/>
          <w:szCs w:val="20"/>
        </w:rPr>
        <w:t xml:space="preserve"> </w:t>
      </w:r>
      <w:r w:rsidRPr="00FF6608">
        <w:rPr>
          <w:rStyle w:val="Laad1Mrk"/>
        </w:rPr>
        <w:t>ESS § 134 lõige 1</w:t>
      </w:r>
    </w:p>
  </w:footnote>
  <w:footnote w:id="128">
    <w:p w14:paraId="793B3149" w14:textId="77777777" w:rsidR="00456678" w:rsidRPr="00F60A4F" w:rsidRDefault="00456678" w:rsidP="00D67E10">
      <w:pPr>
        <w:pStyle w:val="Allmrkusetekst"/>
        <w:rPr>
          <w:sz w:val="20"/>
          <w:szCs w:val="20"/>
        </w:rPr>
      </w:pPr>
      <w:r w:rsidRPr="00F60A4F">
        <w:rPr>
          <w:rStyle w:val="Allmrkuseviide"/>
          <w:sz w:val="20"/>
          <w:szCs w:val="20"/>
        </w:rPr>
        <w:footnoteRef/>
      </w:r>
      <w:r w:rsidRPr="00F60A4F">
        <w:rPr>
          <w:sz w:val="20"/>
          <w:szCs w:val="20"/>
        </w:rPr>
        <w:t xml:space="preserve"> </w:t>
      </w:r>
      <w:r w:rsidRPr="00FF6608">
        <w:rPr>
          <w:rStyle w:val="Laad1Mrk"/>
        </w:rPr>
        <w:t>ESS § 134 lõige</w:t>
      </w:r>
      <w:r w:rsidRPr="00F60A4F">
        <w:rPr>
          <w:sz w:val="20"/>
          <w:szCs w:val="20"/>
        </w:rPr>
        <w:t xml:space="preserve"> </w:t>
      </w:r>
      <w:r w:rsidRPr="00FF6608">
        <w:rPr>
          <w:rStyle w:val="Laad1Mrk"/>
        </w:rPr>
        <w:t>2</w:t>
      </w:r>
    </w:p>
  </w:footnote>
  <w:footnote w:id="129">
    <w:p w14:paraId="6EDEBB79" w14:textId="77777777" w:rsidR="00456678" w:rsidRPr="009A74DC" w:rsidRDefault="00456678" w:rsidP="00D67E10">
      <w:pPr>
        <w:pStyle w:val="Allmrkusetekst"/>
        <w:rPr>
          <w:rStyle w:val="Laad1Mrk"/>
        </w:rPr>
      </w:pPr>
      <w:r w:rsidRPr="009A74DC">
        <w:rPr>
          <w:rStyle w:val="Allmrkuseviide"/>
          <w:sz w:val="20"/>
          <w:szCs w:val="20"/>
        </w:rPr>
        <w:footnoteRef/>
      </w:r>
      <w:r w:rsidRPr="009A74DC">
        <w:rPr>
          <w:rStyle w:val="Allmrkuseviide"/>
          <w:sz w:val="20"/>
          <w:szCs w:val="20"/>
        </w:rPr>
        <w:t xml:space="preserve"> </w:t>
      </w:r>
      <w:r w:rsidRPr="009A74DC">
        <w:rPr>
          <w:rStyle w:val="Laad1Mrk"/>
        </w:rPr>
        <w:t>ESS § 50 lõige 4</w:t>
      </w:r>
    </w:p>
  </w:footnote>
  <w:footnote w:id="130">
    <w:p w14:paraId="71CAF7D5" w14:textId="77777777" w:rsidR="00456678" w:rsidRPr="00F60A4F" w:rsidRDefault="00456678" w:rsidP="00D67E10">
      <w:pPr>
        <w:pStyle w:val="Allmrkusetekst"/>
        <w:rPr>
          <w:sz w:val="20"/>
          <w:szCs w:val="20"/>
        </w:rPr>
      </w:pPr>
      <w:r w:rsidRPr="00F60A4F">
        <w:rPr>
          <w:rStyle w:val="Allmrkuseviide"/>
          <w:sz w:val="20"/>
          <w:szCs w:val="20"/>
        </w:rPr>
        <w:footnoteRef/>
      </w:r>
      <w:r w:rsidRPr="00F60A4F">
        <w:rPr>
          <w:sz w:val="20"/>
          <w:szCs w:val="20"/>
        </w:rPr>
        <w:t xml:space="preserve"> </w:t>
      </w:r>
      <w:r w:rsidRPr="00FF6608">
        <w:rPr>
          <w:rStyle w:val="Laad1Mrk"/>
        </w:rPr>
        <w:t>ESS § 50 lõige 1 punkt 7</w:t>
      </w:r>
    </w:p>
  </w:footnote>
  <w:footnote w:id="131">
    <w:p w14:paraId="12928F5B" w14:textId="77777777" w:rsidR="00456678" w:rsidRPr="00F60A4F" w:rsidRDefault="00456678" w:rsidP="00D67E10">
      <w:pPr>
        <w:pStyle w:val="Allmrkusetekst"/>
        <w:rPr>
          <w:sz w:val="20"/>
          <w:szCs w:val="20"/>
        </w:rPr>
      </w:pPr>
      <w:r w:rsidRPr="00F60A4F">
        <w:rPr>
          <w:rStyle w:val="Allmrkuseviide"/>
          <w:sz w:val="20"/>
          <w:szCs w:val="20"/>
        </w:rPr>
        <w:footnoteRef/>
      </w:r>
      <w:r w:rsidRPr="00F60A4F">
        <w:rPr>
          <w:sz w:val="20"/>
          <w:szCs w:val="20"/>
        </w:rPr>
        <w:t xml:space="preserve"> </w:t>
      </w:r>
      <w:r w:rsidRPr="00FF6608">
        <w:rPr>
          <w:rStyle w:val="Laad1Mrk"/>
        </w:rPr>
        <w:t>ESS § 52 lõige 1</w:t>
      </w:r>
    </w:p>
  </w:footnote>
  <w:footnote w:id="132">
    <w:p w14:paraId="1B925BF8" w14:textId="77777777" w:rsidR="00456678" w:rsidRPr="00F259AF" w:rsidRDefault="00456678" w:rsidP="00D67E10">
      <w:pPr>
        <w:pStyle w:val="Allmrkusetekst"/>
        <w:rPr>
          <w:sz w:val="20"/>
          <w:szCs w:val="20"/>
        </w:rPr>
      </w:pPr>
      <w:r w:rsidRPr="00F60A4F">
        <w:rPr>
          <w:rStyle w:val="Allmrkuseviide"/>
          <w:sz w:val="20"/>
          <w:szCs w:val="20"/>
        </w:rPr>
        <w:footnoteRef/>
      </w:r>
      <w:r w:rsidRPr="00F60A4F">
        <w:rPr>
          <w:sz w:val="20"/>
          <w:szCs w:val="20"/>
        </w:rPr>
        <w:t xml:space="preserve"> </w:t>
      </w:r>
      <w:r w:rsidRPr="00FF6608">
        <w:rPr>
          <w:rStyle w:val="Laad1Mrk"/>
        </w:rPr>
        <w:t>ESS § 52 lõige 2</w:t>
      </w:r>
    </w:p>
  </w:footnote>
  <w:footnote w:id="133">
    <w:p w14:paraId="58DEFEA0" w14:textId="77777777" w:rsidR="00456678" w:rsidRPr="005275B4" w:rsidRDefault="00456678" w:rsidP="00D67E10">
      <w:pPr>
        <w:pStyle w:val="Laad1"/>
        <w:spacing w:before="0" w:after="0"/>
        <w:rPr>
          <w:sz w:val="20"/>
        </w:rPr>
      </w:pPr>
      <w:r w:rsidRPr="00F60A4F">
        <w:rPr>
          <w:rStyle w:val="Allmrkuseviide"/>
          <w:sz w:val="20"/>
        </w:rPr>
        <w:footnoteRef/>
      </w:r>
      <w:r>
        <w:t xml:space="preserve"> </w:t>
      </w:r>
      <w:r w:rsidRPr="00FF6608">
        <w:rPr>
          <w:rStyle w:val="Laad1Mrk"/>
        </w:rPr>
        <w:t>ESS § 46 lõige 2</w:t>
      </w:r>
    </w:p>
  </w:footnote>
  <w:footnote w:id="134">
    <w:p w14:paraId="7DDB2F8A" w14:textId="77777777" w:rsidR="00456678" w:rsidRDefault="00456678" w:rsidP="00D67E10">
      <w:pPr>
        <w:pStyle w:val="Laad1"/>
        <w:spacing w:before="0" w:after="0"/>
      </w:pPr>
      <w:r w:rsidRPr="00F60A4F">
        <w:rPr>
          <w:rStyle w:val="Allmrkuseviide"/>
          <w:sz w:val="20"/>
        </w:rPr>
        <w:footnoteRef/>
      </w:r>
      <w:r>
        <w:t xml:space="preserve"> </w:t>
      </w:r>
      <w:hyperlink r:id="rId43" w:history="1">
        <w:r w:rsidRPr="00D36005">
          <w:rPr>
            <w:rStyle w:val="Hperlink"/>
          </w:rPr>
          <w:t>http://eur-lex.europa.eu/legal-content/ET/TXT/?uri=CELEX:32013H0466</w:t>
        </w:r>
      </w:hyperlink>
      <w:r>
        <w:t xml:space="preserve"> </w:t>
      </w:r>
    </w:p>
  </w:footnote>
  <w:footnote w:id="135">
    <w:p w14:paraId="5CBBC528" w14:textId="77777777" w:rsidR="00456678" w:rsidRPr="003F5471" w:rsidRDefault="00456678" w:rsidP="00D67E10">
      <w:pPr>
        <w:pStyle w:val="Allmrkusetekst"/>
        <w:rPr>
          <w:rStyle w:val="Laad1Mrk"/>
        </w:rPr>
      </w:pPr>
      <w:r>
        <w:rPr>
          <w:rStyle w:val="Allmrkuseviide"/>
        </w:rPr>
        <w:footnoteRef/>
      </w:r>
      <w:r>
        <w:t xml:space="preserve"> </w:t>
      </w:r>
      <w:r w:rsidRPr="003F5471">
        <w:rPr>
          <w:rStyle w:val="Laad1Mrk"/>
        </w:rPr>
        <w:t>EK kuluarvestuse soovituse punktid 30 - 37</w:t>
      </w:r>
    </w:p>
  </w:footnote>
  <w:footnote w:id="136">
    <w:p w14:paraId="2A876B78" w14:textId="77777777" w:rsidR="00456678" w:rsidRDefault="00456678" w:rsidP="00D67E10">
      <w:pPr>
        <w:pStyle w:val="Allmrkusetekst"/>
      </w:pPr>
      <w:r>
        <w:rPr>
          <w:rStyle w:val="Allmrkuseviide"/>
        </w:rPr>
        <w:footnoteRef/>
      </w:r>
      <w:r>
        <w:t xml:space="preserve"> </w:t>
      </w:r>
      <w:r w:rsidRPr="00CE3E46">
        <w:t>EK kuluarvestuse soovituse punkt 40 alusel</w:t>
      </w:r>
    </w:p>
  </w:footnote>
  <w:footnote w:id="137">
    <w:p w14:paraId="2832AF90" w14:textId="77777777" w:rsidR="00456678" w:rsidRPr="00F60A4F" w:rsidRDefault="00456678" w:rsidP="00D67E10">
      <w:pPr>
        <w:pStyle w:val="Allmrkusetekst"/>
        <w:rPr>
          <w:sz w:val="20"/>
          <w:szCs w:val="20"/>
        </w:rPr>
      </w:pPr>
      <w:r w:rsidRPr="00F60A4F">
        <w:rPr>
          <w:rStyle w:val="Allmrkuseviide"/>
          <w:sz w:val="20"/>
          <w:szCs w:val="20"/>
        </w:rPr>
        <w:footnoteRef/>
      </w:r>
      <w:r w:rsidRPr="00F60A4F">
        <w:rPr>
          <w:sz w:val="20"/>
          <w:szCs w:val="20"/>
        </w:rPr>
        <w:t xml:space="preserve"> </w:t>
      </w:r>
      <w:r w:rsidRPr="00FF6608">
        <w:rPr>
          <w:rStyle w:val="Laad1Mrk"/>
        </w:rPr>
        <w:t>raamdirektiivi artikli 14 lõige 2, ESS § 45 lõige 2</w:t>
      </w:r>
    </w:p>
  </w:footnote>
  <w:footnote w:id="138">
    <w:p w14:paraId="3B860067" w14:textId="77777777" w:rsidR="00456678" w:rsidRPr="006B1881" w:rsidRDefault="00456678" w:rsidP="00D67E10">
      <w:pPr>
        <w:pStyle w:val="Allmrkusetekst"/>
        <w:rPr>
          <w:rStyle w:val="Laad1Mrk"/>
        </w:rPr>
      </w:pPr>
      <w:r w:rsidRPr="006B1881">
        <w:rPr>
          <w:rStyle w:val="Allmrkuseviide"/>
          <w:sz w:val="20"/>
          <w:szCs w:val="20"/>
        </w:rPr>
        <w:footnoteRef/>
      </w:r>
      <w:r w:rsidRPr="006B1881">
        <w:rPr>
          <w:rStyle w:val="Allmrkuseviide"/>
          <w:sz w:val="20"/>
          <w:szCs w:val="20"/>
        </w:rPr>
        <w:t xml:space="preserve"> </w:t>
      </w:r>
      <w:r w:rsidRPr="006B1881">
        <w:rPr>
          <w:rStyle w:val="Laad1Mrk"/>
        </w:rPr>
        <w:t>Sideameti 2007. aasta otsuse nr J.1.-45/07/1, Konkurentsiameti 07.09.2009 otsus nr 8.3-12/09-0003 ja 11.11.2013 otsus nr 8.3-1/13-001</w:t>
      </w:r>
    </w:p>
  </w:footnote>
  <w:footnote w:id="139">
    <w:p w14:paraId="1ECA4823" w14:textId="77777777" w:rsidR="00456678" w:rsidRPr="0074444E" w:rsidRDefault="00456678" w:rsidP="00D67E10">
      <w:pPr>
        <w:pStyle w:val="Allmrkusetekst"/>
        <w:rPr>
          <w:sz w:val="20"/>
          <w:szCs w:val="20"/>
        </w:rPr>
      </w:pPr>
      <w:r>
        <w:rPr>
          <w:rStyle w:val="Allmrkuseviide"/>
        </w:rPr>
        <w:footnoteRef/>
      </w:r>
      <w:r>
        <w:t xml:space="preserve"> </w:t>
      </w:r>
      <w:r w:rsidRPr="0074444E">
        <w:rPr>
          <w:sz w:val="20"/>
          <w:szCs w:val="20"/>
        </w:rPr>
        <w:t>Juurdepääsudirektiivi preambuli punkti 19</w:t>
      </w:r>
    </w:p>
  </w:footnote>
  <w:footnote w:id="140">
    <w:p w14:paraId="513E1C96" w14:textId="77777777" w:rsidR="00456678" w:rsidRDefault="00456678" w:rsidP="00D67E10">
      <w:pPr>
        <w:pStyle w:val="Allmrkusetekst"/>
        <w:spacing w:before="60" w:after="60"/>
      </w:pPr>
      <w:r>
        <w:rPr>
          <w:rStyle w:val="Allmrkuseviide"/>
        </w:rPr>
        <w:footnoteRef/>
      </w:r>
      <w:r>
        <w:t xml:space="preserve"> </w:t>
      </w:r>
      <w:r w:rsidRPr="00FF6608">
        <w:rPr>
          <w:rStyle w:val="Laad1Mrk"/>
        </w:rPr>
        <w:t>ESS § 50 lõike 1 punkt 5</w:t>
      </w:r>
    </w:p>
  </w:footnote>
  <w:footnote w:id="141">
    <w:p w14:paraId="56DB9755" w14:textId="77777777" w:rsidR="00456678" w:rsidRDefault="00456678" w:rsidP="00D67E10">
      <w:pPr>
        <w:pStyle w:val="Allmrkusetekst"/>
        <w:spacing w:before="60" w:after="60"/>
      </w:pPr>
      <w:r>
        <w:rPr>
          <w:rStyle w:val="Allmrkuseviide"/>
        </w:rPr>
        <w:footnoteRef/>
      </w:r>
      <w:r>
        <w:t xml:space="preserve"> </w:t>
      </w:r>
      <w:r w:rsidRPr="00CD7775">
        <w:rPr>
          <w:rStyle w:val="Laad1Mrk"/>
        </w:rPr>
        <w:t>ESS § 50 lõike 1 punkt</w:t>
      </w:r>
      <w:r>
        <w:rPr>
          <w:rStyle w:val="Laad1Mrk"/>
        </w:rPr>
        <w:t>id</w:t>
      </w:r>
      <w:r w:rsidRPr="00CD7775">
        <w:rPr>
          <w:rStyle w:val="Laad1Mrk"/>
        </w:rPr>
        <w:t xml:space="preserve"> </w:t>
      </w:r>
      <w:r>
        <w:rPr>
          <w:rStyle w:val="Laad1Mrk"/>
        </w:rPr>
        <w:t>1-</w:t>
      </w:r>
      <w:r w:rsidRPr="00CD7775">
        <w:rPr>
          <w:rStyle w:val="Laad1Mrk"/>
        </w:rPr>
        <w:t>3</w:t>
      </w:r>
    </w:p>
  </w:footnote>
  <w:footnote w:id="142">
    <w:p w14:paraId="414986D9" w14:textId="77777777" w:rsidR="00456678" w:rsidRDefault="00456678" w:rsidP="00D67E10">
      <w:pPr>
        <w:pStyle w:val="Allmrkusetekst"/>
        <w:spacing w:before="60" w:after="60"/>
      </w:pPr>
      <w:r>
        <w:rPr>
          <w:rStyle w:val="Allmrkuseviide"/>
        </w:rPr>
        <w:footnoteRef/>
      </w:r>
      <w:r>
        <w:t xml:space="preserve"> </w:t>
      </w:r>
      <w:r w:rsidRPr="00FF6608">
        <w:rPr>
          <w:rStyle w:val="Laad1Mrk"/>
        </w:rPr>
        <w:t>ESS § 50 lõige 4</w:t>
      </w:r>
    </w:p>
  </w:footnote>
  <w:footnote w:id="143">
    <w:p w14:paraId="3CC70D0C" w14:textId="77777777" w:rsidR="00456678" w:rsidRDefault="00456678" w:rsidP="00D67E10">
      <w:pPr>
        <w:pStyle w:val="Allmrkusetekst"/>
        <w:spacing w:before="60" w:after="60"/>
      </w:pPr>
      <w:r>
        <w:rPr>
          <w:rStyle w:val="Allmrkuseviide"/>
        </w:rPr>
        <w:footnoteRef/>
      </w:r>
      <w:r>
        <w:t xml:space="preserve"> </w:t>
      </w:r>
      <w:r w:rsidRPr="00FF6608">
        <w:rPr>
          <w:rStyle w:val="Laad1Mrk"/>
        </w:rPr>
        <w:t>ESS § 50 lõige 1 punkt 7</w:t>
      </w:r>
    </w:p>
  </w:footnote>
  <w:footnote w:id="144">
    <w:p w14:paraId="3B4C5383" w14:textId="77777777" w:rsidR="00456678" w:rsidRPr="00555E5A" w:rsidRDefault="00456678" w:rsidP="00D67E10">
      <w:pPr>
        <w:pStyle w:val="Allmrkusetekst"/>
        <w:jc w:val="both"/>
        <w:rPr>
          <w:sz w:val="20"/>
          <w:szCs w:val="20"/>
        </w:rPr>
      </w:pPr>
      <w:r w:rsidRPr="0004389D">
        <w:rPr>
          <w:rStyle w:val="Allmrkuseviide"/>
          <w:sz w:val="20"/>
          <w:szCs w:val="20"/>
        </w:rPr>
        <w:footnoteRef/>
      </w:r>
      <w:r w:rsidRPr="0004389D">
        <w:rPr>
          <w:sz w:val="20"/>
          <w:szCs w:val="20"/>
        </w:rPr>
        <w:t xml:space="preserve"> Hinnakohustuse kehtestamisel võtab </w:t>
      </w:r>
      <w:r>
        <w:rPr>
          <w:sz w:val="20"/>
          <w:szCs w:val="20"/>
        </w:rPr>
        <w:t>TTJA</w:t>
      </w:r>
      <w:r w:rsidRPr="0004389D">
        <w:rPr>
          <w:sz w:val="20"/>
          <w:szCs w:val="20"/>
        </w:rPr>
        <w:t xml:space="preserve"> arvesse sideettevõtja tehtud investeeringuid ja seda, et märkimisväärse turujõuga</w:t>
      </w:r>
      <w:r w:rsidRPr="00771B65">
        <w:rPr>
          <w:sz w:val="20"/>
          <w:szCs w:val="20"/>
        </w:rPr>
        <w:t xml:space="preserve"> ettevõtjal peab olema võimalik teenida otstarbekalt kasutatud kapitalilt mõistlikku kasumit, võttes arvesse kaasnevaid riske, mis on omased nimetud konkreetse uue võrguprojekti investeeringutele. </w:t>
      </w:r>
      <w:r>
        <w:rPr>
          <w:sz w:val="20"/>
          <w:szCs w:val="20"/>
        </w:rPr>
        <w:t>TJA</w:t>
      </w:r>
      <w:r w:rsidRPr="00771B65">
        <w:rPr>
          <w:sz w:val="20"/>
          <w:szCs w:val="20"/>
        </w:rPr>
        <w:t xml:space="preserve"> nõutav kulude katmise mehhanism või hinna kujundamise me</w:t>
      </w:r>
      <w:r>
        <w:rPr>
          <w:sz w:val="20"/>
          <w:szCs w:val="20"/>
        </w:rPr>
        <w:t>e</w:t>
      </w:r>
      <w:r w:rsidRPr="00771B65">
        <w:rPr>
          <w:sz w:val="20"/>
          <w:szCs w:val="20"/>
        </w:rPr>
        <w:t xml:space="preserve">tod peab teenima efektiivse ja pideva konkurentsi huvi ja suurendama tarbijate kasu. Selleks võib </w:t>
      </w:r>
      <w:r>
        <w:rPr>
          <w:sz w:val="20"/>
          <w:szCs w:val="20"/>
        </w:rPr>
        <w:t>TTJA</w:t>
      </w:r>
      <w:r w:rsidRPr="00A766AE">
        <w:rPr>
          <w:sz w:val="20"/>
          <w:szCs w:val="20"/>
        </w:rPr>
        <w:t xml:space="preserve"> arvestada ka hindu, mis on kasutusel teistel võrreldavatel turgudel.</w:t>
      </w:r>
    </w:p>
  </w:footnote>
  <w:footnote w:id="145">
    <w:p w14:paraId="7A2C8D5F" w14:textId="77777777" w:rsidR="00456678" w:rsidRDefault="00456678" w:rsidP="00D67E10">
      <w:pPr>
        <w:pStyle w:val="Laad1"/>
        <w:spacing w:before="0" w:after="0"/>
      </w:pPr>
      <w:r w:rsidRPr="00F60A4F">
        <w:rPr>
          <w:rStyle w:val="Allmrkuseviide"/>
          <w:sz w:val="20"/>
        </w:rPr>
        <w:footnoteRef/>
      </w:r>
      <w:r>
        <w:t xml:space="preserve"> </w:t>
      </w:r>
      <w:hyperlink r:id="rId44" w:history="1">
        <w:r w:rsidRPr="00D36005">
          <w:rPr>
            <w:rStyle w:val="Hperlink"/>
          </w:rPr>
          <w:t>http://eur-lex.europa.eu/legal-content/ET/TXT/?uri=CELEX:32013H0466</w:t>
        </w:r>
      </w:hyperlink>
      <w:r>
        <w:t xml:space="preserve"> </w:t>
      </w:r>
    </w:p>
  </w:footnote>
  <w:footnote w:id="146">
    <w:p w14:paraId="1A386BFA" w14:textId="77777777" w:rsidR="00456678" w:rsidRDefault="00456678" w:rsidP="00D67E10">
      <w:pPr>
        <w:pStyle w:val="Allmrkusetekst"/>
      </w:pPr>
      <w:r w:rsidRPr="003E68CB">
        <w:rPr>
          <w:rStyle w:val="Allmrkuseviide"/>
        </w:rPr>
        <w:footnoteRef/>
      </w:r>
      <w:r>
        <w:t xml:space="preserve"> </w:t>
      </w:r>
      <w:r w:rsidRPr="00F8765A">
        <w:rPr>
          <w:sz w:val="18"/>
          <w:szCs w:val="18"/>
        </w:rPr>
        <w:t>BEREC Report Regulatory Accounting in Practice 201</w:t>
      </w:r>
      <w:r>
        <w:rPr>
          <w:sz w:val="18"/>
          <w:szCs w:val="18"/>
        </w:rPr>
        <w:t>9</w:t>
      </w:r>
      <w:r w:rsidRPr="00F8765A">
        <w:rPr>
          <w:sz w:val="18"/>
          <w:szCs w:val="18"/>
        </w:rPr>
        <w:t xml:space="preserve">, </w:t>
      </w:r>
      <w:r>
        <w:rPr>
          <w:sz w:val="18"/>
          <w:szCs w:val="18"/>
        </w:rPr>
        <w:t>joonis nr 16</w:t>
      </w:r>
      <w:r w:rsidRPr="00F8765A">
        <w:rPr>
          <w:sz w:val="18"/>
          <w:szCs w:val="18"/>
        </w:rPr>
        <w:t xml:space="preserve"> </w:t>
      </w:r>
      <w:bookmarkStart w:id="560" w:name="_Hlk34384692"/>
      <w:r w:rsidRPr="00606EDE">
        <w:rPr>
          <w:sz w:val="20"/>
          <w:szCs w:val="20"/>
        </w:rPr>
        <w:fldChar w:fldCharType="begin"/>
      </w:r>
      <w:r w:rsidRPr="00606EDE">
        <w:rPr>
          <w:sz w:val="20"/>
          <w:szCs w:val="20"/>
        </w:rPr>
        <w:instrText xml:space="preserve"> HYPERLINK "https://berec.europa.eu/eng/document_register/subject_matter/berec/download/0/8907-berec-report-regulatory-accounting-in-pr_0.pdf" </w:instrText>
      </w:r>
      <w:r w:rsidRPr="00606EDE">
        <w:rPr>
          <w:sz w:val="20"/>
          <w:szCs w:val="20"/>
        </w:rPr>
        <w:fldChar w:fldCharType="separate"/>
      </w:r>
      <w:r w:rsidRPr="00606EDE">
        <w:rPr>
          <w:rStyle w:val="Hperlink"/>
          <w:sz w:val="20"/>
          <w:szCs w:val="20"/>
        </w:rPr>
        <w:t>https://berec.europa.eu/eng/document_register/subject_matter/berec/download/0/8907-berec-report-regulatory-accounting-in-pr_0.pdf</w:t>
      </w:r>
      <w:r w:rsidRPr="00606EDE">
        <w:rPr>
          <w:sz w:val="20"/>
          <w:szCs w:val="20"/>
        </w:rPr>
        <w:fldChar w:fldCharType="end"/>
      </w:r>
      <w:bookmarkEnd w:id="560"/>
      <w:r>
        <w:t xml:space="preserve"> </w:t>
      </w:r>
    </w:p>
  </w:footnote>
  <w:footnote w:id="147">
    <w:p w14:paraId="0193100B" w14:textId="77777777" w:rsidR="00456678" w:rsidRDefault="00456678" w:rsidP="00D67E10">
      <w:pPr>
        <w:pStyle w:val="Allmrkusetekst"/>
      </w:pPr>
      <w:r w:rsidRPr="003E68CB">
        <w:rPr>
          <w:rStyle w:val="Allmrkuseviide"/>
        </w:rPr>
        <w:footnoteRef/>
      </w:r>
      <w:r>
        <w:t xml:space="preserve"> </w:t>
      </w:r>
      <w:r w:rsidRPr="00F8765A">
        <w:rPr>
          <w:sz w:val="18"/>
          <w:szCs w:val="18"/>
        </w:rPr>
        <w:t>BEREC Report Regulatory Accounting in Practice 201</w:t>
      </w:r>
      <w:r>
        <w:rPr>
          <w:sz w:val="18"/>
          <w:szCs w:val="18"/>
        </w:rPr>
        <w:t>9</w:t>
      </w:r>
      <w:r w:rsidRPr="00F8765A">
        <w:rPr>
          <w:sz w:val="18"/>
          <w:szCs w:val="18"/>
        </w:rPr>
        <w:t xml:space="preserve">, </w:t>
      </w:r>
      <w:r>
        <w:rPr>
          <w:sz w:val="18"/>
          <w:szCs w:val="18"/>
        </w:rPr>
        <w:t>joonis 18</w:t>
      </w:r>
      <w:r w:rsidRPr="00F8765A">
        <w:rPr>
          <w:sz w:val="18"/>
          <w:szCs w:val="18"/>
        </w:rPr>
        <w:t xml:space="preserve"> </w:t>
      </w:r>
      <w:hyperlink r:id="rId45" w:history="1">
        <w:r w:rsidRPr="00606EDE">
          <w:rPr>
            <w:rStyle w:val="Hperlink"/>
            <w:sz w:val="20"/>
            <w:szCs w:val="20"/>
          </w:rPr>
          <w:t>https://berec.europa.eu/eng/document_register/subject_matter/berec/download/0/8907-berec-report-regulatory-accounting-in-pr_0.pdf</w:t>
        </w:r>
      </w:hyperlink>
    </w:p>
  </w:footnote>
  <w:footnote w:id="148">
    <w:p w14:paraId="01DB2EA5" w14:textId="77777777" w:rsidR="00456678" w:rsidRPr="000D6F31" w:rsidRDefault="00456678" w:rsidP="00D67E10">
      <w:pPr>
        <w:pStyle w:val="Allmrkusetekst"/>
        <w:rPr>
          <w:sz w:val="20"/>
          <w:szCs w:val="20"/>
        </w:rPr>
      </w:pPr>
      <w:r w:rsidRPr="003E68CB">
        <w:rPr>
          <w:rStyle w:val="Allmrkuseviide"/>
          <w:sz w:val="20"/>
          <w:szCs w:val="20"/>
        </w:rPr>
        <w:footnoteRef/>
      </w:r>
      <w:r w:rsidRPr="000D6F31">
        <w:rPr>
          <w:sz w:val="20"/>
          <w:szCs w:val="20"/>
        </w:rPr>
        <w:t xml:space="preserve"> Vt peatükk 5.4 „Competition &amp; investment: An analysis of the drivers of superfast broadband“,  WIK-Consult report </w:t>
      </w:r>
      <w:hyperlink r:id="rId46" w:history="1">
        <w:r w:rsidRPr="000D6F31">
          <w:rPr>
            <w:rStyle w:val="Hperlink"/>
            <w:sz w:val="20"/>
            <w:szCs w:val="20"/>
          </w:rPr>
          <w:t>http://www.wik.org/fileadmin/Studien/2015/Competition_and_investment_superfast_broadband.pdf</w:t>
        </w:r>
      </w:hyperlink>
      <w:r w:rsidRPr="000D6F31">
        <w:rPr>
          <w:sz w:val="20"/>
          <w:szCs w:val="20"/>
        </w:rPr>
        <w:t xml:space="preserve"> </w:t>
      </w:r>
    </w:p>
  </w:footnote>
  <w:footnote w:id="149">
    <w:p w14:paraId="50992FB5" w14:textId="77777777" w:rsidR="00456678" w:rsidRDefault="00456678" w:rsidP="00D67E10">
      <w:pPr>
        <w:pStyle w:val="Allmrkusetekst"/>
        <w:rPr>
          <w:i/>
          <w:sz w:val="18"/>
          <w:szCs w:val="18"/>
        </w:rPr>
      </w:pPr>
      <w:r w:rsidRPr="003E68CB">
        <w:rPr>
          <w:rStyle w:val="Allmrkuseviide"/>
        </w:rPr>
        <w:footnoteRef/>
      </w:r>
      <w:r>
        <w:t xml:space="preserve"> </w:t>
      </w:r>
      <w:r w:rsidRPr="0088453D">
        <w:rPr>
          <w:i/>
          <w:sz w:val="18"/>
          <w:szCs w:val="18"/>
        </w:rPr>
        <w:t>European Commision</w:t>
      </w:r>
      <w:r>
        <w:t xml:space="preserve"> </w:t>
      </w:r>
      <w:r w:rsidRPr="0088453D">
        <w:rPr>
          <w:i/>
          <w:sz w:val="18"/>
          <w:szCs w:val="18"/>
        </w:rPr>
        <w:t>Digital Singel Market</w:t>
      </w:r>
      <w:r>
        <w:t xml:space="preserve"> </w:t>
      </w:r>
      <w:r w:rsidRPr="0088453D">
        <w:rPr>
          <w:i/>
          <w:sz w:val="18"/>
          <w:szCs w:val="18"/>
        </w:rPr>
        <w:t>NGA broadband coverage/availability (as a % of households)</w:t>
      </w:r>
    </w:p>
    <w:p w14:paraId="1FC807D6" w14:textId="77777777" w:rsidR="00456678" w:rsidRPr="002C1E3F" w:rsidRDefault="00456678" w:rsidP="00D67E10">
      <w:pPr>
        <w:pStyle w:val="Allmrkusetekst"/>
        <w:rPr>
          <w:sz w:val="18"/>
          <w:szCs w:val="18"/>
        </w:rPr>
      </w:pPr>
      <w:r w:rsidRPr="0088453D">
        <w:rPr>
          <w:i/>
          <w:sz w:val="18"/>
          <w:szCs w:val="18"/>
        </w:rPr>
        <w:t xml:space="preserve"> https://digital-agenda-data.eu/charts/analyse-one-indicator-and-compare-countries#chart={"indicator-group":"broadband","indicator":"bb_ngacov","breakdown":"total_pophh","unit-measure":"pc_hh_all","ref-area":["AT","BE","BG","HR","CY","CZ","DK","EE","EU","FI","FR","DE","EL","HU","IS","IE","IT","LV","LT","LU","MT","NL","NO","PL","PT","RO","SK","SI","ES","SE","UK"]}</w:t>
      </w:r>
    </w:p>
  </w:footnote>
  <w:footnote w:id="150">
    <w:p w14:paraId="57E15623" w14:textId="77777777" w:rsidR="00456678" w:rsidRPr="00472473" w:rsidRDefault="00456678" w:rsidP="00D67E10">
      <w:pPr>
        <w:pStyle w:val="Allmrkusetekst"/>
        <w:rPr>
          <w:sz w:val="18"/>
          <w:szCs w:val="18"/>
        </w:rPr>
      </w:pPr>
      <w:r>
        <w:rPr>
          <w:rStyle w:val="Allmrkuseviide"/>
        </w:rPr>
        <w:footnoteRef/>
      </w:r>
      <w:r>
        <w:t xml:space="preserve"> </w:t>
      </w:r>
      <w:r w:rsidRPr="00472473">
        <w:rPr>
          <w:sz w:val="18"/>
          <w:szCs w:val="18"/>
        </w:rPr>
        <w:t xml:space="preserve">ESS § 135 lõike 1 alusel peab TJA tagama, et toiming või meede on mõistlik ja otstarbeks, mittediskrimineeriv ja läbipaistev. </w:t>
      </w:r>
      <w:r>
        <w:rPr>
          <w:sz w:val="18"/>
          <w:szCs w:val="18"/>
        </w:rPr>
        <w:t xml:space="preserve">ESS § 52 lõike 2 alusel </w:t>
      </w:r>
      <w:r w:rsidRPr="00BF73BD">
        <w:rPr>
          <w:sz w:val="18"/>
          <w:szCs w:val="18"/>
        </w:rPr>
        <w:t xml:space="preserve"> </w:t>
      </w:r>
      <w:r>
        <w:rPr>
          <w:sz w:val="18"/>
          <w:szCs w:val="18"/>
        </w:rPr>
        <w:t xml:space="preserve">kehtestades hinnakohustused </w:t>
      </w:r>
      <w:r w:rsidRPr="00BF73BD">
        <w:rPr>
          <w:sz w:val="18"/>
          <w:szCs w:val="18"/>
        </w:rPr>
        <w:t xml:space="preserve">ja soodustades sideettevõtja investeerimist järgmise põlvkonna sidevõrkudesse, võtab </w:t>
      </w:r>
      <w:r>
        <w:rPr>
          <w:sz w:val="18"/>
          <w:szCs w:val="18"/>
        </w:rPr>
        <w:t>TJA</w:t>
      </w:r>
      <w:r w:rsidRPr="00BF73BD">
        <w:rPr>
          <w:sz w:val="18"/>
          <w:szCs w:val="18"/>
        </w:rPr>
        <w:t xml:space="preserve"> arvesse sideettevõtja tehtud investeeringuid ja seda, et märkimisväärse turujõuga ettevõtjal peab olema võimalik teenida otstarbekalt kasutatud kapitalilt mõistlikku kasumit, võttes arvesse kaasnevaid riske, mis on omased nimetud konkreetse uue võrguprojekti investeeringutele. Samuti lähtub </w:t>
      </w:r>
      <w:r>
        <w:rPr>
          <w:sz w:val="18"/>
          <w:szCs w:val="18"/>
        </w:rPr>
        <w:t>TJA</w:t>
      </w:r>
      <w:r w:rsidRPr="00BF73BD">
        <w:rPr>
          <w:sz w:val="18"/>
          <w:szCs w:val="18"/>
        </w:rPr>
        <w:t xml:space="preserve"> </w:t>
      </w:r>
      <w:r>
        <w:rPr>
          <w:sz w:val="18"/>
          <w:szCs w:val="18"/>
        </w:rPr>
        <w:t>hinna</w:t>
      </w:r>
      <w:r w:rsidRPr="00BF73BD">
        <w:rPr>
          <w:sz w:val="18"/>
          <w:szCs w:val="18"/>
        </w:rPr>
        <w:t>kohustuste kehtestamisel põhimõttest, et igasugune nõutav kulude katmise mehhanism või hinna kujundamise m</w:t>
      </w:r>
      <w:r>
        <w:rPr>
          <w:sz w:val="18"/>
          <w:szCs w:val="18"/>
        </w:rPr>
        <w:t>e</w:t>
      </w:r>
      <w:r w:rsidRPr="00BF73BD">
        <w:rPr>
          <w:sz w:val="18"/>
          <w:szCs w:val="18"/>
        </w:rPr>
        <w:t>etod peab teenima efektiivse ja pideva konkurentsi huvi ja suurend</w:t>
      </w:r>
      <w:r>
        <w:rPr>
          <w:sz w:val="18"/>
          <w:szCs w:val="18"/>
        </w:rPr>
        <w:t>ama tarbijate kasu.</w:t>
      </w:r>
    </w:p>
  </w:footnote>
  <w:footnote w:id="151">
    <w:p w14:paraId="7AB25BCC" w14:textId="77777777" w:rsidR="00456678" w:rsidRPr="009F75FD" w:rsidRDefault="00456678" w:rsidP="00D67E10">
      <w:pPr>
        <w:pStyle w:val="Allmrkusetekst"/>
        <w:rPr>
          <w:sz w:val="18"/>
          <w:szCs w:val="18"/>
        </w:rPr>
      </w:pPr>
      <w:r w:rsidRPr="003E68CB">
        <w:rPr>
          <w:rStyle w:val="Allmrkuseviide"/>
        </w:rPr>
        <w:footnoteRef/>
      </w:r>
      <w:r>
        <w:t xml:space="preserve"> </w:t>
      </w:r>
      <w:r w:rsidRPr="009F75FD">
        <w:rPr>
          <w:sz w:val="18"/>
          <w:szCs w:val="18"/>
        </w:rPr>
        <w:t xml:space="preserve">EK soovituse punkt 40 sätestab nõuded, mis peavad olema täidetud, kui kasutatakse </w:t>
      </w:r>
      <w:r w:rsidRPr="001F4B27">
        <w:rPr>
          <w:i/>
          <w:sz w:val="18"/>
          <w:szCs w:val="18"/>
        </w:rPr>
        <w:t>BU LRIC+</w:t>
      </w:r>
      <w:r w:rsidRPr="009F75FD">
        <w:rPr>
          <w:sz w:val="18"/>
          <w:szCs w:val="18"/>
        </w:rPr>
        <w:t xml:space="preserve"> meetodist erinevat meetodit, Eesti puhul </w:t>
      </w:r>
      <w:r w:rsidRPr="001F4B27">
        <w:rPr>
          <w:i/>
          <w:sz w:val="18"/>
          <w:szCs w:val="18"/>
        </w:rPr>
        <w:t>TD HC FDC</w:t>
      </w:r>
    </w:p>
  </w:footnote>
  <w:footnote w:id="152">
    <w:p w14:paraId="27788E35" w14:textId="77777777" w:rsidR="00456678" w:rsidRDefault="00456678" w:rsidP="00D67E10">
      <w:pPr>
        <w:pStyle w:val="Allmrkusetekst"/>
      </w:pPr>
      <w:r w:rsidRPr="003E68CB">
        <w:rPr>
          <w:rStyle w:val="Allmrkuseviide"/>
        </w:rPr>
        <w:footnoteRef/>
      </w:r>
      <w:r>
        <w:t xml:space="preserve"> </w:t>
      </w:r>
      <w:r w:rsidRPr="00ED0B7E">
        <w:rPr>
          <w:sz w:val="18"/>
          <w:szCs w:val="18"/>
        </w:rPr>
        <w:t>Vaskpaarvõrgu kasutuse mahu vähenemisel ja kogukulude samaks jäädes hakkaksid vaskpaari ühiku kulud ja hind tõusma, kuna ühiku kulu = kogukulud / vaskpaaride kasutuse maht</w:t>
      </w:r>
    </w:p>
  </w:footnote>
  <w:footnote w:id="153">
    <w:p w14:paraId="56F44CB6" w14:textId="77777777" w:rsidR="00456678" w:rsidRDefault="00456678" w:rsidP="00D67E10">
      <w:pPr>
        <w:pStyle w:val="Allmrkusetekst"/>
      </w:pPr>
      <w:r w:rsidRPr="003E68CB">
        <w:rPr>
          <w:rStyle w:val="Allmrkuseviide"/>
        </w:rPr>
        <w:footnoteRef/>
      </w:r>
      <w:r>
        <w:t xml:space="preserve"> </w:t>
      </w:r>
      <w:r w:rsidRPr="00EA6C41">
        <w:rPr>
          <w:sz w:val="18"/>
          <w:szCs w:val="18"/>
        </w:rPr>
        <w:t>Vt lõik 342 punkt 8,</w:t>
      </w:r>
      <w:r>
        <w:t xml:space="preserve"> </w:t>
      </w:r>
      <w:hyperlink r:id="rId47" w:history="1">
        <w:r w:rsidRPr="00EA6C41">
          <w:rPr>
            <w:rStyle w:val="Hperlink"/>
            <w:sz w:val="18"/>
            <w:szCs w:val="18"/>
          </w:rPr>
          <w:t>https://www.ttja.ee/sites/default/files/content-editors/Sideturg/II/lisa_1._t3a_turu_analuus_mte_maaramine_ja_kohustused_veebi.pdf</w:t>
        </w:r>
      </w:hyperlink>
      <w:r>
        <w:t xml:space="preserve"> </w:t>
      </w:r>
    </w:p>
  </w:footnote>
  <w:footnote w:id="154">
    <w:p w14:paraId="752FCA90" w14:textId="77777777" w:rsidR="00456678" w:rsidRDefault="00456678" w:rsidP="00D67E10">
      <w:pPr>
        <w:pStyle w:val="Allmrkusetekst"/>
      </w:pPr>
      <w:r>
        <w:rPr>
          <w:rStyle w:val="Allmrkuseviide"/>
        </w:rPr>
        <w:footnoteRef/>
      </w:r>
      <w:r>
        <w:t xml:space="preserve"> </w:t>
      </w:r>
      <w:r w:rsidRPr="0019259E">
        <w:rPr>
          <w:sz w:val="20"/>
          <w:szCs w:val="20"/>
        </w:rPr>
        <w:t>Eelkõige ESS § 52 lõige 2 ja EK kuluarvestuse soovituse lõik 40.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7"/>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8"/>
    <w:lvl w:ilvl="0">
      <w:start w:val="1"/>
      <w:numFmt w:val="bullet"/>
      <w:lvlText w:val=""/>
      <w:lvlJc w:val="left"/>
      <w:pPr>
        <w:tabs>
          <w:tab w:val="num" w:pos="1068"/>
        </w:tabs>
        <w:ind w:left="1068" w:hanging="360"/>
      </w:pPr>
      <w:rPr>
        <w:rFonts w:ascii="Symbol" w:hAnsi="Symbol"/>
        <w:color w:val="auto"/>
        <w:sz w:val="16"/>
        <w:szCs w:val="16"/>
      </w:rPr>
    </w:lvl>
  </w:abstractNum>
  <w:abstractNum w:abstractNumId="2" w15:restartNumberingAfterBreak="0">
    <w:nsid w:val="00000003"/>
    <w:multiLevelType w:val="singleLevel"/>
    <w:tmpl w:val="00000003"/>
    <w:name w:val="WW8Num9"/>
    <w:lvl w:ilvl="0">
      <w:start w:val="1"/>
      <w:numFmt w:val="bullet"/>
      <w:lvlText w:val="•"/>
      <w:lvlJc w:val="left"/>
      <w:pPr>
        <w:tabs>
          <w:tab w:val="num" w:pos="720"/>
        </w:tabs>
        <w:ind w:left="720" w:hanging="360"/>
      </w:pPr>
      <w:rPr>
        <w:rFonts w:ascii="Helvetica 65" w:hAnsi="Helvetica 65"/>
      </w:rPr>
    </w:lvl>
  </w:abstractNum>
  <w:abstractNum w:abstractNumId="3" w15:restartNumberingAfterBreak="0">
    <w:nsid w:val="00000004"/>
    <w:multiLevelType w:val="singleLevel"/>
    <w:tmpl w:val="00000004"/>
    <w:name w:val="WW8Num11"/>
    <w:lvl w:ilvl="0">
      <w:start w:val="1"/>
      <w:numFmt w:val="decimal"/>
      <w:lvlText w:val="%1)"/>
      <w:lvlJc w:val="left"/>
      <w:pPr>
        <w:tabs>
          <w:tab w:val="num" w:pos="720"/>
        </w:tabs>
        <w:ind w:left="720" w:hanging="360"/>
      </w:pPr>
    </w:lvl>
  </w:abstractNum>
  <w:abstractNum w:abstractNumId="4" w15:restartNumberingAfterBreak="0">
    <w:nsid w:val="00000005"/>
    <w:multiLevelType w:val="singleLevel"/>
    <w:tmpl w:val="00000005"/>
    <w:name w:val="WW8Num1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17"/>
    <w:lvl w:ilvl="0">
      <w:start w:val="1"/>
      <w:numFmt w:val="decimal"/>
      <w:pStyle w:val="ListDash"/>
      <w:lvlText w:val="%1)"/>
      <w:lvlJc w:val="left"/>
      <w:pPr>
        <w:tabs>
          <w:tab w:val="num" w:pos="720"/>
        </w:tabs>
        <w:ind w:left="720" w:hanging="360"/>
      </w:pPr>
    </w:lvl>
  </w:abstractNum>
  <w:abstractNum w:abstractNumId="6" w15:restartNumberingAfterBreak="0">
    <w:nsid w:val="00000008"/>
    <w:multiLevelType w:val="multilevel"/>
    <w:tmpl w:val="00000008"/>
    <w:name w:val="WW8Num28"/>
    <w:lvl w:ilvl="0">
      <w:start w:val="1"/>
      <w:numFmt w:val="bullet"/>
      <w:lvlText w:val=""/>
      <w:lvlJc w:val="left"/>
      <w:pPr>
        <w:tabs>
          <w:tab w:val="num" w:pos="786"/>
        </w:tabs>
        <w:ind w:left="786" w:hanging="360"/>
      </w:pPr>
      <w:rPr>
        <w:rFonts w:ascii="Symbol" w:hAnsi="Symbol"/>
      </w:rPr>
    </w:lvl>
    <w:lvl w:ilvl="1">
      <w:start w:val="1"/>
      <w:numFmt w:val="bullet"/>
      <w:lvlText w:val="o"/>
      <w:lvlJc w:val="left"/>
      <w:pPr>
        <w:tabs>
          <w:tab w:val="num" w:pos="1506"/>
        </w:tabs>
        <w:ind w:left="1506" w:hanging="360"/>
      </w:pPr>
      <w:rPr>
        <w:rFonts w:ascii="Courier New" w:hAnsi="Courier New" w:cs="Courier New"/>
      </w:rPr>
    </w:lvl>
    <w:lvl w:ilvl="2">
      <w:start w:val="1"/>
      <w:numFmt w:val="bullet"/>
      <w:lvlText w:val=""/>
      <w:lvlJc w:val="left"/>
      <w:pPr>
        <w:tabs>
          <w:tab w:val="num" w:pos="2226"/>
        </w:tabs>
        <w:ind w:left="2226" w:hanging="360"/>
      </w:pPr>
      <w:rPr>
        <w:rFonts w:ascii="Wingdings" w:hAnsi="Wingdings"/>
      </w:rPr>
    </w:lvl>
    <w:lvl w:ilvl="3">
      <w:start w:val="1"/>
      <w:numFmt w:val="bullet"/>
      <w:lvlText w:val=""/>
      <w:lvlJc w:val="left"/>
      <w:pPr>
        <w:tabs>
          <w:tab w:val="num" w:pos="2946"/>
        </w:tabs>
        <w:ind w:left="2946" w:hanging="360"/>
      </w:pPr>
      <w:rPr>
        <w:rFonts w:ascii="Symbol" w:hAnsi="Symbol"/>
      </w:rPr>
    </w:lvl>
    <w:lvl w:ilvl="4">
      <w:start w:val="1"/>
      <w:numFmt w:val="bullet"/>
      <w:lvlText w:val="o"/>
      <w:lvlJc w:val="left"/>
      <w:pPr>
        <w:tabs>
          <w:tab w:val="num" w:pos="3666"/>
        </w:tabs>
        <w:ind w:left="3666" w:hanging="360"/>
      </w:pPr>
      <w:rPr>
        <w:rFonts w:ascii="Courier New" w:hAnsi="Courier New" w:cs="Courier New"/>
      </w:rPr>
    </w:lvl>
    <w:lvl w:ilvl="5">
      <w:start w:val="1"/>
      <w:numFmt w:val="bullet"/>
      <w:lvlText w:val=""/>
      <w:lvlJc w:val="left"/>
      <w:pPr>
        <w:tabs>
          <w:tab w:val="num" w:pos="4386"/>
        </w:tabs>
        <w:ind w:left="4386" w:hanging="360"/>
      </w:pPr>
      <w:rPr>
        <w:rFonts w:ascii="Wingdings" w:hAnsi="Wingdings"/>
      </w:rPr>
    </w:lvl>
    <w:lvl w:ilvl="6">
      <w:start w:val="1"/>
      <w:numFmt w:val="bullet"/>
      <w:lvlText w:val=""/>
      <w:lvlJc w:val="left"/>
      <w:pPr>
        <w:tabs>
          <w:tab w:val="num" w:pos="5106"/>
        </w:tabs>
        <w:ind w:left="5106" w:hanging="360"/>
      </w:pPr>
      <w:rPr>
        <w:rFonts w:ascii="Symbol" w:hAnsi="Symbol"/>
      </w:rPr>
    </w:lvl>
    <w:lvl w:ilvl="7">
      <w:start w:val="1"/>
      <w:numFmt w:val="bullet"/>
      <w:lvlText w:val="o"/>
      <w:lvlJc w:val="left"/>
      <w:pPr>
        <w:tabs>
          <w:tab w:val="num" w:pos="5826"/>
        </w:tabs>
        <w:ind w:left="5826" w:hanging="360"/>
      </w:pPr>
      <w:rPr>
        <w:rFonts w:ascii="Courier New" w:hAnsi="Courier New" w:cs="Courier New"/>
      </w:rPr>
    </w:lvl>
    <w:lvl w:ilvl="8">
      <w:start w:val="1"/>
      <w:numFmt w:val="bullet"/>
      <w:lvlText w:val=""/>
      <w:lvlJc w:val="left"/>
      <w:pPr>
        <w:tabs>
          <w:tab w:val="num" w:pos="6546"/>
        </w:tabs>
        <w:ind w:left="6546" w:hanging="360"/>
      </w:pPr>
      <w:rPr>
        <w:rFonts w:ascii="Wingdings" w:hAnsi="Wingdings"/>
      </w:rPr>
    </w:lvl>
  </w:abstractNum>
  <w:abstractNum w:abstractNumId="7" w15:restartNumberingAfterBreak="0">
    <w:nsid w:val="0000000A"/>
    <w:multiLevelType w:val="singleLevel"/>
    <w:tmpl w:val="0000000A"/>
    <w:name w:val="WW8Num31"/>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B"/>
    <w:multiLevelType w:val="singleLevel"/>
    <w:tmpl w:val="0000000B"/>
    <w:name w:val="WW8Num33"/>
    <w:lvl w:ilvl="0">
      <w:start w:val="1"/>
      <w:numFmt w:val="decimal"/>
      <w:lvlText w:val="%1)"/>
      <w:lvlJc w:val="left"/>
      <w:pPr>
        <w:tabs>
          <w:tab w:val="num" w:pos="1080"/>
        </w:tabs>
        <w:ind w:left="1080" w:hanging="360"/>
      </w:pPr>
    </w:lvl>
  </w:abstractNum>
  <w:abstractNum w:abstractNumId="9" w15:restartNumberingAfterBreak="0">
    <w:nsid w:val="0000000E"/>
    <w:multiLevelType w:val="singleLevel"/>
    <w:tmpl w:val="0000000E"/>
    <w:name w:val="WW8Num37"/>
    <w:lvl w:ilvl="0">
      <w:start w:val="1"/>
      <w:numFmt w:val="decimal"/>
      <w:lvlText w:val="%1)"/>
      <w:lvlJc w:val="left"/>
      <w:pPr>
        <w:tabs>
          <w:tab w:val="num" w:pos="720"/>
        </w:tabs>
        <w:ind w:left="720" w:hanging="360"/>
      </w:pPr>
    </w:lvl>
  </w:abstractNum>
  <w:abstractNum w:abstractNumId="10" w15:restartNumberingAfterBreak="0">
    <w:nsid w:val="0000000F"/>
    <w:multiLevelType w:val="singleLevel"/>
    <w:tmpl w:val="0000000F"/>
    <w:name w:val="WW8Num38"/>
    <w:lvl w:ilvl="0">
      <w:start w:val="1"/>
      <w:numFmt w:val="decimal"/>
      <w:lvlText w:val="%1)"/>
      <w:lvlJc w:val="left"/>
      <w:pPr>
        <w:tabs>
          <w:tab w:val="num" w:pos="1080"/>
        </w:tabs>
        <w:ind w:left="1080" w:hanging="360"/>
      </w:pPr>
      <w:rPr>
        <w:color w:val="auto"/>
      </w:rPr>
    </w:lvl>
  </w:abstractNum>
  <w:abstractNum w:abstractNumId="11" w15:restartNumberingAfterBreak="0">
    <w:nsid w:val="01E7350D"/>
    <w:multiLevelType w:val="hybridMultilevel"/>
    <w:tmpl w:val="13A29E78"/>
    <w:lvl w:ilvl="0" w:tplc="6D805574">
      <w:start w:val="1"/>
      <w:numFmt w:val="lowerLetter"/>
      <w:lvlText w:val="%1)"/>
      <w:lvlJc w:val="left"/>
      <w:pPr>
        <w:ind w:left="900" w:hanging="360"/>
      </w:pPr>
      <w:rPr>
        <w:rFonts w:hint="default"/>
      </w:rPr>
    </w:lvl>
    <w:lvl w:ilvl="1" w:tplc="C9E627EA">
      <w:start w:val="1"/>
      <w:numFmt w:val="decimal"/>
      <w:lvlText w:val="%2)"/>
      <w:lvlJc w:val="left"/>
      <w:pPr>
        <w:ind w:left="1620" w:hanging="360"/>
      </w:pPr>
      <w:rPr>
        <w:rFonts w:hint="default"/>
      </w:rPr>
    </w:lvl>
    <w:lvl w:ilvl="2" w:tplc="0425001B" w:tentative="1">
      <w:start w:val="1"/>
      <w:numFmt w:val="lowerRoman"/>
      <w:lvlText w:val="%3."/>
      <w:lvlJc w:val="right"/>
      <w:pPr>
        <w:ind w:left="2340" w:hanging="180"/>
      </w:pPr>
    </w:lvl>
    <w:lvl w:ilvl="3" w:tplc="0425000F" w:tentative="1">
      <w:start w:val="1"/>
      <w:numFmt w:val="decimal"/>
      <w:lvlText w:val="%4."/>
      <w:lvlJc w:val="left"/>
      <w:pPr>
        <w:ind w:left="3060" w:hanging="360"/>
      </w:pPr>
    </w:lvl>
    <w:lvl w:ilvl="4" w:tplc="04250019" w:tentative="1">
      <w:start w:val="1"/>
      <w:numFmt w:val="lowerLetter"/>
      <w:lvlText w:val="%5."/>
      <w:lvlJc w:val="left"/>
      <w:pPr>
        <w:ind w:left="3780" w:hanging="360"/>
      </w:pPr>
    </w:lvl>
    <w:lvl w:ilvl="5" w:tplc="0425001B" w:tentative="1">
      <w:start w:val="1"/>
      <w:numFmt w:val="lowerRoman"/>
      <w:lvlText w:val="%6."/>
      <w:lvlJc w:val="right"/>
      <w:pPr>
        <w:ind w:left="4500" w:hanging="180"/>
      </w:pPr>
    </w:lvl>
    <w:lvl w:ilvl="6" w:tplc="0425000F" w:tentative="1">
      <w:start w:val="1"/>
      <w:numFmt w:val="decimal"/>
      <w:lvlText w:val="%7."/>
      <w:lvlJc w:val="left"/>
      <w:pPr>
        <w:ind w:left="5220" w:hanging="360"/>
      </w:pPr>
    </w:lvl>
    <w:lvl w:ilvl="7" w:tplc="04250019" w:tentative="1">
      <w:start w:val="1"/>
      <w:numFmt w:val="lowerLetter"/>
      <w:lvlText w:val="%8."/>
      <w:lvlJc w:val="left"/>
      <w:pPr>
        <w:ind w:left="5940" w:hanging="360"/>
      </w:pPr>
    </w:lvl>
    <w:lvl w:ilvl="8" w:tplc="0425001B" w:tentative="1">
      <w:start w:val="1"/>
      <w:numFmt w:val="lowerRoman"/>
      <w:lvlText w:val="%9."/>
      <w:lvlJc w:val="right"/>
      <w:pPr>
        <w:ind w:left="6660" w:hanging="180"/>
      </w:pPr>
    </w:lvl>
  </w:abstractNum>
  <w:abstractNum w:abstractNumId="12" w15:restartNumberingAfterBreak="0">
    <w:nsid w:val="06DB22E4"/>
    <w:multiLevelType w:val="hybridMultilevel"/>
    <w:tmpl w:val="5E507BC2"/>
    <w:lvl w:ilvl="0" w:tplc="0425000F">
      <w:start w:val="1"/>
      <w:numFmt w:val="decimal"/>
      <w:lvlText w:val="%1."/>
      <w:lvlJc w:val="left"/>
      <w:pPr>
        <w:ind w:left="1176" w:hanging="360"/>
      </w:pPr>
      <w:rPr>
        <w:rFonts w:hint="default"/>
      </w:rPr>
    </w:lvl>
    <w:lvl w:ilvl="1" w:tplc="04250019" w:tentative="1">
      <w:start w:val="1"/>
      <w:numFmt w:val="lowerLetter"/>
      <w:lvlText w:val="%2."/>
      <w:lvlJc w:val="left"/>
      <w:pPr>
        <w:ind w:left="1896" w:hanging="360"/>
      </w:pPr>
    </w:lvl>
    <w:lvl w:ilvl="2" w:tplc="0425001B" w:tentative="1">
      <w:start w:val="1"/>
      <w:numFmt w:val="lowerRoman"/>
      <w:lvlText w:val="%3."/>
      <w:lvlJc w:val="right"/>
      <w:pPr>
        <w:ind w:left="2616" w:hanging="180"/>
      </w:pPr>
    </w:lvl>
    <w:lvl w:ilvl="3" w:tplc="0425000F" w:tentative="1">
      <w:start w:val="1"/>
      <w:numFmt w:val="decimal"/>
      <w:lvlText w:val="%4."/>
      <w:lvlJc w:val="left"/>
      <w:pPr>
        <w:ind w:left="3336" w:hanging="360"/>
      </w:pPr>
    </w:lvl>
    <w:lvl w:ilvl="4" w:tplc="04250019" w:tentative="1">
      <w:start w:val="1"/>
      <w:numFmt w:val="lowerLetter"/>
      <w:lvlText w:val="%5."/>
      <w:lvlJc w:val="left"/>
      <w:pPr>
        <w:ind w:left="4056" w:hanging="360"/>
      </w:pPr>
    </w:lvl>
    <w:lvl w:ilvl="5" w:tplc="0425001B" w:tentative="1">
      <w:start w:val="1"/>
      <w:numFmt w:val="lowerRoman"/>
      <w:lvlText w:val="%6."/>
      <w:lvlJc w:val="right"/>
      <w:pPr>
        <w:ind w:left="4776" w:hanging="180"/>
      </w:pPr>
    </w:lvl>
    <w:lvl w:ilvl="6" w:tplc="0425000F" w:tentative="1">
      <w:start w:val="1"/>
      <w:numFmt w:val="decimal"/>
      <w:lvlText w:val="%7."/>
      <w:lvlJc w:val="left"/>
      <w:pPr>
        <w:ind w:left="5496" w:hanging="360"/>
      </w:pPr>
    </w:lvl>
    <w:lvl w:ilvl="7" w:tplc="04250019" w:tentative="1">
      <w:start w:val="1"/>
      <w:numFmt w:val="lowerLetter"/>
      <w:lvlText w:val="%8."/>
      <w:lvlJc w:val="left"/>
      <w:pPr>
        <w:ind w:left="6216" w:hanging="360"/>
      </w:pPr>
    </w:lvl>
    <w:lvl w:ilvl="8" w:tplc="0425001B" w:tentative="1">
      <w:start w:val="1"/>
      <w:numFmt w:val="lowerRoman"/>
      <w:lvlText w:val="%9."/>
      <w:lvlJc w:val="right"/>
      <w:pPr>
        <w:ind w:left="6936" w:hanging="180"/>
      </w:pPr>
    </w:lvl>
  </w:abstractNum>
  <w:abstractNum w:abstractNumId="13" w15:restartNumberingAfterBreak="0">
    <w:nsid w:val="0E0E517B"/>
    <w:multiLevelType w:val="hybridMultilevel"/>
    <w:tmpl w:val="581CAA82"/>
    <w:lvl w:ilvl="0" w:tplc="04250011">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14" w15:restartNumberingAfterBreak="0">
    <w:nsid w:val="0F1C6492"/>
    <w:multiLevelType w:val="hybridMultilevel"/>
    <w:tmpl w:val="D1C4D9B8"/>
    <w:lvl w:ilvl="0" w:tplc="02D4CCA6">
      <w:start w:val="1"/>
      <w:numFmt w:val="decimal"/>
      <w:lvlText w:val="%1."/>
      <w:lvlJc w:val="left"/>
      <w:pPr>
        <w:ind w:left="360" w:hanging="360"/>
      </w:pPr>
      <w:rPr>
        <w:b w:val="0"/>
        <w:i w:val="0"/>
        <w:iCs/>
        <w:strike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 w15:restartNumberingAfterBreak="0">
    <w:nsid w:val="195B6E6A"/>
    <w:multiLevelType w:val="multilevel"/>
    <w:tmpl w:val="399A32D4"/>
    <w:lvl w:ilvl="0">
      <w:start w:val="1"/>
      <w:numFmt w:val="decimal"/>
      <w:lvlText w:val="%1."/>
      <w:lvlJc w:val="left"/>
      <w:pPr>
        <w:ind w:left="375" w:hanging="375"/>
      </w:pPr>
      <w:rPr>
        <w:rFonts w:hint="default"/>
      </w:rPr>
    </w:lvl>
    <w:lvl w:ilvl="1">
      <w:start w:val="1"/>
      <w:numFmt w:val="decimal"/>
      <w:lvlText w:val="%1.%2)"/>
      <w:lvlJc w:val="left"/>
      <w:pPr>
        <w:ind w:left="1896" w:hanging="720"/>
      </w:pPr>
      <w:rPr>
        <w:rFonts w:hint="default"/>
      </w:rPr>
    </w:lvl>
    <w:lvl w:ilvl="2">
      <w:start w:val="1"/>
      <w:numFmt w:val="decimal"/>
      <w:lvlText w:val="%1.%2)%3."/>
      <w:lvlJc w:val="left"/>
      <w:pPr>
        <w:ind w:left="3072" w:hanging="720"/>
      </w:pPr>
      <w:rPr>
        <w:rFonts w:hint="default"/>
      </w:rPr>
    </w:lvl>
    <w:lvl w:ilvl="3">
      <w:start w:val="1"/>
      <w:numFmt w:val="decimal"/>
      <w:lvlText w:val="%1.%2)%3.%4."/>
      <w:lvlJc w:val="left"/>
      <w:pPr>
        <w:ind w:left="4608" w:hanging="1080"/>
      </w:pPr>
      <w:rPr>
        <w:rFonts w:hint="default"/>
      </w:rPr>
    </w:lvl>
    <w:lvl w:ilvl="4">
      <w:start w:val="1"/>
      <w:numFmt w:val="decimal"/>
      <w:lvlText w:val="%1.%2)%3.%4.%5."/>
      <w:lvlJc w:val="left"/>
      <w:pPr>
        <w:ind w:left="5784" w:hanging="1080"/>
      </w:pPr>
      <w:rPr>
        <w:rFonts w:hint="default"/>
      </w:rPr>
    </w:lvl>
    <w:lvl w:ilvl="5">
      <w:start w:val="1"/>
      <w:numFmt w:val="decimal"/>
      <w:lvlText w:val="%1.%2)%3.%4.%5.%6."/>
      <w:lvlJc w:val="left"/>
      <w:pPr>
        <w:ind w:left="7320" w:hanging="1440"/>
      </w:pPr>
      <w:rPr>
        <w:rFonts w:hint="default"/>
      </w:rPr>
    </w:lvl>
    <w:lvl w:ilvl="6">
      <w:start w:val="1"/>
      <w:numFmt w:val="decimal"/>
      <w:lvlText w:val="%1.%2)%3.%4.%5.%6.%7."/>
      <w:lvlJc w:val="left"/>
      <w:pPr>
        <w:ind w:left="8496" w:hanging="1440"/>
      </w:pPr>
      <w:rPr>
        <w:rFonts w:hint="default"/>
      </w:rPr>
    </w:lvl>
    <w:lvl w:ilvl="7">
      <w:start w:val="1"/>
      <w:numFmt w:val="decimal"/>
      <w:lvlText w:val="%1.%2)%3.%4.%5.%6.%7.%8."/>
      <w:lvlJc w:val="left"/>
      <w:pPr>
        <w:ind w:left="10032" w:hanging="1800"/>
      </w:pPr>
      <w:rPr>
        <w:rFonts w:hint="default"/>
      </w:rPr>
    </w:lvl>
    <w:lvl w:ilvl="8">
      <w:start w:val="1"/>
      <w:numFmt w:val="decimal"/>
      <w:lvlText w:val="%1.%2)%3.%4.%5.%6.%7.%8.%9."/>
      <w:lvlJc w:val="left"/>
      <w:pPr>
        <w:ind w:left="11208" w:hanging="1800"/>
      </w:pPr>
      <w:rPr>
        <w:rFonts w:hint="default"/>
      </w:rPr>
    </w:lvl>
  </w:abstractNum>
  <w:abstractNum w:abstractNumId="16" w15:restartNumberingAfterBreak="0">
    <w:nsid w:val="1C3E3348"/>
    <w:multiLevelType w:val="hybridMultilevel"/>
    <w:tmpl w:val="41A0075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C4120A5"/>
    <w:multiLevelType w:val="hybridMultilevel"/>
    <w:tmpl w:val="284078A0"/>
    <w:lvl w:ilvl="0" w:tplc="04250017">
      <w:start w:val="1"/>
      <w:numFmt w:val="lowerLetter"/>
      <w:lvlText w:val="%1)"/>
      <w:lvlJc w:val="left"/>
      <w:pPr>
        <w:ind w:left="2072" w:hanging="360"/>
      </w:pPr>
      <w:rPr>
        <w:rFonts w:hint="default"/>
      </w:rPr>
    </w:lvl>
    <w:lvl w:ilvl="1" w:tplc="04250019">
      <w:start w:val="1"/>
      <w:numFmt w:val="lowerLetter"/>
      <w:lvlText w:val="%2."/>
      <w:lvlJc w:val="left"/>
      <w:pPr>
        <w:ind w:left="2792" w:hanging="360"/>
      </w:pPr>
    </w:lvl>
    <w:lvl w:ilvl="2" w:tplc="0425001B" w:tentative="1">
      <w:start w:val="1"/>
      <w:numFmt w:val="lowerRoman"/>
      <w:lvlText w:val="%3."/>
      <w:lvlJc w:val="right"/>
      <w:pPr>
        <w:ind w:left="3512" w:hanging="180"/>
      </w:pPr>
    </w:lvl>
    <w:lvl w:ilvl="3" w:tplc="0425000F" w:tentative="1">
      <w:start w:val="1"/>
      <w:numFmt w:val="decimal"/>
      <w:lvlText w:val="%4."/>
      <w:lvlJc w:val="left"/>
      <w:pPr>
        <w:ind w:left="4232" w:hanging="360"/>
      </w:pPr>
    </w:lvl>
    <w:lvl w:ilvl="4" w:tplc="04250019" w:tentative="1">
      <w:start w:val="1"/>
      <w:numFmt w:val="lowerLetter"/>
      <w:lvlText w:val="%5."/>
      <w:lvlJc w:val="left"/>
      <w:pPr>
        <w:ind w:left="4952" w:hanging="360"/>
      </w:pPr>
    </w:lvl>
    <w:lvl w:ilvl="5" w:tplc="0425001B" w:tentative="1">
      <w:start w:val="1"/>
      <w:numFmt w:val="lowerRoman"/>
      <w:lvlText w:val="%6."/>
      <w:lvlJc w:val="right"/>
      <w:pPr>
        <w:ind w:left="5672" w:hanging="180"/>
      </w:pPr>
    </w:lvl>
    <w:lvl w:ilvl="6" w:tplc="0425000F" w:tentative="1">
      <w:start w:val="1"/>
      <w:numFmt w:val="decimal"/>
      <w:lvlText w:val="%7."/>
      <w:lvlJc w:val="left"/>
      <w:pPr>
        <w:ind w:left="6392" w:hanging="360"/>
      </w:pPr>
    </w:lvl>
    <w:lvl w:ilvl="7" w:tplc="04250019" w:tentative="1">
      <w:start w:val="1"/>
      <w:numFmt w:val="lowerLetter"/>
      <w:lvlText w:val="%8."/>
      <w:lvlJc w:val="left"/>
      <w:pPr>
        <w:ind w:left="7112" w:hanging="360"/>
      </w:pPr>
    </w:lvl>
    <w:lvl w:ilvl="8" w:tplc="0425001B" w:tentative="1">
      <w:start w:val="1"/>
      <w:numFmt w:val="lowerRoman"/>
      <w:lvlText w:val="%9."/>
      <w:lvlJc w:val="right"/>
      <w:pPr>
        <w:ind w:left="7832" w:hanging="180"/>
      </w:pPr>
    </w:lvl>
  </w:abstractNum>
  <w:abstractNum w:abstractNumId="18" w15:restartNumberingAfterBreak="0">
    <w:nsid w:val="242852FC"/>
    <w:multiLevelType w:val="multilevel"/>
    <w:tmpl w:val="B76A12D2"/>
    <w:lvl w:ilvl="0">
      <w:start w:val="2"/>
      <w:numFmt w:val="decimal"/>
      <w:lvlText w:val="%1."/>
      <w:lvlJc w:val="left"/>
      <w:pPr>
        <w:ind w:left="375" w:hanging="375"/>
      </w:pPr>
      <w:rPr>
        <w:rFonts w:hint="default"/>
      </w:rPr>
    </w:lvl>
    <w:lvl w:ilvl="1">
      <w:start w:val="1"/>
      <w:numFmt w:val="decimal"/>
      <w:lvlText w:val="%1.%2)"/>
      <w:lvlJc w:val="left"/>
      <w:pPr>
        <w:ind w:left="1896" w:hanging="720"/>
      </w:pPr>
      <w:rPr>
        <w:rFonts w:hint="default"/>
      </w:rPr>
    </w:lvl>
    <w:lvl w:ilvl="2">
      <w:start w:val="1"/>
      <w:numFmt w:val="decimal"/>
      <w:lvlText w:val="%1.%2)%3."/>
      <w:lvlJc w:val="left"/>
      <w:pPr>
        <w:ind w:left="3072" w:hanging="720"/>
      </w:pPr>
      <w:rPr>
        <w:rFonts w:hint="default"/>
      </w:rPr>
    </w:lvl>
    <w:lvl w:ilvl="3">
      <w:start w:val="1"/>
      <w:numFmt w:val="decimal"/>
      <w:lvlText w:val="%1.%2)%3.%4."/>
      <w:lvlJc w:val="left"/>
      <w:pPr>
        <w:ind w:left="4608" w:hanging="1080"/>
      </w:pPr>
      <w:rPr>
        <w:rFonts w:hint="default"/>
      </w:rPr>
    </w:lvl>
    <w:lvl w:ilvl="4">
      <w:start w:val="1"/>
      <w:numFmt w:val="decimal"/>
      <w:lvlText w:val="%1.%2)%3.%4.%5."/>
      <w:lvlJc w:val="left"/>
      <w:pPr>
        <w:ind w:left="5784" w:hanging="1080"/>
      </w:pPr>
      <w:rPr>
        <w:rFonts w:hint="default"/>
      </w:rPr>
    </w:lvl>
    <w:lvl w:ilvl="5">
      <w:start w:val="1"/>
      <w:numFmt w:val="decimal"/>
      <w:lvlText w:val="%1.%2)%3.%4.%5.%6."/>
      <w:lvlJc w:val="left"/>
      <w:pPr>
        <w:ind w:left="7320" w:hanging="1440"/>
      </w:pPr>
      <w:rPr>
        <w:rFonts w:hint="default"/>
      </w:rPr>
    </w:lvl>
    <w:lvl w:ilvl="6">
      <w:start w:val="1"/>
      <w:numFmt w:val="decimal"/>
      <w:lvlText w:val="%1.%2)%3.%4.%5.%6.%7."/>
      <w:lvlJc w:val="left"/>
      <w:pPr>
        <w:ind w:left="8496" w:hanging="1440"/>
      </w:pPr>
      <w:rPr>
        <w:rFonts w:hint="default"/>
      </w:rPr>
    </w:lvl>
    <w:lvl w:ilvl="7">
      <w:start w:val="1"/>
      <w:numFmt w:val="decimal"/>
      <w:lvlText w:val="%1.%2)%3.%4.%5.%6.%7.%8."/>
      <w:lvlJc w:val="left"/>
      <w:pPr>
        <w:ind w:left="10032" w:hanging="1800"/>
      </w:pPr>
      <w:rPr>
        <w:rFonts w:hint="default"/>
      </w:rPr>
    </w:lvl>
    <w:lvl w:ilvl="8">
      <w:start w:val="1"/>
      <w:numFmt w:val="decimal"/>
      <w:lvlText w:val="%1.%2)%3.%4.%5.%6.%7.%8.%9."/>
      <w:lvlJc w:val="left"/>
      <w:pPr>
        <w:ind w:left="11208" w:hanging="1800"/>
      </w:pPr>
      <w:rPr>
        <w:rFonts w:hint="default"/>
      </w:rPr>
    </w:lvl>
  </w:abstractNum>
  <w:abstractNum w:abstractNumId="19" w15:restartNumberingAfterBreak="0">
    <w:nsid w:val="257D6540"/>
    <w:multiLevelType w:val="hybridMultilevel"/>
    <w:tmpl w:val="90C2E54C"/>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0" w15:restartNumberingAfterBreak="0">
    <w:nsid w:val="25E62AC4"/>
    <w:multiLevelType w:val="hybridMultilevel"/>
    <w:tmpl w:val="A13276BE"/>
    <w:lvl w:ilvl="0" w:tplc="C8760AB2">
      <w:start w:val="1"/>
      <w:numFmt w:val="decimal"/>
      <w:lvlText w:val="%1)"/>
      <w:lvlJc w:val="left"/>
      <w:pPr>
        <w:ind w:left="1145" w:hanging="360"/>
      </w:pPr>
      <w:rPr>
        <w:rFonts w:hint="default"/>
      </w:rPr>
    </w:lvl>
    <w:lvl w:ilvl="1" w:tplc="04250019" w:tentative="1">
      <w:start w:val="1"/>
      <w:numFmt w:val="lowerLetter"/>
      <w:lvlText w:val="%2."/>
      <w:lvlJc w:val="left"/>
      <w:pPr>
        <w:ind w:left="1865" w:hanging="360"/>
      </w:pPr>
    </w:lvl>
    <w:lvl w:ilvl="2" w:tplc="0425001B" w:tentative="1">
      <w:start w:val="1"/>
      <w:numFmt w:val="lowerRoman"/>
      <w:lvlText w:val="%3."/>
      <w:lvlJc w:val="right"/>
      <w:pPr>
        <w:ind w:left="2585" w:hanging="180"/>
      </w:pPr>
    </w:lvl>
    <w:lvl w:ilvl="3" w:tplc="0425000F" w:tentative="1">
      <w:start w:val="1"/>
      <w:numFmt w:val="decimal"/>
      <w:lvlText w:val="%4."/>
      <w:lvlJc w:val="left"/>
      <w:pPr>
        <w:ind w:left="3305" w:hanging="360"/>
      </w:pPr>
    </w:lvl>
    <w:lvl w:ilvl="4" w:tplc="04250019" w:tentative="1">
      <w:start w:val="1"/>
      <w:numFmt w:val="lowerLetter"/>
      <w:lvlText w:val="%5."/>
      <w:lvlJc w:val="left"/>
      <w:pPr>
        <w:ind w:left="4025" w:hanging="360"/>
      </w:pPr>
    </w:lvl>
    <w:lvl w:ilvl="5" w:tplc="0425001B" w:tentative="1">
      <w:start w:val="1"/>
      <w:numFmt w:val="lowerRoman"/>
      <w:lvlText w:val="%6."/>
      <w:lvlJc w:val="right"/>
      <w:pPr>
        <w:ind w:left="4745" w:hanging="180"/>
      </w:pPr>
    </w:lvl>
    <w:lvl w:ilvl="6" w:tplc="0425000F" w:tentative="1">
      <w:start w:val="1"/>
      <w:numFmt w:val="decimal"/>
      <w:lvlText w:val="%7."/>
      <w:lvlJc w:val="left"/>
      <w:pPr>
        <w:ind w:left="5465" w:hanging="360"/>
      </w:pPr>
    </w:lvl>
    <w:lvl w:ilvl="7" w:tplc="04250019" w:tentative="1">
      <w:start w:val="1"/>
      <w:numFmt w:val="lowerLetter"/>
      <w:lvlText w:val="%8."/>
      <w:lvlJc w:val="left"/>
      <w:pPr>
        <w:ind w:left="6185" w:hanging="360"/>
      </w:pPr>
    </w:lvl>
    <w:lvl w:ilvl="8" w:tplc="0425001B" w:tentative="1">
      <w:start w:val="1"/>
      <w:numFmt w:val="lowerRoman"/>
      <w:lvlText w:val="%9."/>
      <w:lvlJc w:val="right"/>
      <w:pPr>
        <w:ind w:left="6905" w:hanging="180"/>
      </w:pPr>
    </w:lvl>
  </w:abstractNum>
  <w:abstractNum w:abstractNumId="21" w15:restartNumberingAfterBreak="0">
    <w:nsid w:val="26037BE2"/>
    <w:multiLevelType w:val="hybridMultilevel"/>
    <w:tmpl w:val="88C2EE6A"/>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27064FA5"/>
    <w:multiLevelType w:val="hybridMultilevel"/>
    <w:tmpl w:val="3F5C2368"/>
    <w:lvl w:ilvl="0" w:tplc="9DBA7E04">
      <w:start w:val="1"/>
      <w:numFmt w:val="decimal"/>
      <w:lvlText w:val="%1."/>
      <w:lvlJc w:val="left"/>
      <w:pPr>
        <w:ind w:left="360" w:hanging="360"/>
      </w:pPr>
      <w:rPr>
        <w:b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3" w15:restartNumberingAfterBreak="0">
    <w:nsid w:val="28981494"/>
    <w:multiLevelType w:val="hybridMultilevel"/>
    <w:tmpl w:val="C85AD01C"/>
    <w:lvl w:ilvl="0" w:tplc="00000003">
      <w:start w:val="1"/>
      <w:numFmt w:val="bullet"/>
      <w:lvlText w:val="•"/>
      <w:lvlJc w:val="left"/>
      <w:pPr>
        <w:tabs>
          <w:tab w:val="num" w:pos="5970"/>
        </w:tabs>
        <w:ind w:left="5970" w:hanging="360"/>
      </w:pPr>
      <w:rPr>
        <w:rFonts w:ascii="Helvetica 65" w:hAnsi="Helvetica 65" w:hint="default"/>
        <w:sz w:val="22"/>
        <w:szCs w:val="22"/>
      </w:rPr>
    </w:lvl>
    <w:lvl w:ilvl="1" w:tplc="BA16782A" w:tentative="1">
      <w:start w:val="1"/>
      <w:numFmt w:val="bullet"/>
      <w:lvlText w:val="o"/>
      <w:lvlJc w:val="left"/>
      <w:pPr>
        <w:tabs>
          <w:tab w:val="num" w:pos="6690"/>
        </w:tabs>
        <w:ind w:left="6690" w:hanging="360"/>
      </w:pPr>
      <w:rPr>
        <w:rFonts w:ascii="Courier New" w:hAnsi="Courier New" w:cs="Courier New" w:hint="default"/>
      </w:rPr>
    </w:lvl>
    <w:lvl w:ilvl="2" w:tplc="5926823E" w:tentative="1">
      <w:start w:val="1"/>
      <w:numFmt w:val="bullet"/>
      <w:lvlText w:val=""/>
      <w:lvlJc w:val="left"/>
      <w:pPr>
        <w:tabs>
          <w:tab w:val="num" w:pos="7410"/>
        </w:tabs>
        <w:ind w:left="7410" w:hanging="360"/>
      </w:pPr>
      <w:rPr>
        <w:rFonts w:ascii="Wingdings" w:hAnsi="Wingdings" w:hint="default"/>
      </w:rPr>
    </w:lvl>
    <w:lvl w:ilvl="3" w:tplc="01B01DAE" w:tentative="1">
      <w:start w:val="1"/>
      <w:numFmt w:val="bullet"/>
      <w:lvlText w:val=""/>
      <w:lvlJc w:val="left"/>
      <w:pPr>
        <w:tabs>
          <w:tab w:val="num" w:pos="8130"/>
        </w:tabs>
        <w:ind w:left="8130" w:hanging="360"/>
      </w:pPr>
      <w:rPr>
        <w:rFonts w:ascii="Symbol" w:hAnsi="Symbol" w:hint="default"/>
      </w:rPr>
    </w:lvl>
    <w:lvl w:ilvl="4" w:tplc="EF18ED38" w:tentative="1">
      <w:start w:val="1"/>
      <w:numFmt w:val="bullet"/>
      <w:lvlText w:val="o"/>
      <w:lvlJc w:val="left"/>
      <w:pPr>
        <w:tabs>
          <w:tab w:val="num" w:pos="8850"/>
        </w:tabs>
        <w:ind w:left="8850" w:hanging="360"/>
      </w:pPr>
      <w:rPr>
        <w:rFonts w:ascii="Courier New" w:hAnsi="Courier New" w:cs="Courier New" w:hint="default"/>
      </w:rPr>
    </w:lvl>
    <w:lvl w:ilvl="5" w:tplc="280A884E" w:tentative="1">
      <w:start w:val="1"/>
      <w:numFmt w:val="bullet"/>
      <w:lvlText w:val=""/>
      <w:lvlJc w:val="left"/>
      <w:pPr>
        <w:tabs>
          <w:tab w:val="num" w:pos="9570"/>
        </w:tabs>
        <w:ind w:left="9570" w:hanging="360"/>
      </w:pPr>
      <w:rPr>
        <w:rFonts w:ascii="Wingdings" w:hAnsi="Wingdings" w:hint="default"/>
      </w:rPr>
    </w:lvl>
    <w:lvl w:ilvl="6" w:tplc="BC407A90" w:tentative="1">
      <w:start w:val="1"/>
      <w:numFmt w:val="bullet"/>
      <w:lvlText w:val=""/>
      <w:lvlJc w:val="left"/>
      <w:pPr>
        <w:tabs>
          <w:tab w:val="num" w:pos="10290"/>
        </w:tabs>
        <w:ind w:left="10290" w:hanging="360"/>
      </w:pPr>
      <w:rPr>
        <w:rFonts w:ascii="Symbol" w:hAnsi="Symbol" w:hint="default"/>
      </w:rPr>
    </w:lvl>
    <w:lvl w:ilvl="7" w:tplc="794CFEFC" w:tentative="1">
      <w:start w:val="1"/>
      <w:numFmt w:val="bullet"/>
      <w:lvlText w:val="o"/>
      <w:lvlJc w:val="left"/>
      <w:pPr>
        <w:tabs>
          <w:tab w:val="num" w:pos="11010"/>
        </w:tabs>
        <w:ind w:left="11010" w:hanging="360"/>
      </w:pPr>
      <w:rPr>
        <w:rFonts w:ascii="Courier New" w:hAnsi="Courier New" w:cs="Courier New" w:hint="default"/>
      </w:rPr>
    </w:lvl>
    <w:lvl w:ilvl="8" w:tplc="CDDC1146" w:tentative="1">
      <w:start w:val="1"/>
      <w:numFmt w:val="bullet"/>
      <w:lvlText w:val=""/>
      <w:lvlJc w:val="left"/>
      <w:pPr>
        <w:tabs>
          <w:tab w:val="num" w:pos="11730"/>
        </w:tabs>
        <w:ind w:left="11730" w:hanging="360"/>
      </w:pPr>
      <w:rPr>
        <w:rFonts w:ascii="Wingdings" w:hAnsi="Wingdings" w:hint="default"/>
      </w:rPr>
    </w:lvl>
  </w:abstractNum>
  <w:abstractNum w:abstractNumId="24" w15:restartNumberingAfterBreak="0">
    <w:nsid w:val="2B6743D8"/>
    <w:multiLevelType w:val="hybridMultilevel"/>
    <w:tmpl w:val="D3E0C88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EA649C4"/>
    <w:multiLevelType w:val="hybridMultilevel"/>
    <w:tmpl w:val="4A5867B0"/>
    <w:lvl w:ilvl="0" w:tplc="8ECA644A">
      <w:start w:val="1"/>
      <w:numFmt w:val="bullet"/>
      <w:lvlText w:val=""/>
      <w:lvlJc w:val="left"/>
      <w:pPr>
        <w:tabs>
          <w:tab w:val="num" w:pos="720"/>
        </w:tabs>
        <w:ind w:left="720" w:hanging="360"/>
      </w:pPr>
      <w:rPr>
        <w:rFonts w:ascii="Symbol" w:hAnsi="Symbol" w:hint="default"/>
        <w:sz w:val="20"/>
        <w:szCs w:val="20"/>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0794B84"/>
    <w:multiLevelType w:val="hybridMultilevel"/>
    <w:tmpl w:val="69BA729C"/>
    <w:lvl w:ilvl="0" w:tplc="04250011">
      <w:start w:val="1"/>
      <w:numFmt w:val="decimal"/>
      <w:lvlText w:val="%1)"/>
      <w:lvlJc w:val="left"/>
      <w:pPr>
        <w:tabs>
          <w:tab w:val="num" w:pos="720"/>
        </w:tabs>
        <w:ind w:left="720" w:hanging="360"/>
      </w:pPr>
      <w:rPr>
        <w:rFonts w:hint="default"/>
      </w:rPr>
    </w:lvl>
    <w:lvl w:ilvl="1" w:tplc="04250019">
      <w:start w:val="1"/>
      <w:numFmt w:val="lowerLetter"/>
      <w:lvlText w:val="%2."/>
      <w:lvlJc w:val="left"/>
      <w:pPr>
        <w:ind w:left="1440" w:hanging="360"/>
      </w:pPr>
    </w:lvl>
    <w:lvl w:ilvl="2" w:tplc="289C6CBE">
      <w:start w:val="1"/>
      <w:numFmt w:val="decimal"/>
      <w:lvlText w:val="%3."/>
      <w:lvlJc w:val="left"/>
      <w:pPr>
        <w:ind w:left="2340" w:hanging="360"/>
      </w:pPr>
      <w:rPr>
        <w:rFonts w:hint="default"/>
      </w:rPr>
    </w:lvl>
    <w:lvl w:ilvl="3" w:tplc="43A0C902">
      <w:start w:val="6"/>
      <w:numFmt w:val="bullet"/>
      <w:lvlText w:val="-"/>
      <w:lvlJc w:val="left"/>
      <w:pPr>
        <w:ind w:left="2880" w:hanging="360"/>
      </w:pPr>
      <w:rPr>
        <w:rFonts w:ascii="Times New Roman" w:eastAsia="Times New Roman" w:hAnsi="Times New Roman" w:cs="Times New Roman" w:hint="default"/>
        <w:b w:val="0"/>
      </w:r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31A827F4"/>
    <w:multiLevelType w:val="hybridMultilevel"/>
    <w:tmpl w:val="CBE0DE0C"/>
    <w:lvl w:ilvl="0" w:tplc="8BEA3286">
      <w:start w:val="1"/>
      <w:numFmt w:val="decimal"/>
      <w:lvlText w:val="%1)"/>
      <w:lvlJc w:val="left"/>
      <w:pPr>
        <w:ind w:left="900" w:hanging="360"/>
      </w:pPr>
      <w:rPr>
        <w:rFonts w:hint="default"/>
      </w:rPr>
    </w:lvl>
    <w:lvl w:ilvl="1" w:tplc="04250019" w:tentative="1">
      <w:start w:val="1"/>
      <w:numFmt w:val="lowerLetter"/>
      <w:lvlText w:val="%2."/>
      <w:lvlJc w:val="left"/>
      <w:pPr>
        <w:ind w:left="1620" w:hanging="360"/>
      </w:pPr>
    </w:lvl>
    <w:lvl w:ilvl="2" w:tplc="0425001B" w:tentative="1">
      <w:start w:val="1"/>
      <w:numFmt w:val="lowerRoman"/>
      <w:lvlText w:val="%3."/>
      <w:lvlJc w:val="right"/>
      <w:pPr>
        <w:ind w:left="2340" w:hanging="180"/>
      </w:pPr>
    </w:lvl>
    <w:lvl w:ilvl="3" w:tplc="0425000F" w:tentative="1">
      <w:start w:val="1"/>
      <w:numFmt w:val="decimal"/>
      <w:lvlText w:val="%4."/>
      <w:lvlJc w:val="left"/>
      <w:pPr>
        <w:ind w:left="3060" w:hanging="360"/>
      </w:pPr>
    </w:lvl>
    <w:lvl w:ilvl="4" w:tplc="04250019" w:tentative="1">
      <w:start w:val="1"/>
      <w:numFmt w:val="lowerLetter"/>
      <w:lvlText w:val="%5."/>
      <w:lvlJc w:val="left"/>
      <w:pPr>
        <w:ind w:left="3780" w:hanging="360"/>
      </w:pPr>
    </w:lvl>
    <w:lvl w:ilvl="5" w:tplc="0425001B" w:tentative="1">
      <w:start w:val="1"/>
      <w:numFmt w:val="lowerRoman"/>
      <w:lvlText w:val="%6."/>
      <w:lvlJc w:val="right"/>
      <w:pPr>
        <w:ind w:left="4500" w:hanging="180"/>
      </w:pPr>
    </w:lvl>
    <w:lvl w:ilvl="6" w:tplc="0425000F" w:tentative="1">
      <w:start w:val="1"/>
      <w:numFmt w:val="decimal"/>
      <w:lvlText w:val="%7."/>
      <w:lvlJc w:val="left"/>
      <w:pPr>
        <w:ind w:left="5220" w:hanging="360"/>
      </w:pPr>
    </w:lvl>
    <w:lvl w:ilvl="7" w:tplc="04250019" w:tentative="1">
      <w:start w:val="1"/>
      <w:numFmt w:val="lowerLetter"/>
      <w:lvlText w:val="%8."/>
      <w:lvlJc w:val="left"/>
      <w:pPr>
        <w:ind w:left="5940" w:hanging="360"/>
      </w:pPr>
    </w:lvl>
    <w:lvl w:ilvl="8" w:tplc="0425001B" w:tentative="1">
      <w:start w:val="1"/>
      <w:numFmt w:val="lowerRoman"/>
      <w:lvlText w:val="%9."/>
      <w:lvlJc w:val="right"/>
      <w:pPr>
        <w:ind w:left="6660" w:hanging="180"/>
      </w:pPr>
    </w:lvl>
  </w:abstractNum>
  <w:abstractNum w:abstractNumId="28" w15:restartNumberingAfterBreak="0">
    <w:nsid w:val="3CD57FC6"/>
    <w:multiLevelType w:val="hybridMultilevel"/>
    <w:tmpl w:val="B088F878"/>
    <w:lvl w:ilvl="0" w:tplc="04250011">
      <w:start w:val="1"/>
      <w:numFmt w:val="decimal"/>
      <w:lvlText w:val="%1)"/>
      <w:lvlJc w:val="left"/>
      <w:pPr>
        <w:tabs>
          <w:tab w:val="num" w:pos="1068"/>
        </w:tabs>
        <w:ind w:left="1068" w:hanging="360"/>
      </w:pPr>
      <w:rPr>
        <w:rFonts w:hint="default"/>
      </w:rPr>
    </w:lvl>
    <w:lvl w:ilvl="1" w:tplc="04250019" w:tentative="1">
      <w:start w:val="1"/>
      <w:numFmt w:val="lowerLetter"/>
      <w:lvlText w:val="%2."/>
      <w:lvlJc w:val="left"/>
      <w:pPr>
        <w:tabs>
          <w:tab w:val="num" w:pos="1788"/>
        </w:tabs>
        <w:ind w:left="1788" w:hanging="360"/>
      </w:pPr>
    </w:lvl>
    <w:lvl w:ilvl="2" w:tplc="0425001B" w:tentative="1">
      <w:start w:val="1"/>
      <w:numFmt w:val="lowerRoman"/>
      <w:lvlText w:val="%3."/>
      <w:lvlJc w:val="right"/>
      <w:pPr>
        <w:tabs>
          <w:tab w:val="num" w:pos="2508"/>
        </w:tabs>
        <w:ind w:left="2508" w:hanging="180"/>
      </w:pPr>
    </w:lvl>
    <w:lvl w:ilvl="3" w:tplc="0425000F" w:tentative="1">
      <w:start w:val="1"/>
      <w:numFmt w:val="decimal"/>
      <w:lvlText w:val="%4."/>
      <w:lvlJc w:val="left"/>
      <w:pPr>
        <w:tabs>
          <w:tab w:val="num" w:pos="3228"/>
        </w:tabs>
        <w:ind w:left="3228" w:hanging="360"/>
      </w:pPr>
    </w:lvl>
    <w:lvl w:ilvl="4" w:tplc="04250019" w:tentative="1">
      <w:start w:val="1"/>
      <w:numFmt w:val="lowerLetter"/>
      <w:lvlText w:val="%5."/>
      <w:lvlJc w:val="left"/>
      <w:pPr>
        <w:tabs>
          <w:tab w:val="num" w:pos="3948"/>
        </w:tabs>
        <w:ind w:left="3948" w:hanging="360"/>
      </w:pPr>
    </w:lvl>
    <w:lvl w:ilvl="5" w:tplc="0425001B" w:tentative="1">
      <w:start w:val="1"/>
      <w:numFmt w:val="lowerRoman"/>
      <w:lvlText w:val="%6."/>
      <w:lvlJc w:val="right"/>
      <w:pPr>
        <w:tabs>
          <w:tab w:val="num" w:pos="4668"/>
        </w:tabs>
        <w:ind w:left="4668" w:hanging="180"/>
      </w:pPr>
    </w:lvl>
    <w:lvl w:ilvl="6" w:tplc="0425000F" w:tentative="1">
      <w:start w:val="1"/>
      <w:numFmt w:val="decimal"/>
      <w:lvlText w:val="%7."/>
      <w:lvlJc w:val="left"/>
      <w:pPr>
        <w:tabs>
          <w:tab w:val="num" w:pos="5388"/>
        </w:tabs>
        <w:ind w:left="5388" w:hanging="360"/>
      </w:pPr>
    </w:lvl>
    <w:lvl w:ilvl="7" w:tplc="04250019" w:tentative="1">
      <w:start w:val="1"/>
      <w:numFmt w:val="lowerLetter"/>
      <w:lvlText w:val="%8."/>
      <w:lvlJc w:val="left"/>
      <w:pPr>
        <w:tabs>
          <w:tab w:val="num" w:pos="6108"/>
        </w:tabs>
        <w:ind w:left="6108" w:hanging="360"/>
      </w:pPr>
    </w:lvl>
    <w:lvl w:ilvl="8" w:tplc="0425001B" w:tentative="1">
      <w:start w:val="1"/>
      <w:numFmt w:val="lowerRoman"/>
      <w:lvlText w:val="%9."/>
      <w:lvlJc w:val="right"/>
      <w:pPr>
        <w:tabs>
          <w:tab w:val="num" w:pos="6828"/>
        </w:tabs>
        <w:ind w:left="6828" w:hanging="180"/>
      </w:pPr>
    </w:lvl>
  </w:abstractNum>
  <w:abstractNum w:abstractNumId="29" w15:restartNumberingAfterBreak="0">
    <w:nsid w:val="3D982A46"/>
    <w:multiLevelType w:val="hybridMultilevel"/>
    <w:tmpl w:val="C94E5B14"/>
    <w:lvl w:ilvl="0" w:tplc="04250001">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439859B8"/>
    <w:multiLevelType w:val="hybridMultilevel"/>
    <w:tmpl w:val="CB24C19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44343A46"/>
    <w:multiLevelType w:val="hybridMultilevel"/>
    <w:tmpl w:val="0E68099C"/>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4B35704B"/>
    <w:multiLevelType w:val="multilevel"/>
    <w:tmpl w:val="4E16F828"/>
    <w:lvl w:ilvl="0">
      <w:start w:val="236"/>
      <w:numFmt w:val="decimal"/>
      <w:lvlText w:val="%1."/>
      <w:lvlJc w:val="left"/>
      <w:pPr>
        <w:ind w:left="785" w:hanging="360"/>
      </w:pPr>
      <w:rPr>
        <w:rFonts w:hint="default"/>
        <w:b w:val="0"/>
        <w:sz w:val="24"/>
        <w:szCs w:val="24"/>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4BF53A53"/>
    <w:multiLevelType w:val="hybridMultilevel"/>
    <w:tmpl w:val="F0E05B7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529C618E"/>
    <w:multiLevelType w:val="hybridMultilevel"/>
    <w:tmpl w:val="BE265F12"/>
    <w:lvl w:ilvl="0" w:tplc="04250001">
      <w:start w:val="1"/>
      <w:numFmt w:val="bullet"/>
      <w:lvlText w:val=""/>
      <w:lvlJc w:val="left"/>
      <w:pPr>
        <w:tabs>
          <w:tab w:val="num" w:pos="720"/>
        </w:tabs>
        <w:ind w:left="720" w:hanging="360"/>
      </w:pPr>
      <w:rPr>
        <w:rFonts w:ascii="Symbol" w:hAnsi="Symbol" w:hint="default"/>
      </w:rPr>
    </w:lvl>
    <w:lvl w:ilvl="1" w:tplc="04250003">
      <w:start w:val="1"/>
      <w:numFmt w:val="bullet"/>
      <w:lvlText w:val="o"/>
      <w:lvlJc w:val="left"/>
      <w:pPr>
        <w:tabs>
          <w:tab w:val="num" w:pos="1620"/>
        </w:tabs>
        <w:ind w:left="1620" w:hanging="360"/>
      </w:pPr>
      <w:rPr>
        <w:rFonts w:ascii="Courier New" w:hAnsi="Courier New" w:cs="Courier New" w:hint="default"/>
      </w:rPr>
    </w:lvl>
    <w:lvl w:ilvl="2" w:tplc="04250005" w:tentative="1">
      <w:start w:val="1"/>
      <w:numFmt w:val="bullet"/>
      <w:lvlText w:val=""/>
      <w:lvlJc w:val="left"/>
      <w:pPr>
        <w:tabs>
          <w:tab w:val="num" w:pos="2340"/>
        </w:tabs>
        <w:ind w:left="2340" w:hanging="360"/>
      </w:pPr>
      <w:rPr>
        <w:rFonts w:ascii="Wingdings" w:hAnsi="Wingdings" w:hint="default"/>
      </w:rPr>
    </w:lvl>
    <w:lvl w:ilvl="3" w:tplc="04250001" w:tentative="1">
      <w:start w:val="1"/>
      <w:numFmt w:val="bullet"/>
      <w:lvlText w:val=""/>
      <w:lvlJc w:val="left"/>
      <w:pPr>
        <w:tabs>
          <w:tab w:val="num" w:pos="3060"/>
        </w:tabs>
        <w:ind w:left="3060" w:hanging="360"/>
      </w:pPr>
      <w:rPr>
        <w:rFonts w:ascii="Symbol" w:hAnsi="Symbol" w:hint="default"/>
      </w:rPr>
    </w:lvl>
    <w:lvl w:ilvl="4" w:tplc="04250003" w:tentative="1">
      <w:start w:val="1"/>
      <w:numFmt w:val="bullet"/>
      <w:lvlText w:val="o"/>
      <w:lvlJc w:val="left"/>
      <w:pPr>
        <w:tabs>
          <w:tab w:val="num" w:pos="3780"/>
        </w:tabs>
        <w:ind w:left="3780" w:hanging="360"/>
      </w:pPr>
      <w:rPr>
        <w:rFonts w:ascii="Courier New" w:hAnsi="Courier New" w:cs="Courier New" w:hint="default"/>
      </w:rPr>
    </w:lvl>
    <w:lvl w:ilvl="5" w:tplc="04250005" w:tentative="1">
      <w:start w:val="1"/>
      <w:numFmt w:val="bullet"/>
      <w:lvlText w:val=""/>
      <w:lvlJc w:val="left"/>
      <w:pPr>
        <w:tabs>
          <w:tab w:val="num" w:pos="4500"/>
        </w:tabs>
        <w:ind w:left="4500" w:hanging="360"/>
      </w:pPr>
      <w:rPr>
        <w:rFonts w:ascii="Wingdings" w:hAnsi="Wingdings" w:hint="default"/>
      </w:rPr>
    </w:lvl>
    <w:lvl w:ilvl="6" w:tplc="04250001" w:tentative="1">
      <w:start w:val="1"/>
      <w:numFmt w:val="bullet"/>
      <w:lvlText w:val=""/>
      <w:lvlJc w:val="left"/>
      <w:pPr>
        <w:tabs>
          <w:tab w:val="num" w:pos="5220"/>
        </w:tabs>
        <w:ind w:left="5220" w:hanging="360"/>
      </w:pPr>
      <w:rPr>
        <w:rFonts w:ascii="Symbol" w:hAnsi="Symbol" w:hint="default"/>
      </w:rPr>
    </w:lvl>
    <w:lvl w:ilvl="7" w:tplc="04250003" w:tentative="1">
      <w:start w:val="1"/>
      <w:numFmt w:val="bullet"/>
      <w:lvlText w:val="o"/>
      <w:lvlJc w:val="left"/>
      <w:pPr>
        <w:tabs>
          <w:tab w:val="num" w:pos="5940"/>
        </w:tabs>
        <w:ind w:left="5940" w:hanging="360"/>
      </w:pPr>
      <w:rPr>
        <w:rFonts w:ascii="Courier New" w:hAnsi="Courier New" w:cs="Courier New" w:hint="default"/>
      </w:rPr>
    </w:lvl>
    <w:lvl w:ilvl="8" w:tplc="04250005"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5A8608AE"/>
    <w:multiLevelType w:val="hybridMultilevel"/>
    <w:tmpl w:val="59F0CA8A"/>
    <w:lvl w:ilvl="0" w:tplc="04250001">
      <w:start w:val="1"/>
      <w:numFmt w:val="bullet"/>
      <w:pStyle w:val="Punkt"/>
      <w:lvlText w:val="•"/>
      <w:lvlJc w:val="left"/>
      <w:pPr>
        <w:tabs>
          <w:tab w:val="num" w:pos="720"/>
        </w:tabs>
        <w:ind w:left="720" w:hanging="360"/>
      </w:pPr>
      <w:rPr>
        <w:rFonts w:ascii="Times New Roman" w:hAnsi="Times New Roman" w:cs="Times New Roman" w:hint="default"/>
        <w:sz w:val="22"/>
        <w:szCs w:val="22"/>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D430A9"/>
    <w:multiLevelType w:val="hybridMultilevel"/>
    <w:tmpl w:val="1A245B6A"/>
    <w:lvl w:ilvl="0" w:tplc="513AA170">
      <w:start w:val="1"/>
      <w:numFmt w:val="decimal"/>
      <w:lvlText w:val="%1)"/>
      <w:lvlJc w:val="left"/>
      <w:pPr>
        <w:tabs>
          <w:tab w:val="num" w:pos="720"/>
        </w:tabs>
        <w:ind w:left="720" w:hanging="360"/>
      </w:pPr>
      <w:rPr>
        <w:rFont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0F2DB7"/>
    <w:multiLevelType w:val="hybridMultilevel"/>
    <w:tmpl w:val="CA245CBA"/>
    <w:lvl w:ilvl="0" w:tplc="FFFFFFFF">
      <w:numFmt w:val="bullet"/>
      <w:lvlText w:val=""/>
      <w:lvlJc w:val="left"/>
      <w:pPr>
        <w:tabs>
          <w:tab w:val="num" w:pos="720"/>
        </w:tabs>
        <w:ind w:left="720" w:hanging="360"/>
      </w:pPr>
      <w:rPr>
        <w:rFonts w:ascii="Symbol" w:eastAsia="Times New Roman"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7F2FFD"/>
    <w:multiLevelType w:val="hybridMultilevel"/>
    <w:tmpl w:val="DF0EC8FA"/>
    <w:lvl w:ilvl="0" w:tplc="A7B8DCC4">
      <w:start w:val="1"/>
      <w:numFmt w:val="decimal"/>
      <w:lvlText w:val="%1)"/>
      <w:lvlJc w:val="left"/>
      <w:pPr>
        <w:ind w:left="720" w:hanging="360"/>
      </w:pPr>
      <w:rPr>
        <w:rFonts w:hint="default"/>
        <w:strike w:val="0"/>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710403FD"/>
    <w:multiLevelType w:val="hybridMultilevel"/>
    <w:tmpl w:val="F6F4837C"/>
    <w:lvl w:ilvl="0" w:tplc="89502CAA">
      <w:start w:val="1"/>
      <w:numFmt w:val="decimal"/>
      <w:lvlText w:val="%1)"/>
      <w:lvlJc w:val="left"/>
      <w:pPr>
        <w:ind w:left="1145" w:hanging="360"/>
      </w:pPr>
      <w:rPr>
        <w:rFonts w:hint="default"/>
      </w:rPr>
    </w:lvl>
    <w:lvl w:ilvl="1" w:tplc="04250019" w:tentative="1">
      <w:start w:val="1"/>
      <w:numFmt w:val="lowerLetter"/>
      <w:lvlText w:val="%2."/>
      <w:lvlJc w:val="left"/>
      <w:pPr>
        <w:ind w:left="1865" w:hanging="360"/>
      </w:pPr>
    </w:lvl>
    <w:lvl w:ilvl="2" w:tplc="0425001B" w:tentative="1">
      <w:start w:val="1"/>
      <w:numFmt w:val="lowerRoman"/>
      <w:lvlText w:val="%3."/>
      <w:lvlJc w:val="right"/>
      <w:pPr>
        <w:ind w:left="2585" w:hanging="180"/>
      </w:pPr>
    </w:lvl>
    <w:lvl w:ilvl="3" w:tplc="0425000F" w:tentative="1">
      <w:start w:val="1"/>
      <w:numFmt w:val="decimal"/>
      <w:lvlText w:val="%4."/>
      <w:lvlJc w:val="left"/>
      <w:pPr>
        <w:ind w:left="3305" w:hanging="360"/>
      </w:pPr>
    </w:lvl>
    <w:lvl w:ilvl="4" w:tplc="04250019" w:tentative="1">
      <w:start w:val="1"/>
      <w:numFmt w:val="lowerLetter"/>
      <w:lvlText w:val="%5."/>
      <w:lvlJc w:val="left"/>
      <w:pPr>
        <w:ind w:left="4025" w:hanging="360"/>
      </w:pPr>
    </w:lvl>
    <w:lvl w:ilvl="5" w:tplc="0425001B" w:tentative="1">
      <w:start w:val="1"/>
      <w:numFmt w:val="lowerRoman"/>
      <w:lvlText w:val="%6."/>
      <w:lvlJc w:val="right"/>
      <w:pPr>
        <w:ind w:left="4745" w:hanging="180"/>
      </w:pPr>
    </w:lvl>
    <w:lvl w:ilvl="6" w:tplc="0425000F" w:tentative="1">
      <w:start w:val="1"/>
      <w:numFmt w:val="decimal"/>
      <w:lvlText w:val="%7."/>
      <w:lvlJc w:val="left"/>
      <w:pPr>
        <w:ind w:left="5465" w:hanging="360"/>
      </w:pPr>
    </w:lvl>
    <w:lvl w:ilvl="7" w:tplc="04250019" w:tentative="1">
      <w:start w:val="1"/>
      <w:numFmt w:val="lowerLetter"/>
      <w:lvlText w:val="%8."/>
      <w:lvlJc w:val="left"/>
      <w:pPr>
        <w:ind w:left="6185" w:hanging="360"/>
      </w:pPr>
    </w:lvl>
    <w:lvl w:ilvl="8" w:tplc="0425001B" w:tentative="1">
      <w:start w:val="1"/>
      <w:numFmt w:val="lowerRoman"/>
      <w:lvlText w:val="%9."/>
      <w:lvlJc w:val="right"/>
      <w:pPr>
        <w:ind w:left="6905" w:hanging="180"/>
      </w:pPr>
    </w:lvl>
  </w:abstractNum>
  <w:abstractNum w:abstractNumId="40" w15:restartNumberingAfterBreak="0">
    <w:nsid w:val="72B02045"/>
    <w:multiLevelType w:val="multilevel"/>
    <w:tmpl w:val="5276FB24"/>
    <w:lvl w:ilvl="0">
      <w:start w:val="3"/>
      <w:numFmt w:val="decimal"/>
      <w:lvlText w:val="%1."/>
      <w:lvlJc w:val="left"/>
      <w:pPr>
        <w:ind w:left="555" w:hanging="555"/>
      </w:pPr>
      <w:rPr>
        <w:rFonts w:hint="default"/>
      </w:rPr>
    </w:lvl>
    <w:lvl w:ilvl="1">
      <w:start w:val="2"/>
      <w:numFmt w:val="decimal"/>
      <w:lvlText w:val="%1.%2."/>
      <w:lvlJc w:val="left"/>
      <w:pPr>
        <w:ind w:left="1668" w:hanging="720"/>
      </w:pPr>
      <w:rPr>
        <w:rFonts w:hint="default"/>
      </w:rPr>
    </w:lvl>
    <w:lvl w:ilvl="2">
      <w:start w:val="1"/>
      <w:numFmt w:val="decimal"/>
      <w:lvlText w:val="%1.%2.%3)"/>
      <w:lvlJc w:val="left"/>
      <w:pPr>
        <w:ind w:left="2616" w:hanging="72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872" w:hanging="1080"/>
      </w:pPr>
      <w:rPr>
        <w:rFonts w:hint="default"/>
      </w:rPr>
    </w:lvl>
    <w:lvl w:ilvl="5">
      <w:start w:val="1"/>
      <w:numFmt w:val="decimal"/>
      <w:lvlText w:val="%1.%2.%3)%4.%5.%6."/>
      <w:lvlJc w:val="left"/>
      <w:pPr>
        <w:ind w:left="6180" w:hanging="1440"/>
      </w:pPr>
      <w:rPr>
        <w:rFonts w:hint="default"/>
      </w:rPr>
    </w:lvl>
    <w:lvl w:ilvl="6">
      <w:start w:val="1"/>
      <w:numFmt w:val="decimal"/>
      <w:lvlText w:val="%1.%2.%3)%4.%5.%6.%7."/>
      <w:lvlJc w:val="left"/>
      <w:pPr>
        <w:ind w:left="7128" w:hanging="1440"/>
      </w:pPr>
      <w:rPr>
        <w:rFonts w:hint="default"/>
      </w:rPr>
    </w:lvl>
    <w:lvl w:ilvl="7">
      <w:start w:val="1"/>
      <w:numFmt w:val="decimal"/>
      <w:lvlText w:val="%1.%2.%3)%4.%5.%6.%7.%8."/>
      <w:lvlJc w:val="left"/>
      <w:pPr>
        <w:ind w:left="8436" w:hanging="1800"/>
      </w:pPr>
      <w:rPr>
        <w:rFonts w:hint="default"/>
      </w:rPr>
    </w:lvl>
    <w:lvl w:ilvl="8">
      <w:start w:val="1"/>
      <w:numFmt w:val="decimal"/>
      <w:lvlText w:val="%1.%2.%3)%4.%5.%6.%7.%8.%9."/>
      <w:lvlJc w:val="left"/>
      <w:pPr>
        <w:ind w:left="9384" w:hanging="1800"/>
      </w:pPr>
      <w:rPr>
        <w:rFonts w:hint="default"/>
      </w:rPr>
    </w:lvl>
  </w:abstractNum>
  <w:abstractNum w:abstractNumId="41" w15:restartNumberingAfterBreak="0">
    <w:nsid w:val="759A6B5F"/>
    <w:multiLevelType w:val="hybridMultilevel"/>
    <w:tmpl w:val="88C2EE6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15:restartNumberingAfterBreak="0">
    <w:nsid w:val="75C711FA"/>
    <w:multiLevelType w:val="hybridMultilevel"/>
    <w:tmpl w:val="B088F878"/>
    <w:lvl w:ilvl="0" w:tplc="04250011">
      <w:start w:val="1"/>
      <w:numFmt w:val="decimal"/>
      <w:lvlText w:val="%1)"/>
      <w:lvlJc w:val="left"/>
      <w:pPr>
        <w:tabs>
          <w:tab w:val="num" w:pos="1068"/>
        </w:tabs>
        <w:ind w:left="1068" w:hanging="360"/>
      </w:pPr>
      <w:rPr>
        <w:rFonts w:hint="default"/>
      </w:rPr>
    </w:lvl>
    <w:lvl w:ilvl="1" w:tplc="04250019" w:tentative="1">
      <w:start w:val="1"/>
      <w:numFmt w:val="lowerLetter"/>
      <w:lvlText w:val="%2."/>
      <w:lvlJc w:val="left"/>
      <w:pPr>
        <w:tabs>
          <w:tab w:val="num" w:pos="1788"/>
        </w:tabs>
        <w:ind w:left="1788" w:hanging="360"/>
      </w:pPr>
    </w:lvl>
    <w:lvl w:ilvl="2" w:tplc="0425001B" w:tentative="1">
      <w:start w:val="1"/>
      <w:numFmt w:val="lowerRoman"/>
      <w:lvlText w:val="%3."/>
      <w:lvlJc w:val="right"/>
      <w:pPr>
        <w:tabs>
          <w:tab w:val="num" w:pos="2508"/>
        </w:tabs>
        <w:ind w:left="2508" w:hanging="180"/>
      </w:pPr>
    </w:lvl>
    <w:lvl w:ilvl="3" w:tplc="0425000F" w:tentative="1">
      <w:start w:val="1"/>
      <w:numFmt w:val="decimal"/>
      <w:lvlText w:val="%4."/>
      <w:lvlJc w:val="left"/>
      <w:pPr>
        <w:tabs>
          <w:tab w:val="num" w:pos="3228"/>
        </w:tabs>
        <w:ind w:left="3228" w:hanging="360"/>
      </w:pPr>
    </w:lvl>
    <w:lvl w:ilvl="4" w:tplc="04250019" w:tentative="1">
      <w:start w:val="1"/>
      <w:numFmt w:val="lowerLetter"/>
      <w:lvlText w:val="%5."/>
      <w:lvlJc w:val="left"/>
      <w:pPr>
        <w:tabs>
          <w:tab w:val="num" w:pos="3948"/>
        </w:tabs>
        <w:ind w:left="3948" w:hanging="360"/>
      </w:pPr>
    </w:lvl>
    <w:lvl w:ilvl="5" w:tplc="0425001B" w:tentative="1">
      <w:start w:val="1"/>
      <w:numFmt w:val="lowerRoman"/>
      <w:lvlText w:val="%6."/>
      <w:lvlJc w:val="right"/>
      <w:pPr>
        <w:tabs>
          <w:tab w:val="num" w:pos="4668"/>
        </w:tabs>
        <w:ind w:left="4668" w:hanging="180"/>
      </w:pPr>
    </w:lvl>
    <w:lvl w:ilvl="6" w:tplc="0425000F" w:tentative="1">
      <w:start w:val="1"/>
      <w:numFmt w:val="decimal"/>
      <w:lvlText w:val="%7."/>
      <w:lvlJc w:val="left"/>
      <w:pPr>
        <w:tabs>
          <w:tab w:val="num" w:pos="5388"/>
        </w:tabs>
        <w:ind w:left="5388" w:hanging="360"/>
      </w:pPr>
    </w:lvl>
    <w:lvl w:ilvl="7" w:tplc="04250019" w:tentative="1">
      <w:start w:val="1"/>
      <w:numFmt w:val="lowerLetter"/>
      <w:lvlText w:val="%8."/>
      <w:lvlJc w:val="left"/>
      <w:pPr>
        <w:tabs>
          <w:tab w:val="num" w:pos="6108"/>
        </w:tabs>
        <w:ind w:left="6108" w:hanging="360"/>
      </w:pPr>
    </w:lvl>
    <w:lvl w:ilvl="8" w:tplc="0425001B" w:tentative="1">
      <w:start w:val="1"/>
      <w:numFmt w:val="lowerRoman"/>
      <w:lvlText w:val="%9."/>
      <w:lvlJc w:val="right"/>
      <w:pPr>
        <w:tabs>
          <w:tab w:val="num" w:pos="6828"/>
        </w:tabs>
        <w:ind w:left="6828" w:hanging="180"/>
      </w:pPr>
    </w:lvl>
  </w:abstractNum>
  <w:abstractNum w:abstractNumId="43" w15:restartNumberingAfterBreak="0">
    <w:nsid w:val="78E95D89"/>
    <w:multiLevelType w:val="hybridMultilevel"/>
    <w:tmpl w:val="C10A364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7D2B3161"/>
    <w:multiLevelType w:val="multilevel"/>
    <w:tmpl w:val="0BF2B9C4"/>
    <w:lvl w:ilvl="0">
      <w:start w:val="3"/>
      <w:numFmt w:val="decimal"/>
      <w:lvlText w:val="%1."/>
      <w:lvlJc w:val="left"/>
      <w:pPr>
        <w:ind w:left="375" w:hanging="375"/>
      </w:pPr>
      <w:rPr>
        <w:rFonts w:hint="default"/>
      </w:rPr>
    </w:lvl>
    <w:lvl w:ilvl="1">
      <w:start w:val="1"/>
      <w:numFmt w:val="decimal"/>
      <w:lvlText w:val="%1.%2)"/>
      <w:lvlJc w:val="left"/>
      <w:pPr>
        <w:ind w:left="1896" w:hanging="720"/>
      </w:pPr>
      <w:rPr>
        <w:rFonts w:hint="default"/>
      </w:rPr>
    </w:lvl>
    <w:lvl w:ilvl="2">
      <w:start w:val="1"/>
      <w:numFmt w:val="decimal"/>
      <w:lvlText w:val="%1.%2)%3."/>
      <w:lvlJc w:val="left"/>
      <w:pPr>
        <w:ind w:left="3072" w:hanging="720"/>
      </w:pPr>
      <w:rPr>
        <w:rFonts w:hint="default"/>
      </w:rPr>
    </w:lvl>
    <w:lvl w:ilvl="3">
      <w:start w:val="1"/>
      <w:numFmt w:val="decimal"/>
      <w:lvlText w:val="%1.%2)%3.%4."/>
      <w:lvlJc w:val="left"/>
      <w:pPr>
        <w:ind w:left="4608" w:hanging="1080"/>
      </w:pPr>
      <w:rPr>
        <w:rFonts w:hint="default"/>
      </w:rPr>
    </w:lvl>
    <w:lvl w:ilvl="4">
      <w:start w:val="1"/>
      <w:numFmt w:val="decimal"/>
      <w:lvlText w:val="%1.%2)%3.%4.%5."/>
      <w:lvlJc w:val="left"/>
      <w:pPr>
        <w:ind w:left="5784" w:hanging="1080"/>
      </w:pPr>
      <w:rPr>
        <w:rFonts w:hint="default"/>
      </w:rPr>
    </w:lvl>
    <w:lvl w:ilvl="5">
      <w:start w:val="1"/>
      <w:numFmt w:val="decimal"/>
      <w:lvlText w:val="%1.%2)%3.%4.%5.%6."/>
      <w:lvlJc w:val="left"/>
      <w:pPr>
        <w:ind w:left="7320" w:hanging="1440"/>
      </w:pPr>
      <w:rPr>
        <w:rFonts w:hint="default"/>
      </w:rPr>
    </w:lvl>
    <w:lvl w:ilvl="6">
      <w:start w:val="1"/>
      <w:numFmt w:val="decimal"/>
      <w:lvlText w:val="%1.%2)%3.%4.%5.%6.%7."/>
      <w:lvlJc w:val="left"/>
      <w:pPr>
        <w:ind w:left="8496" w:hanging="1440"/>
      </w:pPr>
      <w:rPr>
        <w:rFonts w:hint="default"/>
      </w:rPr>
    </w:lvl>
    <w:lvl w:ilvl="7">
      <w:start w:val="1"/>
      <w:numFmt w:val="decimal"/>
      <w:lvlText w:val="%1.%2)%3.%4.%5.%6.%7.%8."/>
      <w:lvlJc w:val="left"/>
      <w:pPr>
        <w:ind w:left="10032" w:hanging="1800"/>
      </w:pPr>
      <w:rPr>
        <w:rFonts w:hint="default"/>
      </w:rPr>
    </w:lvl>
    <w:lvl w:ilvl="8">
      <w:start w:val="1"/>
      <w:numFmt w:val="decimal"/>
      <w:lvlText w:val="%1.%2)%3.%4.%5.%6.%7.%8.%9."/>
      <w:lvlJc w:val="left"/>
      <w:pPr>
        <w:ind w:left="11208" w:hanging="1800"/>
      </w:pPr>
      <w:rPr>
        <w:rFonts w:hint="default"/>
      </w:rPr>
    </w:lvl>
  </w:abstractNum>
  <w:num w:numId="1">
    <w:abstractNumId w:val="5"/>
  </w:num>
  <w:num w:numId="2">
    <w:abstractNumId w:val="25"/>
  </w:num>
  <w:num w:numId="3">
    <w:abstractNumId w:val="35"/>
  </w:num>
  <w:num w:numId="4">
    <w:abstractNumId w:val="37"/>
  </w:num>
  <w:num w:numId="5">
    <w:abstractNumId w:val="23"/>
  </w:num>
  <w:num w:numId="6">
    <w:abstractNumId w:val="13"/>
  </w:num>
  <w:num w:numId="7">
    <w:abstractNumId w:val="24"/>
  </w:num>
  <w:num w:numId="8">
    <w:abstractNumId w:val="34"/>
  </w:num>
  <w:num w:numId="9">
    <w:abstractNumId w:val="42"/>
  </w:num>
  <w:num w:numId="10">
    <w:abstractNumId w:val="41"/>
  </w:num>
  <w:num w:numId="11">
    <w:abstractNumId w:val="36"/>
  </w:num>
  <w:num w:numId="12">
    <w:abstractNumId w:val="16"/>
  </w:num>
  <w:num w:numId="13">
    <w:abstractNumId w:val="14"/>
  </w:num>
  <w:num w:numId="14">
    <w:abstractNumId w:val="26"/>
  </w:num>
  <w:num w:numId="15">
    <w:abstractNumId w:val="22"/>
  </w:num>
  <w:num w:numId="16">
    <w:abstractNumId w:val="31"/>
  </w:num>
  <w:num w:numId="17">
    <w:abstractNumId w:val="21"/>
  </w:num>
  <w:num w:numId="18">
    <w:abstractNumId w:val="38"/>
  </w:num>
  <w:num w:numId="19">
    <w:abstractNumId w:val="27"/>
  </w:num>
  <w:num w:numId="20">
    <w:abstractNumId w:val="12"/>
  </w:num>
  <w:num w:numId="21">
    <w:abstractNumId w:val="15"/>
  </w:num>
  <w:num w:numId="22">
    <w:abstractNumId w:val="18"/>
  </w:num>
  <w:num w:numId="23">
    <w:abstractNumId w:val="44"/>
  </w:num>
  <w:num w:numId="24">
    <w:abstractNumId w:val="40"/>
  </w:num>
  <w:num w:numId="25">
    <w:abstractNumId w:val="33"/>
  </w:num>
  <w:num w:numId="26">
    <w:abstractNumId w:val="29"/>
  </w:num>
  <w:num w:numId="27">
    <w:abstractNumId w:val="43"/>
  </w:num>
  <w:num w:numId="28">
    <w:abstractNumId w:val="19"/>
  </w:num>
  <w:num w:numId="29">
    <w:abstractNumId w:val="32"/>
  </w:num>
  <w:num w:numId="30">
    <w:abstractNumId w:val="11"/>
  </w:num>
  <w:num w:numId="31">
    <w:abstractNumId w:val="30"/>
  </w:num>
  <w:num w:numId="32">
    <w:abstractNumId w:val="17"/>
  </w:num>
  <w:num w:numId="33">
    <w:abstractNumId w:val="28"/>
  </w:num>
  <w:num w:numId="34">
    <w:abstractNumId w:val="20"/>
  </w:num>
  <w:num w:numId="35">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F9F"/>
    <w:rsid w:val="0000029F"/>
    <w:rsid w:val="00000B63"/>
    <w:rsid w:val="000010C2"/>
    <w:rsid w:val="0000150D"/>
    <w:rsid w:val="000016E4"/>
    <w:rsid w:val="00001DAD"/>
    <w:rsid w:val="00002450"/>
    <w:rsid w:val="00002D6F"/>
    <w:rsid w:val="00003323"/>
    <w:rsid w:val="0000471A"/>
    <w:rsid w:val="00004C8D"/>
    <w:rsid w:val="00005118"/>
    <w:rsid w:val="0000517D"/>
    <w:rsid w:val="00005855"/>
    <w:rsid w:val="00005860"/>
    <w:rsid w:val="00005B7F"/>
    <w:rsid w:val="00005FB8"/>
    <w:rsid w:val="000062C5"/>
    <w:rsid w:val="00006B75"/>
    <w:rsid w:val="000070C0"/>
    <w:rsid w:val="00010393"/>
    <w:rsid w:val="00010478"/>
    <w:rsid w:val="0001084C"/>
    <w:rsid w:val="00010F3C"/>
    <w:rsid w:val="0001176B"/>
    <w:rsid w:val="00011B1F"/>
    <w:rsid w:val="0001220A"/>
    <w:rsid w:val="00012381"/>
    <w:rsid w:val="00012401"/>
    <w:rsid w:val="0001257F"/>
    <w:rsid w:val="00012C0E"/>
    <w:rsid w:val="00012D47"/>
    <w:rsid w:val="000130AE"/>
    <w:rsid w:val="000132CB"/>
    <w:rsid w:val="00013B04"/>
    <w:rsid w:val="00013FEC"/>
    <w:rsid w:val="00014D73"/>
    <w:rsid w:val="00015AEE"/>
    <w:rsid w:val="00015B26"/>
    <w:rsid w:val="00016562"/>
    <w:rsid w:val="00016778"/>
    <w:rsid w:val="00016C47"/>
    <w:rsid w:val="00016DA0"/>
    <w:rsid w:val="00017014"/>
    <w:rsid w:val="00017FBF"/>
    <w:rsid w:val="0002045A"/>
    <w:rsid w:val="0002098E"/>
    <w:rsid w:val="000226E1"/>
    <w:rsid w:val="000232FF"/>
    <w:rsid w:val="00023CBB"/>
    <w:rsid w:val="00023EA2"/>
    <w:rsid w:val="00024040"/>
    <w:rsid w:val="000242A4"/>
    <w:rsid w:val="000243DF"/>
    <w:rsid w:val="00024BA6"/>
    <w:rsid w:val="00025785"/>
    <w:rsid w:val="000257A3"/>
    <w:rsid w:val="00025E29"/>
    <w:rsid w:val="000266D1"/>
    <w:rsid w:val="0002770B"/>
    <w:rsid w:val="00027D61"/>
    <w:rsid w:val="00030516"/>
    <w:rsid w:val="00031B88"/>
    <w:rsid w:val="00031E5C"/>
    <w:rsid w:val="000324A4"/>
    <w:rsid w:val="00032B78"/>
    <w:rsid w:val="00032BE3"/>
    <w:rsid w:val="00032C34"/>
    <w:rsid w:val="00032DEB"/>
    <w:rsid w:val="000336B6"/>
    <w:rsid w:val="000337F4"/>
    <w:rsid w:val="00033981"/>
    <w:rsid w:val="00033C7C"/>
    <w:rsid w:val="00034CE1"/>
    <w:rsid w:val="00035540"/>
    <w:rsid w:val="00035BEE"/>
    <w:rsid w:val="00036E9E"/>
    <w:rsid w:val="00037335"/>
    <w:rsid w:val="00040461"/>
    <w:rsid w:val="0004058D"/>
    <w:rsid w:val="000410AE"/>
    <w:rsid w:val="00041EF0"/>
    <w:rsid w:val="00042003"/>
    <w:rsid w:val="00042A56"/>
    <w:rsid w:val="00042AC6"/>
    <w:rsid w:val="00042E2F"/>
    <w:rsid w:val="00043530"/>
    <w:rsid w:val="00043585"/>
    <w:rsid w:val="0004389D"/>
    <w:rsid w:val="000443BB"/>
    <w:rsid w:val="000444EE"/>
    <w:rsid w:val="00044BDE"/>
    <w:rsid w:val="00044E59"/>
    <w:rsid w:val="00045D6C"/>
    <w:rsid w:val="00046511"/>
    <w:rsid w:val="0004785F"/>
    <w:rsid w:val="0005059E"/>
    <w:rsid w:val="00050CA6"/>
    <w:rsid w:val="000510C1"/>
    <w:rsid w:val="000511E9"/>
    <w:rsid w:val="00051BBB"/>
    <w:rsid w:val="000536C5"/>
    <w:rsid w:val="00053BF7"/>
    <w:rsid w:val="000548FC"/>
    <w:rsid w:val="00054945"/>
    <w:rsid w:val="00055D00"/>
    <w:rsid w:val="000560FD"/>
    <w:rsid w:val="00056A7D"/>
    <w:rsid w:val="00056B43"/>
    <w:rsid w:val="00056C6E"/>
    <w:rsid w:val="00057573"/>
    <w:rsid w:val="00057E5A"/>
    <w:rsid w:val="00057E7E"/>
    <w:rsid w:val="000604F1"/>
    <w:rsid w:val="00060C84"/>
    <w:rsid w:val="0006117F"/>
    <w:rsid w:val="00061181"/>
    <w:rsid w:val="0006188B"/>
    <w:rsid w:val="00061A35"/>
    <w:rsid w:val="00061AA5"/>
    <w:rsid w:val="000630CC"/>
    <w:rsid w:val="00063B55"/>
    <w:rsid w:val="000640E7"/>
    <w:rsid w:val="000642BA"/>
    <w:rsid w:val="00064B45"/>
    <w:rsid w:val="00065413"/>
    <w:rsid w:val="00065826"/>
    <w:rsid w:val="0006624E"/>
    <w:rsid w:val="00066EFA"/>
    <w:rsid w:val="000670DD"/>
    <w:rsid w:val="00067FAD"/>
    <w:rsid w:val="00070027"/>
    <w:rsid w:val="00070772"/>
    <w:rsid w:val="0007096C"/>
    <w:rsid w:val="00070B7A"/>
    <w:rsid w:val="00070C9B"/>
    <w:rsid w:val="000711DA"/>
    <w:rsid w:val="0007154A"/>
    <w:rsid w:val="000722CD"/>
    <w:rsid w:val="00072A34"/>
    <w:rsid w:val="00072F8D"/>
    <w:rsid w:val="00073708"/>
    <w:rsid w:val="00073EA8"/>
    <w:rsid w:val="00074B56"/>
    <w:rsid w:val="00074D1A"/>
    <w:rsid w:val="00075044"/>
    <w:rsid w:val="00075094"/>
    <w:rsid w:val="000750C2"/>
    <w:rsid w:val="00075218"/>
    <w:rsid w:val="000756C1"/>
    <w:rsid w:val="00075B07"/>
    <w:rsid w:val="000762B0"/>
    <w:rsid w:val="000769A9"/>
    <w:rsid w:val="00076A1A"/>
    <w:rsid w:val="00076EB4"/>
    <w:rsid w:val="00077E0D"/>
    <w:rsid w:val="00080099"/>
    <w:rsid w:val="00080CB7"/>
    <w:rsid w:val="000810AB"/>
    <w:rsid w:val="000812FF"/>
    <w:rsid w:val="00081368"/>
    <w:rsid w:val="00081F15"/>
    <w:rsid w:val="00082938"/>
    <w:rsid w:val="000833E4"/>
    <w:rsid w:val="00083519"/>
    <w:rsid w:val="0008383D"/>
    <w:rsid w:val="00083989"/>
    <w:rsid w:val="00084360"/>
    <w:rsid w:val="00084409"/>
    <w:rsid w:val="000846EA"/>
    <w:rsid w:val="00084753"/>
    <w:rsid w:val="000848B2"/>
    <w:rsid w:val="00084A49"/>
    <w:rsid w:val="00084A7F"/>
    <w:rsid w:val="000853D4"/>
    <w:rsid w:val="00085FC4"/>
    <w:rsid w:val="00086599"/>
    <w:rsid w:val="00086FD0"/>
    <w:rsid w:val="000871A3"/>
    <w:rsid w:val="000873F3"/>
    <w:rsid w:val="00087556"/>
    <w:rsid w:val="00087CDF"/>
    <w:rsid w:val="000900A1"/>
    <w:rsid w:val="00090938"/>
    <w:rsid w:val="0009176D"/>
    <w:rsid w:val="0009220A"/>
    <w:rsid w:val="000922B1"/>
    <w:rsid w:val="00092F73"/>
    <w:rsid w:val="0009322B"/>
    <w:rsid w:val="0009329B"/>
    <w:rsid w:val="0009386A"/>
    <w:rsid w:val="00093CA9"/>
    <w:rsid w:val="00094419"/>
    <w:rsid w:val="000948F7"/>
    <w:rsid w:val="00094BB2"/>
    <w:rsid w:val="00095436"/>
    <w:rsid w:val="000957F4"/>
    <w:rsid w:val="00096854"/>
    <w:rsid w:val="000968AB"/>
    <w:rsid w:val="00096EEA"/>
    <w:rsid w:val="00096F78"/>
    <w:rsid w:val="0009700E"/>
    <w:rsid w:val="000A0045"/>
    <w:rsid w:val="000A0822"/>
    <w:rsid w:val="000A0B45"/>
    <w:rsid w:val="000A110B"/>
    <w:rsid w:val="000A2637"/>
    <w:rsid w:val="000A281F"/>
    <w:rsid w:val="000A29E2"/>
    <w:rsid w:val="000A2DA0"/>
    <w:rsid w:val="000A3066"/>
    <w:rsid w:val="000A34C3"/>
    <w:rsid w:val="000A3A7D"/>
    <w:rsid w:val="000A3BCD"/>
    <w:rsid w:val="000A3D0C"/>
    <w:rsid w:val="000A4089"/>
    <w:rsid w:val="000A50ED"/>
    <w:rsid w:val="000A5E7A"/>
    <w:rsid w:val="000A61C5"/>
    <w:rsid w:val="000A624E"/>
    <w:rsid w:val="000A6BDB"/>
    <w:rsid w:val="000A6E14"/>
    <w:rsid w:val="000A6E77"/>
    <w:rsid w:val="000A6F01"/>
    <w:rsid w:val="000A779B"/>
    <w:rsid w:val="000A78E2"/>
    <w:rsid w:val="000A7B95"/>
    <w:rsid w:val="000B00E3"/>
    <w:rsid w:val="000B079B"/>
    <w:rsid w:val="000B0B84"/>
    <w:rsid w:val="000B0BB0"/>
    <w:rsid w:val="000B0D3C"/>
    <w:rsid w:val="000B0F82"/>
    <w:rsid w:val="000B1275"/>
    <w:rsid w:val="000B1D7A"/>
    <w:rsid w:val="000B1EC1"/>
    <w:rsid w:val="000B2B16"/>
    <w:rsid w:val="000B2B4A"/>
    <w:rsid w:val="000B3052"/>
    <w:rsid w:val="000B38E5"/>
    <w:rsid w:val="000B3E3B"/>
    <w:rsid w:val="000B3FC2"/>
    <w:rsid w:val="000B411E"/>
    <w:rsid w:val="000B46C8"/>
    <w:rsid w:val="000B474C"/>
    <w:rsid w:val="000B4D81"/>
    <w:rsid w:val="000B51E8"/>
    <w:rsid w:val="000B58D4"/>
    <w:rsid w:val="000B58F3"/>
    <w:rsid w:val="000B5AC4"/>
    <w:rsid w:val="000B5AD7"/>
    <w:rsid w:val="000B5BDA"/>
    <w:rsid w:val="000B5C35"/>
    <w:rsid w:val="000B5D8B"/>
    <w:rsid w:val="000B64F1"/>
    <w:rsid w:val="000B6930"/>
    <w:rsid w:val="000C0078"/>
    <w:rsid w:val="000C00DF"/>
    <w:rsid w:val="000C0C49"/>
    <w:rsid w:val="000C0D8F"/>
    <w:rsid w:val="000C1826"/>
    <w:rsid w:val="000C1C08"/>
    <w:rsid w:val="000C1D61"/>
    <w:rsid w:val="000C1D90"/>
    <w:rsid w:val="000C3BD6"/>
    <w:rsid w:val="000C4959"/>
    <w:rsid w:val="000C4CE5"/>
    <w:rsid w:val="000C550F"/>
    <w:rsid w:val="000C5879"/>
    <w:rsid w:val="000C676F"/>
    <w:rsid w:val="000C6BE8"/>
    <w:rsid w:val="000C6CA3"/>
    <w:rsid w:val="000C6EA1"/>
    <w:rsid w:val="000C7088"/>
    <w:rsid w:val="000D023B"/>
    <w:rsid w:val="000D040A"/>
    <w:rsid w:val="000D17C5"/>
    <w:rsid w:val="000D190D"/>
    <w:rsid w:val="000D1C66"/>
    <w:rsid w:val="000D29EA"/>
    <w:rsid w:val="000D3AE1"/>
    <w:rsid w:val="000D48C1"/>
    <w:rsid w:val="000D5B0F"/>
    <w:rsid w:val="000D66B9"/>
    <w:rsid w:val="000D6917"/>
    <w:rsid w:val="000D7466"/>
    <w:rsid w:val="000D750C"/>
    <w:rsid w:val="000D7CBD"/>
    <w:rsid w:val="000E0093"/>
    <w:rsid w:val="000E0395"/>
    <w:rsid w:val="000E04E6"/>
    <w:rsid w:val="000E0958"/>
    <w:rsid w:val="000E107B"/>
    <w:rsid w:val="000E17CE"/>
    <w:rsid w:val="000E21A6"/>
    <w:rsid w:val="000E22C9"/>
    <w:rsid w:val="000E241B"/>
    <w:rsid w:val="000E32B0"/>
    <w:rsid w:val="000E340F"/>
    <w:rsid w:val="000E34C0"/>
    <w:rsid w:val="000E4411"/>
    <w:rsid w:val="000E4B3A"/>
    <w:rsid w:val="000E5214"/>
    <w:rsid w:val="000E6652"/>
    <w:rsid w:val="000E6E29"/>
    <w:rsid w:val="000E7C96"/>
    <w:rsid w:val="000F0E7E"/>
    <w:rsid w:val="000F0FCC"/>
    <w:rsid w:val="000F13B7"/>
    <w:rsid w:val="000F1AD1"/>
    <w:rsid w:val="000F1FA8"/>
    <w:rsid w:val="000F2BCA"/>
    <w:rsid w:val="000F2F2B"/>
    <w:rsid w:val="000F323C"/>
    <w:rsid w:val="000F33C7"/>
    <w:rsid w:val="000F37A2"/>
    <w:rsid w:val="000F3ED0"/>
    <w:rsid w:val="000F4DE4"/>
    <w:rsid w:val="000F4EE9"/>
    <w:rsid w:val="000F50E5"/>
    <w:rsid w:val="000F5E1B"/>
    <w:rsid w:val="000F60D0"/>
    <w:rsid w:val="000F63F5"/>
    <w:rsid w:val="000F680B"/>
    <w:rsid w:val="000F769B"/>
    <w:rsid w:val="001003BB"/>
    <w:rsid w:val="00100497"/>
    <w:rsid w:val="0010123E"/>
    <w:rsid w:val="0010148A"/>
    <w:rsid w:val="00101F82"/>
    <w:rsid w:val="00102EE2"/>
    <w:rsid w:val="00103381"/>
    <w:rsid w:val="001044F1"/>
    <w:rsid w:val="00104787"/>
    <w:rsid w:val="00104FEB"/>
    <w:rsid w:val="00105136"/>
    <w:rsid w:val="0010618E"/>
    <w:rsid w:val="001063F5"/>
    <w:rsid w:val="00106649"/>
    <w:rsid w:val="00106B10"/>
    <w:rsid w:val="001070CB"/>
    <w:rsid w:val="001071C6"/>
    <w:rsid w:val="001071FA"/>
    <w:rsid w:val="00107C94"/>
    <w:rsid w:val="0011054C"/>
    <w:rsid w:val="00110959"/>
    <w:rsid w:val="00111089"/>
    <w:rsid w:val="00111693"/>
    <w:rsid w:val="00111D38"/>
    <w:rsid w:val="001120CA"/>
    <w:rsid w:val="00112143"/>
    <w:rsid w:val="00112664"/>
    <w:rsid w:val="00112CFF"/>
    <w:rsid w:val="00113214"/>
    <w:rsid w:val="001132FE"/>
    <w:rsid w:val="00113AD7"/>
    <w:rsid w:val="00113BB0"/>
    <w:rsid w:val="001141C8"/>
    <w:rsid w:val="001144F6"/>
    <w:rsid w:val="00114588"/>
    <w:rsid w:val="00115338"/>
    <w:rsid w:val="001159F8"/>
    <w:rsid w:val="00115B7D"/>
    <w:rsid w:val="00116B80"/>
    <w:rsid w:val="0011717B"/>
    <w:rsid w:val="001171A4"/>
    <w:rsid w:val="00117A08"/>
    <w:rsid w:val="001211EB"/>
    <w:rsid w:val="001213D1"/>
    <w:rsid w:val="00121491"/>
    <w:rsid w:val="0012233F"/>
    <w:rsid w:val="001225A6"/>
    <w:rsid w:val="00122D6C"/>
    <w:rsid w:val="00122E02"/>
    <w:rsid w:val="0012349D"/>
    <w:rsid w:val="00123805"/>
    <w:rsid w:val="00125179"/>
    <w:rsid w:val="001254CE"/>
    <w:rsid w:val="00125C2F"/>
    <w:rsid w:val="00126338"/>
    <w:rsid w:val="00126C88"/>
    <w:rsid w:val="00127387"/>
    <w:rsid w:val="00127F42"/>
    <w:rsid w:val="00127FD5"/>
    <w:rsid w:val="00130A25"/>
    <w:rsid w:val="001319D7"/>
    <w:rsid w:val="00131D3C"/>
    <w:rsid w:val="001320CC"/>
    <w:rsid w:val="00132457"/>
    <w:rsid w:val="001329EB"/>
    <w:rsid w:val="001349B5"/>
    <w:rsid w:val="00135014"/>
    <w:rsid w:val="00135E6A"/>
    <w:rsid w:val="001367FA"/>
    <w:rsid w:val="00136C6A"/>
    <w:rsid w:val="001374DA"/>
    <w:rsid w:val="001375D6"/>
    <w:rsid w:val="001378B6"/>
    <w:rsid w:val="001400F5"/>
    <w:rsid w:val="00141B12"/>
    <w:rsid w:val="00142329"/>
    <w:rsid w:val="00144D62"/>
    <w:rsid w:val="00145642"/>
    <w:rsid w:val="00145B0F"/>
    <w:rsid w:val="00145C45"/>
    <w:rsid w:val="001463D6"/>
    <w:rsid w:val="00146412"/>
    <w:rsid w:val="0014731D"/>
    <w:rsid w:val="00147657"/>
    <w:rsid w:val="00147696"/>
    <w:rsid w:val="001479A9"/>
    <w:rsid w:val="00147B1B"/>
    <w:rsid w:val="00150782"/>
    <w:rsid w:val="001507DE"/>
    <w:rsid w:val="0015088B"/>
    <w:rsid w:val="00150BD4"/>
    <w:rsid w:val="00150C50"/>
    <w:rsid w:val="00151024"/>
    <w:rsid w:val="00151345"/>
    <w:rsid w:val="00151366"/>
    <w:rsid w:val="00151A19"/>
    <w:rsid w:val="00151E17"/>
    <w:rsid w:val="00151FAD"/>
    <w:rsid w:val="001520B0"/>
    <w:rsid w:val="001525CD"/>
    <w:rsid w:val="001548D2"/>
    <w:rsid w:val="00154B38"/>
    <w:rsid w:val="0015576C"/>
    <w:rsid w:val="00155F78"/>
    <w:rsid w:val="001563F5"/>
    <w:rsid w:val="00156A1A"/>
    <w:rsid w:val="00156A27"/>
    <w:rsid w:val="00156B73"/>
    <w:rsid w:val="00156C3B"/>
    <w:rsid w:val="001606EB"/>
    <w:rsid w:val="00160E7A"/>
    <w:rsid w:val="0016101F"/>
    <w:rsid w:val="00161A36"/>
    <w:rsid w:val="00161CAE"/>
    <w:rsid w:val="00161D1A"/>
    <w:rsid w:val="001627AC"/>
    <w:rsid w:val="001627D2"/>
    <w:rsid w:val="0016365A"/>
    <w:rsid w:val="00163E7E"/>
    <w:rsid w:val="00164513"/>
    <w:rsid w:val="0016515F"/>
    <w:rsid w:val="001654F7"/>
    <w:rsid w:val="0016584D"/>
    <w:rsid w:val="00165B42"/>
    <w:rsid w:val="0016606A"/>
    <w:rsid w:val="001668A6"/>
    <w:rsid w:val="001668E4"/>
    <w:rsid w:val="00166A58"/>
    <w:rsid w:val="00166DB9"/>
    <w:rsid w:val="00166FA2"/>
    <w:rsid w:val="001673F5"/>
    <w:rsid w:val="00167996"/>
    <w:rsid w:val="00167EC3"/>
    <w:rsid w:val="001702CD"/>
    <w:rsid w:val="00170BE2"/>
    <w:rsid w:val="00171BAD"/>
    <w:rsid w:val="00172373"/>
    <w:rsid w:val="0017277F"/>
    <w:rsid w:val="0017294F"/>
    <w:rsid w:val="001729AA"/>
    <w:rsid w:val="00172CF0"/>
    <w:rsid w:val="001730BE"/>
    <w:rsid w:val="00173887"/>
    <w:rsid w:val="00173F21"/>
    <w:rsid w:val="001743CF"/>
    <w:rsid w:val="0017475D"/>
    <w:rsid w:val="00174E8A"/>
    <w:rsid w:val="00174FB7"/>
    <w:rsid w:val="00175686"/>
    <w:rsid w:val="00175793"/>
    <w:rsid w:val="00175BA3"/>
    <w:rsid w:val="001761CA"/>
    <w:rsid w:val="001761D1"/>
    <w:rsid w:val="001761F7"/>
    <w:rsid w:val="001769CB"/>
    <w:rsid w:val="001805E7"/>
    <w:rsid w:val="00180E6A"/>
    <w:rsid w:val="001811A4"/>
    <w:rsid w:val="001812AB"/>
    <w:rsid w:val="001817D7"/>
    <w:rsid w:val="00181BEC"/>
    <w:rsid w:val="00182A95"/>
    <w:rsid w:val="00182E4F"/>
    <w:rsid w:val="00182F10"/>
    <w:rsid w:val="00182F3F"/>
    <w:rsid w:val="001836AB"/>
    <w:rsid w:val="001836C5"/>
    <w:rsid w:val="00183887"/>
    <w:rsid w:val="00183B86"/>
    <w:rsid w:val="00184FFC"/>
    <w:rsid w:val="0018557D"/>
    <w:rsid w:val="001855D7"/>
    <w:rsid w:val="00185CB8"/>
    <w:rsid w:val="00185D99"/>
    <w:rsid w:val="0018661D"/>
    <w:rsid w:val="00186BC5"/>
    <w:rsid w:val="00186EC6"/>
    <w:rsid w:val="00190918"/>
    <w:rsid w:val="00190BAB"/>
    <w:rsid w:val="00190BE7"/>
    <w:rsid w:val="00190D07"/>
    <w:rsid w:val="00191469"/>
    <w:rsid w:val="0019259E"/>
    <w:rsid w:val="00192A8A"/>
    <w:rsid w:val="00193072"/>
    <w:rsid w:val="0019377E"/>
    <w:rsid w:val="00194197"/>
    <w:rsid w:val="00194220"/>
    <w:rsid w:val="00195AAF"/>
    <w:rsid w:val="00195B8A"/>
    <w:rsid w:val="00195E00"/>
    <w:rsid w:val="0019651E"/>
    <w:rsid w:val="0019674A"/>
    <w:rsid w:val="00196A66"/>
    <w:rsid w:val="00196BF1"/>
    <w:rsid w:val="00196E84"/>
    <w:rsid w:val="0019730B"/>
    <w:rsid w:val="00197530"/>
    <w:rsid w:val="0019761F"/>
    <w:rsid w:val="0019777C"/>
    <w:rsid w:val="001A00F9"/>
    <w:rsid w:val="001A015A"/>
    <w:rsid w:val="001A0D36"/>
    <w:rsid w:val="001A0E48"/>
    <w:rsid w:val="001A0F25"/>
    <w:rsid w:val="001A118B"/>
    <w:rsid w:val="001A126D"/>
    <w:rsid w:val="001A1AAE"/>
    <w:rsid w:val="001A1E23"/>
    <w:rsid w:val="001A1F99"/>
    <w:rsid w:val="001A2620"/>
    <w:rsid w:val="001A335A"/>
    <w:rsid w:val="001A35D2"/>
    <w:rsid w:val="001A3C18"/>
    <w:rsid w:val="001A3FED"/>
    <w:rsid w:val="001A4281"/>
    <w:rsid w:val="001A4820"/>
    <w:rsid w:val="001A4BB9"/>
    <w:rsid w:val="001A53CA"/>
    <w:rsid w:val="001A5D1B"/>
    <w:rsid w:val="001A6509"/>
    <w:rsid w:val="001A6C8C"/>
    <w:rsid w:val="001A6E6E"/>
    <w:rsid w:val="001A7D74"/>
    <w:rsid w:val="001B03E0"/>
    <w:rsid w:val="001B0586"/>
    <w:rsid w:val="001B0FE6"/>
    <w:rsid w:val="001B1D2D"/>
    <w:rsid w:val="001B1FB2"/>
    <w:rsid w:val="001B1FDF"/>
    <w:rsid w:val="001B2467"/>
    <w:rsid w:val="001B260C"/>
    <w:rsid w:val="001B2AE4"/>
    <w:rsid w:val="001B2B78"/>
    <w:rsid w:val="001B3978"/>
    <w:rsid w:val="001B3E32"/>
    <w:rsid w:val="001B4143"/>
    <w:rsid w:val="001B4750"/>
    <w:rsid w:val="001B482D"/>
    <w:rsid w:val="001B4A41"/>
    <w:rsid w:val="001B4DC4"/>
    <w:rsid w:val="001B50F5"/>
    <w:rsid w:val="001B650F"/>
    <w:rsid w:val="001B700B"/>
    <w:rsid w:val="001B7210"/>
    <w:rsid w:val="001B7264"/>
    <w:rsid w:val="001B780C"/>
    <w:rsid w:val="001B78A7"/>
    <w:rsid w:val="001B7CEB"/>
    <w:rsid w:val="001B7EF3"/>
    <w:rsid w:val="001C0678"/>
    <w:rsid w:val="001C083C"/>
    <w:rsid w:val="001C0B1B"/>
    <w:rsid w:val="001C0BC0"/>
    <w:rsid w:val="001C0BCF"/>
    <w:rsid w:val="001C0F8B"/>
    <w:rsid w:val="001C1516"/>
    <w:rsid w:val="001C1927"/>
    <w:rsid w:val="001C1A3F"/>
    <w:rsid w:val="001C1BFE"/>
    <w:rsid w:val="001C1E68"/>
    <w:rsid w:val="001C2370"/>
    <w:rsid w:val="001C3A62"/>
    <w:rsid w:val="001C43F0"/>
    <w:rsid w:val="001C5402"/>
    <w:rsid w:val="001C5FC3"/>
    <w:rsid w:val="001C6123"/>
    <w:rsid w:val="001C7012"/>
    <w:rsid w:val="001C75CC"/>
    <w:rsid w:val="001D1567"/>
    <w:rsid w:val="001D16C2"/>
    <w:rsid w:val="001D1920"/>
    <w:rsid w:val="001D19EF"/>
    <w:rsid w:val="001D1AE3"/>
    <w:rsid w:val="001D22F6"/>
    <w:rsid w:val="001D25AE"/>
    <w:rsid w:val="001D312C"/>
    <w:rsid w:val="001D44B2"/>
    <w:rsid w:val="001D492C"/>
    <w:rsid w:val="001D5354"/>
    <w:rsid w:val="001D59D4"/>
    <w:rsid w:val="001D5A93"/>
    <w:rsid w:val="001D5DE9"/>
    <w:rsid w:val="001D69B2"/>
    <w:rsid w:val="001D7858"/>
    <w:rsid w:val="001D7B44"/>
    <w:rsid w:val="001D7F66"/>
    <w:rsid w:val="001E00C3"/>
    <w:rsid w:val="001E0127"/>
    <w:rsid w:val="001E0A8F"/>
    <w:rsid w:val="001E2094"/>
    <w:rsid w:val="001E225B"/>
    <w:rsid w:val="001E22BB"/>
    <w:rsid w:val="001E2774"/>
    <w:rsid w:val="001E27CE"/>
    <w:rsid w:val="001E28CB"/>
    <w:rsid w:val="001E384A"/>
    <w:rsid w:val="001E3DA8"/>
    <w:rsid w:val="001E5A36"/>
    <w:rsid w:val="001E618C"/>
    <w:rsid w:val="001E627E"/>
    <w:rsid w:val="001E62CA"/>
    <w:rsid w:val="001E63D9"/>
    <w:rsid w:val="001E6DCB"/>
    <w:rsid w:val="001F00D6"/>
    <w:rsid w:val="001F05ED"/>
    <w:rsid w:val="001F0AE3"/>
    <w:rsid w:val="001F10A6"/>
    <w:rsid w:val="001F16FB"/>
    <w:rsid w:val="001F223D"/>
    <w:rsid w:val="001F27D0"/>
    <w:rsid w:val="001F2B10"/>
    <w:rsid w:val="001F2EA6"/>
    <w:rsid w:val="001F31E6"/>
    <w:rsid w:val="001F3532"/>
    <w:rsid w:val="001F3B70"/>
    <w:rsid w:val="001F4DDC"/>
    <w:rsid w:val="001F4E1B"/>
    <w:rsid w:val="001F4E5F"/>
    <w:rsid w:val="001F5CC4"/>
    <w:rsid w:val="001F5D93"/>
    <w:rsid w:val="001F5F58"/>
    <w:rsid w:val="001F65D2"/>
    <w:rsid w:val="001F72EE"/>
    <w:rsid w:val="001F7F3D"/>
    <w:rsid w:val="001F7FAD"/>
    <w:rsid w:val="002009B7"/>
    <w:rsid w:val="00200C94"/>
    <w:rsid w:val="00200CD3"/>
    <w:rsid w:val="002013A2"/>
    <w:rsid w:val="002021E2"/>
    <w:rsid w:val="002022AB"/>
    <w:rsid w:val="002025CF"/>
    <w:rsid w:val="00202760"/>
    <w:rsid w:val="00202CE6"/>
    <w:rsid w:val="00203BA1"/>
    <w:rsid w:val="00204557"/>
    <w:rsid w:val="0020477C"/>
    <w:rsid w:val="002050FF"/>
    <w:rsid w:val="0020654C"/>
    <w:rsid w:val="00206558"/>
    <w:rsid w:val="00206703"/>
    <w:rsid w:val="0020794E"/>
    <w:rsid w:val="002119BC"/>
    <w:rsid w:val="00213D8B"/>
    <w:rsid w:val="00213DF3"/>
    <w:rsid w:val="002153DC"/>
    <w:rsid w:val="00215F06"/>
    <w:rsid w:val="00215F9B"/>
    <w:rsid w:val="002165A2"/>
    <w:rsid w:val="00216EB7"/>
    <w:rsid w:val="00217ED2"/>
    <w:rsid w:val="002202A9"/>
    <w:rsid w:val="00220AFF"/>
    <w:rsid w:val="00222034"/>
    <w:rsid w:val="00222246"/>
    <w:rsid w:val="00222793"/>
    <w:rsid w:val="00223144"/>
    <w:rsid w:val="002231E7"/>
    <w:rsid w:val="0022398F"/>
    <w:rsid w:val="002247DE"/>
    <w:rsid w:val="002251E3"/>
    <w:rsid w:val="002254D4"/>
    <w:rsid w:val="002257AD"/>
    <w:rsid w:val="00225B0B"/>
    <w:rsid w:val="00226B31"/>
    <w:rsid w:val="002270C6"/>
    <w:rsid w:val="0022735D"/>
    <w:rsid w:val="00227E96"/>
    <w:rsid w:val="00230215"/>
    <w:rsid w:val="00231599"/>
    <w:rsid w:val="00231774"/>
    <w:rsid w:val="00231875"/>
    <w:rsid w:val="00231D36"/>
    <w:rsid w:val="00232291"/>
    <w:rsid w:val="00233628"/>
    <w:rsid w:val="002337E4"/>
    <w:rsid w:val="00233946"/>
    <w:rsid w:val="002339CB"/>
    <w:rsid w:val="002339E1"/>
    <w:rsid w:val="00233FD2"/>
    <w:rsid w:val="002342D9"/>
    <w:rsid w:val="002346D7"/>
    <w:rsid w:val="00237A98"/>
    <w:rsid w:val="00237BBA"/>
    <w:rsid w:val="00240471"/>
    <w:rsid w:val="00240AA3"/>
    <w:rsid w:val="00241101"/>
    <w:rsid w:val="00241243"/>
    <w:rsid w:val="002427A4"/>
    <w:rsid w:val="00242A0D"/>
    <w:rsid w:val="00243081"/>
    <w:rsid w:val="002430DD"/>
    <w:rsid w:val="002433D7"/>
    <w:rsid w:val="002434FE"/>
    <w:rsid w:val="002435F0"/>
    <w:rsid w:val="00243D27"/>
    <w:rsid w:val="00243EDC"/>
    <w:rsid w:val="00243FC2"/>
    <w:rsid w:val="002442EF"/>
    <w:rsid w:val="002455A3"/>
    <w:rsid w:val="00245EBF"/>
    <w:rsid w:val="00246004"/>
    <w:rsid w:val="0024655F"/>
    <w:rsid w:val="002467C3"/>
    <w:rsid w:val="0024685F"/>
    <w:rsid w:val="00246BB6"/>
    <w:rsid w:val="0024731C"/>
    <w:rsid w:val="002477AB"/>
    <w:rsid w:val="002507B2"/>
    <w:rsid w:val="0025209E"/>
    <w:rsid w:val="002520C1"/>
    <w:rsid w:val="002521DE"/>
    <w:rsid w:val="00252631"/>
    <w:rsid w:val="00252652"/>
    <w:rsid w:val="002527CE"/>
    <w:rsid w:val="00254045"/>
    <w:rsid w:val="002546D1"/>
    <w:rsid w:val="002557B5"/>
    <w:rsid w:val="00256827"/>
    <w:rsid w:val="002572F0"/>
    <w:rsid w:val="00257377"/>
    <w:rsid w:val="00257E57"/>
    <w:rsid w:val="00260119"/>
    <w:rsid w:val="002608E2"/>
    <w:rsid w:val="00260A06"/>
    <w:rsid w:val="00260A62"/>
    <w:rsid w:val="00260D81"/>
    <w:rsid w:val="00261A43"/>
    <w:rsid w:val="00261B57"/>
    <w:rsid w:val="0026349C"/>
    <w:rsid w:val="0026639F"/>
    <w:rsid w:val="002663B8"/>
    <w:rsid w:val="00266A49"/>
    <w:rsid w:val="002671F8"/>
    <w:rsid w:val="002679FE"/>
    <w:rsid w:val="00270854"/>
    <w:rsid w:val="00270BED"/>
    <w:rsid w:val="00270FF1"/>
    <w:rsid w:val="00271D50"/>
    <w:rsid w:val="00271E51"/>
    <w:rsid w:val="0027292A"/>
    <w:rsid w:val="00272AC5"/>
    <w:rsid w:val="00273249"/>
    <w:rsid w:val="00274BF6"/>
    <w:rsid w:val="00274CF4"/>
    <w:rsid w:val="002750AB"/>
    <w:rsid w:val="0027661B"/>
    <w:rsid w:val="00276BFB"/>
    <w:rsid w:val="00276CFD"/>
    <w:rsid w:val="00276FC5"/>
    <w:rsid w:val="00277509"/>
    <w:rsid w:val="00280A47"/>
    <w:rsid w:val="00280A9F"/>
    <w:rsid w:val="00280CD0"/>
    <w:rsid w:val="002811BA"/>
    <w:rsid w:val="00281776"/>
    <w:rsid w:val="00281E2D"/>
    <w:rsid w:val="002826C5"/>
    <w:rsid w:val="00283217"/>
    <w:rsid w:val="00284310"/>
    <w:rsid w:val="0028502D"/>
    <w:rsid w:val="00285166"/>
    <w:rsid w:val="00285642"/>
    <w:rsid w:val="0028661F"/>
    <w:rsid w:val="00286B71"/>
    <w:rsid w:val="0028789C"/>
    <w:rsid w:val="002878B4"/>
    <w:rsid w:val="00290AA8"/>
    <w:rsid w:val="00290F25"/>
    <w:rsid w:val="00291939"/>
    <w:rsid w:val="002922D3"/>
    <w:rsid w:val="00292D28"/>
    <w:rsid w:val="00292FF0"/>
    <w:rsid w:val="00294DAE"/>
    <w:rsid w:val="00295349"/>
    <w:rsid w:val="002957CD"/>
    <w:rsid w:val="00295865"/>
    <w:rsid w:val="00295F18"/>
    <w:rsid w:val="00296701"/>
    <w:rsid w:val="0029757D"/>
    <w:rsid w:val="00297C79"/>
    <w:rsid w:val="00297FAA"/>
    <w:rsid w:val="002A0710"/>
    <w:rsid w:val="002A07B5"/>
    <w:rsid w:val="002A09FA"/>
    <w:rsid w:val="002A0A34"/>
    <w:rsid w:val="002A0A60"/>
    <w:rsid w:val="002A11E6"/>
    <w:rsid w:val="002A124A"/>
    <w:rsid w:val="002A14F4"/>
    <w:rsid w:val="002A21DE"/>
    <w:rsid w:val="002A23F4"/>
    <w:rsid w:val="002A2D0B"/>
    <w:rsid w:val="002A305C"/>
    <w:rsid w:val="002A3868"/>
    <w:rsid w:val="002A41F0"/>
    <w:rsid w:val="002A433D"/>
    <w:rsid w:val="002A4618"/>
    <w:rsid w:val="002A4D0A"/>
    <w:rsid w:val="002A5D20"/>
    <w:rsid w:val="002A62F1"/>
    <w:rsid w:val="002A637E"/>
    <w:rsid w:val="002A64F3"/>
    <w:rsid w:val="002A6D1C"/>
    <w:rsid w:val="002A7A6D"/>
    <w:rsid w:val="002B0224"/>
    <w:rsid w:val="002B0CBF"/>
    <w:rsid w:val="002B19AF"/>
    <w:rsid w:val="002B1AAF"/>
    <w:rsid w:val="002B1F00"/>
    <w:rsid w:val="002B2316"/>
    <w:rsid w:val="002B283A"/>
    <w:rsid w:val="002B2A60"/>
    <w:rsid w:val="002B2B16"/>
    <w:rsid w:val="002B2DDE"/>
    <w:rsid w:val="002B3B9B"/>
    <w:rsid w:val="002B47FE"/>
    <w:rsid w:val="002B5633"/>
    <w:rsid w:val="002B59C8"/>
    <w:rsid w:val="002B5D9C"/>
    <w:rsid w:val="002B6668"/>
    <w:rsid w:val="002B68E5"/>
    <w:rsid w:val="002B6BFF"/>
    <w:rsid w:val="002B708D"/>
    <w:rsid w:val="002B7325"/>
    <w:rsid w:val="002B7494"/>
    <w:rsid w:val="002C0318"/>
    <w:rsid w:val="002C04FF"/>
    <w:rsid w:val="002C05A7"/>
    <w:rsid w:val="002C0A9A"/>
    <w:rsid w:val="002C0C92"/>
    <w:rsid w:val="002C14CD"/>
    <w:rsid w:val="002C19C5"/>
    <w:rsid w:val="002C1A55"/>
    <w:rsid w:val="002C1B55"/>
    <w:rsid w:val="002C28E4"/>
    <w:rsid w:val="002C2967"/>
    <w:rsid w:val="002C2A75"/>
    <w:rsid w:val="002C31E4"/>
    <w:rsid w:val="002C31F8"/>
    <w:rsid w:val="002C32EF"/>
    <w:rsid w:val="002C32F5"/>
    <w:rsid w:val="002C3F2A"/>
    <w:rsid w:val="002C526C"/>
    <w:rsid w:val="002C5DCD"/>
    <w:rsid w:val="002C62A6"/>
    <w:rsid w:val="002C66E9"/>
    <w:rsid w:val="002C6E22"/>
    <w:rsid w:val="002C784B"/>
    <w:rsid w:val="002C7F91"/>
    <w:rsid w:val="002D0150"/>
    <w:rsid w:val="002D09CF"/>
    <w:rsid w:val="002D1A2C"/>
    <w:rsid w:val="002D23E8"/>
    <w:rsid w:val="002D283E"/>
    <w:rsid w:val="002D2850"/>
    <w:rsid w:val="002D31DC"/>
    <w:rsid w:val="002D32EF"/>
    <w:rsid w:val="002D390A"/>
    <w:rsid w:val="002D3F7F"/>
    <w:rsid w:val="002D4D3E"/>
    <w:rsid w:val="002D573E"/>
    <w:rsid w:val="002D68E2"/>
    <w:rsid w:val="002D7588"/>
    <w:rsid w:val="002E05FE"/>
    <w:rsid w:val="002E09F2"/>
    <w:rsid w:val="002E0A59"/>
    <w:rsid w:val="002E0B61"/>
    <w:rsid w:val="002E1051"/>
    <w:rsid w:val="002E1A32"/>
    <w:rsid w:val="002E1B01"/>
    <w:rsid w:val="002E2478"/>
    <w:rsid w:val="002E30A8"/>
    <w:rsid w:val="002E3324"/>
    <w:rsid w:val="002E3665"/>
    <w:rsid w:val="002E3AC4"/>
    <w:rsid w:val="002E4C88"/>
    <w:rsid w:val="002E5B4B"/>
    <w:rsid w:val="002E5BC8"/>
    <w:rsid w:val="002E5F81"/>
    <w:rsid w:val="002E6567"/>
    <w:rsid w:val="002E7062"/>
    <w:rsid w:val="002E7988"/>
    <w:rsid w:val="002F0B03"/>
    <w:rsid w:val="002F0B18"/>
    <w:rsid w:val="002F11EB"/>
    <w:rsid w:val="002F1576"/>
    <w:rsid w:val="002F1654"/>
    <w:rsid w:val="002F16A3"/>
    <w:rsid w:val="002F17CD"/>
    <w:rsid w:val="002F1C71"/>
    <w:rsid w:val="002F2086"/>
    <w:rsid w:val="002F2552"/>
    <w:rsid w:val="002F25C2"/>
    <w:rsid w:val="002F28AA"/>
    <w:rsid w:val="002F29EA"/>
    <w:rsid w:val="002F448F"/>
    <w:rsid w:val="002F4AEE"/>
    <w:rsid w:val="002F5D4C"/>
    <w:rsid w:val="002F6255"/>
    <w:rsid w:val="002F683E"/>
    <w:rsid w:val="002F6A8B"/>
    <w:rsid w:val="002F7314"/>
    <w:rsid w:val="002F7ED6"/>
    <w:rsid w:val="003001DA"/>
    <w:rsid w:val="00300254"/>
    <w:rsid w:val="00301574"/>
    <w:rsid w:val="00301995"/>
    <w:rsid w:val="00301A7A"/>
    <w:rsid w:val="00302679"/>
    <w:rsid w:val="00302A85"/>
    <w:rsid w:val="00303A0E"/>
    <w:rsid w:val="00303E23"/>
    <w:rsid w:val="00304AF4"/>
    <w:rsid w:val="003057A9"/>
    <w:rsid w:val="00305C05"/>
    <w:rsid w:val="00307014"/>
    <w:rsid w:val="003074CD"/>
    <w:rsid w:val="003100F8"/>
    <w:rsid w:val="003101A9"/>
    <w:rsid w:val="00310E68"/>
    <w:rsid w:val="00311728"/>
    <w:rsid w:val="00311BB6"/>
    <w:rsid w:val="00311E1F"/>
    <w:rsid w:val="00311F1D"/>
    <w:rsid w:val="00311F77"/>
    <w:rsid w:val="0031292D"/>
    <w:rsid w:val="00312E20"/>
    <w:rsid w:val="00315019"/>
    <w:rsid w:val="00315B9A"/>
    <w:rsid w:val="00316201"/>
    <w:rsid w:val="0031640D"/>
    <w:rsid w:val="00316874"/>
    <w:rsid w:val="003179E3"/>
    <w:rsid w:val="00317DC9"/>
    <w:rsid w:val="0032078F"/>
    <w:rsid w:val="003209AB"/>
    <w:rsid w:val="00320E5F"/>
    <w:rsid w:val="00320EBC"/>
    <w:rsid w:val="00322083"/>
    <w:rsid w:val="0032295F"/>
    <w:rsid w:val="00323615"/>
    <w:rsid w:val="003237F5"/>
    <w:rsid w:val="00323A84"/>
    <w:rsid w:val="00323BD8"/>
    <w:rsid w:val="00324230"/>
    <w:rsid w:val="003243B1"/>
    <w:rsid w:val="003251A6"/>
    <w:rsid w:val="003251C2"/>
    <w:rsid w:val="00325A51"/>
    <w:rsid w:val="00325B0E"/>
    <w:rsid w:val="00325E94"/>
    <w:rsid w:val="00326EB4"/>
    <w:rsid w:val="00330371"/>
    <w:rsid w:val="00330BED"/>
    <w:rsid w:val="00330E17"/>
    <w:rsid w:val="003310C1"/>
    <w:rsid w:val="00331A22"/>
    <w:rsid w:val="00331DBA"/>
    <w:rsid w:val="00332203"/>
    <w:rsid w:val="0033242E"/>
    <w:rsid w:val="0033247E"/>
    <w:rsid w:val="00332BF7"/>
    <w:rsid w:val="00332E32"/>
    <w:rsid w:val="003330B5"/>
    <w:rsid w:val="00333FE0"/>
    <w:rsid w:val="003346EF"/>
    <w:rsid w:val="00335BCA"/>
    <w:rsid w:val="00336530"/>
    <w:rsid w:val="003366EF"/>
    <w:rsid w:val="00336B4C"/>
    <w:rsid w:val="00337628"/>
    <w:rsid w:val="0033787E"/>
    <w:rsid w:val="00337EB7"/>
    <w:rsid w:val="0034067F"/>
    <w:rsid w:val="00340CB5"/>
    <w:rsid w:val="00340ECA"/>
    <w:rsid w:val="00340EF3"/>
    <w:rsid w:val="0034151E"/>
    <w:rsid w:val="0034196B"/>
    <w:rsid w:val="00341D2F"/>
    <w:rsid w:val="0034205D"/>
    <w:rsid w:val="0034217F"/>
    <w:rsid w:val="0034279C"/>
    <w:rsid w:val="00342D30"/>
    <w:rsid w:val="00342E30"/>
    <w:rsid w:val="0034318F"/>
    <w:rsid w:val="0034364D"/>
    <w:rsid w:val="003439B3"/>
    <w:rsid w:val="00344071"/>
    <w:rsid w:val="00344391"/>
    <w:rsid w:val="00345181"/>
    <w:rsid w:val="003452AF"/>
    <w:rsid w:val="003452F6"/>
    <w:rsid w:val="00345654"/>
    <w:rsid w:val="003465C9"/>
    <w:rsid w:val="003467F8"/>
    <w:rsid w:val="00346BBB"/>
    <w:rsid w:val="0035013C"/>
    <w:rsid w:val="0035027A"/>
    <w:rsid w:val="00352895"/>
    <w:rsid w:val="00352A83"/>
    <w:rsid w:val="0035339C"/>
    <w:rsid w:val="00353AEA"/>
    <w:rsid w:val="003540FD"/>
    <w:rsid w:val="003554D0"/>
    <w:rsid w:val="00355621"/>
    <w:rsid w:val="00355AB8"/>
    <w:rsid w:val="00355DD5"/>
    <w:rsid w:val="00356DD5"/>
    <w:rsid w:val="003607F0"/>
    <w:rsid w:val="00360AAA"/>
    <w:rsid w:val="00360C77"/>
    <w:rsid w:val="00360DD0"/>
    <w:rsid w:val="00361F3A"/>
    <w:rsid w:val="00362351"/>
    <w:rsid w:val="00362BF1"/>
    <w:rsid w:val="00362CFB"/>
    <w:rsid w:val="00363502"/>
    <w:rsid w:val="00363779"/>
    <w:rsid w:val="00364EFB"/>
    <w:rsid w:val="00365C2B"/>
    <w:rsid w:val="0036625F"/>
    <w:rsid w:val="003665F1"/>
    <w:rsid w:val="00367105"/>
    <w:rsid w:val="0036747D"/>
    <w:rsid w:val="0036793E"/>
    <w:rsid w:val="00367C07"/>
    <w:rsid w:val="00367DD9"/>
    <w:rsid w:val="00370409"/>
    <w:rsid w:val="00370AB8"/>
    <w:rsid w:val="003715E4"/>
    <w:rsid w:val="00371853"/>
    <w:rsid w:val="003723E4"/>
    <w:rsid w:val="003727CA"/>
    <w:rsid w:val="00373274"/>
    <w:rsid w:val="0037342D"/>
    <w:rsid w:val="0037352E"/>
    <w:rsid w:val="003742D8"/>
    <w:rsid w:val="00374765"/>
    <w:rsid w:val="00375457"/>
    <w:rsid w:val="00375591"/>
    <w:rsid w:val="003760B1"/>
    <w:rsid w:val="0038007B"/>
    <w:rsid w:val="003800D0"/>
    <w:rsid w:val="003803B6"/>
    <w:rsid w:val="00380440"/>
    <w:rsid w:val="00380A49"/>
    <w:rsid w:val="00380D0E"/>
    <w:rsid w:val="00381508"/>
    <w:rsid w:val="003817B6"/>
    <w:rsid w:val="003818B7"/>
    <w:rsid w:val="00381BEC"/>
    <w:rsid w:val="00381BF5"/>
    <w:rsid w:val="0038214C"/>
    <w:rsid w:val="003826DA"/>
    <w:rsid w:val="003826DC"/>
    <w:rsid w:val="0038288E"/>
    <w:rsid w:val="00382DE4"/>
    <w:rsid w:val="0038333F"/>
    <w:rsid w:val="00383CA4"/>
    <w:rsid w:val="003842FC"/>
    <w:rsid w:val="00384588"/>
    <w:rsid w:val="0038581E"/>
    <w:rsid w:val="00385B04"/>
    <w:rsid w:val="00387112"/>
    <w:rsid w:val="00387AF2"/>
    <w:rsid w:val="00387DBC"/>
    <w:rsid w:val="003903CB"/>
    <w:rsid w:val="00390464"/>
    <w:rsid w:val="00390581"/>
    <w:rsid w:val="00390595"/>
    <w:rsid w:val="00390860"/>
    <w:rsid w:val="00391502"/>
    <w:rsid w:val="00392FE7"/>
    <w:rsid w:val="00393726"/>
    <w:rsid w:val="00393B8C"/>
    <w:rsid w:val="00394596"/>
    <w:rsid w:val="00394ADF"/>
    <w:rsid w:val="00395276"/>
    <w:rsid w:val="00395908"/>
    <w:rsid w:val="00397188"/>
    <w:rsid w:val="00397855"/>
    <w:rsid w:val="00397F52"/>
    <w:rsid w:val="003A1A91"/>
    <w:rsid w:val="003A1E77"/>
    <w:rsid w:val="003A322E"/>
    <w:rsid w:val="003A33B6"/>
    <w:rsid w:val="003A33BF"/>
    <w:rsid w:val="003A36F4"/>
    <w:rsid w:val="003A3744"/>
    <w:rsid w:val="003A3A36"/>
    <w:rsid w:val="003A407B"/>
    <w:rsid w:val="003A4098"/>
    <w:rsid w:val="003A410F"/>
    <w:rsid w:val="003A46A4"/>
    <w:rsid w:val="003A4867"/>
    <w:rsid w:val="003A497B"/>
    <w:rsid w:val="003A4A77"/>
    <w:rsid w:val="003A4A87"/>
    <w:rsid w:val="003A510D"/>
    <w:rsid w:val="003A6021"/>
    <w:rsid w:val="003A641B"/>
    <w:rsid w:val="003A6E9B"/>
    <w:rsid w:val="003A73E4"/>
    <w:rsid w:val="003A776C"/>
    <w:rsid w:val="003A7A1F"/>
    <w:rsid w:val="003A7C3F"/>
    <w:rsid w:val="003A7E17"/>
    <w:rsid w:val="003B0D61"/>
    <w:rsid w:val="003B19D7"/>
    <w:rsid w:val="003B1AB9"/>
    <w:rsid w:val="003B1C0A"/>
    <w:rsid w:val="003B23C2"/>
    <w:rsid w:val="003B2FC8"/>
    <w:rsid w:val="003B3D82"/>
    <w:rsid w:val="003B4644"/>
    <w:rsid w:val="003B540B"/>
    <w:rsid w:val="003B54B6"/>
    <w:rsid w:val="003B555E"/>
    <w:rsid w:val="003B6F06"/>
    <w:rsid w:val="003B725A"/>
    <w:rsid w:val="003B7283"/>
    <w:rsid w:val="003B755F"/>
    <w:rsid w:val="003B79B7"/>
    <w:rsid w:val="003B7C29"/>
    <w:rsid w:val="003B7F36"/>
    <w:rsid w:val="003C057B"/>
    <w:rsid w:val="003C072C"/>
    <w:rsid w:val="003C0847"/>
    <w:rsid w:val="003C0A28"/>
    <w:rsid w:val="003C0C2D"/>
    <w:rsid w:val="003C0FA0"/>
    <w:rsid w:val="003C11F7"/>
    <w:rsid w:val="003C18A2"/>
    <w:rsid w:val="003C1DAA"/>
    <w:rsid w:val="003C28A6"/>
    <w:rsid w:val="003C30C5"/>
    <w:rsid w:val="003C3489"/>
    <w:rsid w:val="003C37A1"/>
    <w:rsid w:val="003C4796"/>
    <w:rsid w:val="003C4850"/>
    <w:rsid w:val="003C5333"/>
    <w:rsid w:val="003C55D1"/>
    <w:rsid w:val="003C5779"/>
    <w:rsid w:val="003C5A7A"/>
    <w:rsid w:val="003C60CE"/>
    <w:rsid w:val="003C610A"/>
    <w:rsid w:val="003C63D2"/>
    <w:rsid w:val="003C6960"/>
    <w:rsid w:val="003C6A08"/>
    <w:rsid w:val="003C6C70"/>
    <w:rsid w:val="003C6D6C"/>
    <w:rsid w:val="003C6FDD"/>
    <w:rsid w:val="003C75A4"/>
    <w:rsid w:val="003C7651"/>
    <w:rsid w:val="003C7C5B"/>
    <w:rsid w:val="003D05BE"/>
    <w:rsid w:val="003D0FF1"/>
    <w:rsid w:val="003D1D1A"/>
    <w:rsid w:val="003D33F7"/>
    <w:rsid w:val="003D3592"/>
    <w:rsid w:val="003D359A"/>
    <w:rsid w:val="003D3873"/>
    <w:rsid w:val="003D38B0"/>
    <w:rsid w:val="003D3B08"/>
    <w:rsid w:val="003D469D"/>
    <w:rsid w:val="003D4F99"/>
    <w:rsid w:val="003D540B"/>
    <w:rsid w:val="003D5458"/>
    <w:rsid w:val="003D66DA"/>
    <w:rsid w:val="003D67F2"/>
    <w:rsid w:val="003D7179"/>
    <w:rsid w:val="003D7189"/>
    <w:rsid w:val="003D7642"/>
    <w:rsid w:val="003D7699"/>
    <w:rsid w:val="003D7D8B"/>
    <w:rsid w:val="003E009C"/>
    <w:rsid w:val="003E029E"/>
    <w:rsid w:val="003E0617"/>
    <w:rsid w:val="003E0771"/>
    <w:rsid w:val="003E10E1"/>
    <w:rsid w:val="003E146A"/>
    <w:rsid w:val="003E1817"/>
    <w:rsid w:val="003E1AAA"/>
    <w:rsid w:val="003E1FB8"/>
    <w:rsid w:val="003E26DC"/>
    <w:rsid w:val="003E3005"/>
    <w:rsid w:val="003E3F3D"/>
    <w:rsid w:val="003E4623"/>
    <w:rsid w:val="003E4C0D"/>
    <w:rsid w:val="003E55CA"/>
    <w:rsid w:val="003E593E"/>
    <w:rsid w:val="003E59A5"/>
    <w:rsid w:val="003E59A9"/>
    <w:rsid w:val="003E6352"/>
    <w:rsid w:val="003E668F"/>
    <w:rsid w:val="003F01BB"/>
    <w:rsid w:val="003F07FA"/>
    <w:rsid w:val="003F0B65"/>
    <w:rsid w:val="003F1063"/>
    <w:rsid w:val="003F1319"/>
    <w:rsid w:val="003F152B"/>
    <w:rsid w:val="003F1B5B"/>
    <w:rsid w:val="003F2F18"/>
    <w:rsid w:val="003F3158"/>
    <w:rsid w:val="003F322D"/>
    <w:rsid w:val="003F3723"/>
    <w:rsid w:val="003F3E40"/>
    <w:rsid w:val="003F3FA8"/>
    <w:rsid w:val="003F422B"/>
    <w:rsid w:val="003F4270"/>
    <w:rsid w:val="003F42C4"/>
    <w:rsid w:val="003F4B95"/>
    <w:rsid w:val="003F5471"/>
    <w:rsid w:val="003F5A42"/>
    <w:rsid w:val="003F6B51"/>
    <w:rsid w:val="003F73A8"/>
    <w:rsid w:val="003F73F6"/>
    <w:rsid w:val="003F74BB"/>
    <w:rsid w:val="003F7D42"/>
    <w:rsid w:val="003F7D46"/>
    <w:rsid w:val="0040090A"/>
    <w:rsid w:val="0040093D"/>
    <w:rsid w:val="00400F77"/>
    <w:rsid w:val="0040101B"/>
    <w:rsid w:val="004010B8"/>
    <w:rsid w:val="00401E47"/>
    <w:rsid w:val="00402356"/>
    <w:rsid w:val="00402B51"/>
    <w:rsid w:val="004038D3"/>
    <w:rsid w:val="004041F9"/>
    <w:rsid w:val="0040434B"/>
    <w:rsid w:val="0040438C"/>
    <w:rsid w:val="0040457E"/>
    <w:rsid w:val="00404DF8"/>
    <w:rsid w:val="00405777"/>
    <w:rsid w:val="00405AE8"/>
    <w:rsid w:val="00407507"/>
    <w:rsid w:val="00407519"/>
    <w:rsid w:val="00407792"/>
    <w:rsid w:val="00407F5F"/>
    <w:rsid w:val="0041018A"/>
    <w:rsid w:val="004106CA"/>
    <w:rsid w:val="00410765"/>
    <w:rsid w:val="004109AF"/>
    <w:rsid w:val="0041112C"/>
    <w:rsid w:val="00411207"/>
    <w:rsid w:val="00411B31"/>
    <w:rsid w:val="0041222C"/>
    <w:rsid w:val="00412E45"/>
    <w:rsid w:val="00413B15"/>
    <w:rsid w:val="00413BB6"/>
    <w:rsid w:val="00413F9F"/>
    <w:rsid w:val="0041424D"/>
    <w:rsid w:val="00414409"/>
    <w:rsid w:val="00414415"/>
    <w:rsid w:val="0041491F"/>
    <w:rsid w:val="00414CC2"/>
    <w:rsid w:val="00415022"/>
    <w:rsid w:val="00415476"/>
    <w:rsid w:val="00415C4A"/>
    <w:rsid w:val="00416342"/>
    <w:rsid w:val="00416347"/>
    <w:rsid w:val="004170D5"/>
    <w:rsid w:val="0041774E"/>
    <w:rsid w:val="00417C85"/>
    <w:rsid w:val="0042054C"/>
    <w:rsid w:val="00420A21"/>
    <w:rsid w:val="00420DBC"/>
    <w:rsid w:val="00422BF0"/>
    <w:rsid w:val="00422FC0"/>
    <w:rsid w:val="004231F8"/>
    <w:rsid w:val="004232F4"/>
    <w:rsid w:val="00423F5A"/>
    <w:rsid w:val="0042594C"/>
    <w:rsid w:val="0042690D"/>
    <w:rsid w:val="0042701D"/>
    <w:rsid w:val="00427418"/>
    <w:rsid w:val="00427495"/>
    <w:rsid w:val="00427A03"/>
    <w:rsid w:val="004303D7"/>
    <w:rsid w:val="00431649"/>
    <w:rsid w:val="00431AE4"/>
    <w:rsid w:val="00431F25"/>
    <w:rsid w:val="00432749"/>
    <w:rsid w:val="00432CC2"/>
    <w:rsid w:val="00432EAD"/>
    <w:rsid w:val="00433B62"/>
    <w:rsid w:val="004340C7"/>
    <w:rsid w:val="00434410"/>
    <w:rsid w:val="00434448"/>
    <w:rsid w:val="00434453"/>
    <w:rsid w:val="00434681"/>
    <w:rsid w:val="00434719"/>
    <w:rsid w:val="00434B6C"/>
    <w:rsid w:val="00434CF5"/>
    <w:rsid w:val="00434E2E"/>
    <w:rsid w:val="00435618"/>
    <w:rsid w:val="0043579C"/>
    <w:rsid w:val="00435A08"/>
    <w:rsid w:val="0043600D"/>
    <w:rsid w:val="00436061"/>
    <w:rsid w:val="00436552"/>
    <w:rsid w:val="004370AC"/>
    <w:rsid w:val="004372D2"/>
    <w:rsid w:val="0043787A"/>
    <w:rsid w:val="004379F7"/>
    <w:rsid w:val="00437D1C"/>
    <w:rsid w:val="004417E2"/>
    <w:rsid w:val="00442119"/>
    <w:rsid w:val="004425C4"/>
    <w:rsid w:val="00443200"/>
    <w:rsid w:val="004434FF"/>
    <w:rsid w:val="004441B3"/>
    <w:rsid w:val="004449C7"/>
    <w:rsid w:val="004450F0"/>
    <w:rsid w:val="004454DB"/>
    <w:rsid w:val="00447B34"/>
    <w:rsid w:val="00447D68"/>
    <w:rsid w:val="00451280"/>
    <w:rsid w:val="00451C54"/>
    <w:rsid w:val="00451DCB"/>
    <w:rsid w:val="0045274D"/>
    <w:rsid w:val="00452938"/>
    <w:rsid w:val="00452A1F"/>
    <w:rsid w:val="00453027"/>
    <w:rsid w:val="00453090"/>
    <w:rsid w:val="00453999"/>
    <w:rsid w:val="00453C5C"/>
    <w:rsid w:val="00453CB1"/>
    <w:rsid w:val="004540F3"/>
    <w:rsid w:val="00454701"/>
    <w:rsid w:val="004549F8"/>
    <w:rsid w:val="00454ED5"/>
    <w:rsid w:val="004561A8"/>
    <w:rsid w:val="00456615"/>
    <w:rsid w:val="00456678"/>
    <w:rsid w:val="00456B8A"/>
    <w:rsid w:val="00457837"/>
    <w:rsid w:val="00457C08"/>
    <w:rsid w:val="00457D23"/>
    <w:rsid w:val="00457E82"/>
    <w:rsid w:val="0046028C"/>
    <w:rsid w:val="00460B6E"/>
    <w:rsid w:val="00461CB1"/>
    <w:rsid w:val="00461FD7"/>
    <w:rsid w:val="00462DF2"/>
    <w:rsid w:val="0046358B"/>
    <w:rsid w:val="00463DBA"/>
    <w:rsid w:val="00464912"/>
    <w:rsid w:val="00465043"/>
    <w:rsid w:val="00465618"/>
    <w:rsid w:val="004658FD"/>
    <w:rsid w:val="00465B03"/>
    <w:rsid w:val="00465EC0"/>
    <w:rsid w:val="004666F4"/>
    <w:rsid w:val="00466EB7"/>
    <w:rsid w:val="0046775E"/>
    <w:rsid w:val="00467DC3"/>
    <w:rsid w:val="00470831"/>
    <w:rsid w:val="00471B36"/>
    <w:rsid w:val="00471C5E"/>
    <w:rsid w:val="004726B2"/>
    <w:rsid w:val="00472AF5"/>
    <w:rsid w:val="00473959"/>
    <w:rsid w:val="00473BFA"/>
    <w:rsid w:val="00474295"/>
    <w:rsid w:val="0047503F"/>
    <w:rsid w:val="00475232"/>
    <w:rsid w:val="00475979"/>
    <w:rsid w:val="00475AF1"/>
    <w:rsid w:val="00476902"/>
    <w:rsid w:val="0047691E"/>
    <w:rsid w:val="00476D87"/>
    <w:rsid w:val="004773F2"/>
    <w:rsid w:val="0047749C"/>
    <w:rsid w:val="004775DA"/>
    <w:rsid w:val="00477B2E"/>
    <w:rsid w:val="00480272"/>
    <w:rsid w:val="00480346"/>
    <w:rsid w:val="004804F6"/>
    <w:rsid w:val="004806ED"/>
    <w:rsid w:val="00480E19"/>
    <w:rsid w:val="00480FBC"/>
    <w:rsid w:val="0048158D"/>
    <w:rsid w:val="00481F06"/>
    <w:rsid w:val="00482379"/>
    <w:rsid w:val="0048241D"/>
    <w:rsid w:val="00482822"/>
    <w:rsid w:val="00482F2E"/>
    <w:rsid w:val="004834A7"/>
    <w:rsid w:val="004837E6"/>
    <w:rsid w:val="00483BCD"/>
    <w:rsid w:val="00485827"/>
    <w:rsid w:val="00485F3A"/>
    <w:rsid w:val="004879CA"/>
    <w:rsid w:val="00487A8B"/>
    <w:rsid w:val="00490191"/>
    <w:rsid w:val="00490561"/>
    <w:rsid w:val="00491044"/>
    <w:rsid w:val="0049126A"/>
    <w:rsid w:val="00492B76"/>
    <w:rsid w:val="00492D51"/>
    <w:rsid w:val="00492E59"/>
    <w:rsid w:val="004930AF"/>
    <w:rsid w:val="00493EA8"/>
    <w:rsid w:val="00494374"/>
    <w:rsid w:val="00494562"/>
    <w:rsid w:val="00494B40"/>
    <w:rsid w:val="00494C04"/>
    <w:rsid w:val="00495716"/>
    <w:rsid w:val="00495C78"/>
    <w:rsid w:val="00496502"/>
    <w:rsid w:val="00496BDE"/>
    <w:rsid w:val="00496F8C"/>
    <w:rsid w:val="00497505"/>
    <w:rsid w:val="00497BC2"/>
    <w:rsid w:val="004A02C2"/>
    <w:rsid w:val="004A042D"/>
    <w:rsid w:val="004A050B"/>
    <w:rsid w:val="004A0BA8"/>
    <w:rsid w:val="004A0C74"/>
    <w:rsid w:val="004A1804"/>
    <w:rsid w:val="004A1B3D"/>
    <w:rsid w:val="004A1C3D"/>
    <w:rsid w:val="004A25AD"/>
    <w:rsid w:val="004A2765"/>
    <w:rsid w:val="004A2B79"/>
    <w:rsid w:val="004A308F"/>
    <w:rsid w:val="004A38B0"/>
    <w:rsid w:val="004A422B"/>
    <w:rsid w:val="004A4A90"/>
    <w:rsid w:val="004A4B34"/>
    <w:rsid w:val="004A5535"/>
    <w:rsid w:val="004A5CA2"/>
    <w:rsid w:val="004A5D4F"/>
    <w:rsid w:val="004A6F68"/>
    <w:rsid w:val="004A725F"/>
    <w:rsid w:val="004A7C24"/>
    <w:rsid w:val="004A7CFF"/>
    <w:rsid w:val="004B0A35"/>
    <w:rsid w:val="004B0A7C"/>
    <w:rsid w:val="004B0F57"/>
    <w:rsid w:val="004B2596"/>
    <w:rsid w:val="004B2F19"/>
    <w:rsid w:val="004B32FB"/>
    <w:rsid w:val="004B3336"/>
    <w:rsid w:val="004B36AE"/>
    <w:rsid w:val="004B383B"/>
    <w:rsid w:val="004B3C3B"/>
    <w:rsid w:val="004B40D8"/>
    <w:rsid w:val="004B4314"/>
    <w:rsid w:val="004B5E6C"/>
    <w:rsid w:val="004B5F5F"/>
    <w:rsid w:val="004B5F8A"/>
    <w:rsid w:val="004B60D0"/>
    <w:rsid w:val="004B615B"/>
    <w:rsid w:val="004B632D"/>
    <w:rsid w:val="004B666A"/>
    <w:rsid w:val="004B679D"/>
    <w:rsid w:val="004B6FAB"/>
    <w:rsid w:val="004B7748"/>
    <w:rsid w:val="004C0BCB"/>
    <w:rsid w:val="004C1D70"/>
    <w:rsid w:val="004C22DD"/>
    <w:rsid w:val="004C2D57"/>
    <w:rsid w:val="004C31AA"/>
    <w:rsid w:val="004C31E7"/>
    <w:rsid w:val="004C3391"/>
    <w:rsid w:val="004C34A9"/>
    <w:rsid w:val="004C3738"/>
    <w:rsid w:val="004C4DBD"/>
    <w:rsid w:val="004C51BC"/>
    <w:rsid w:val="004C5519"/>
    <w:rsid w:val="004C5FD5"/>
    <w:rsid w:val="004C620B"/>
    <w:rsid w:val="004C6673"/>
    <w:rsid w:val="004C6DE5"/>
    <w:rsid w:val="004C70E1"/>
    <w:rsid w:val="004C74A3"/>
    <w:rsid w:val="004C753F"/>
    <w:rsid w:val="004D153A"/>
    <w:rsid w:val="004D1906"/>
    <w:rsid w:val="004D2FBB"/>
    <w:rsid w:val="004D356F"/>
    <w:rsid w:val="004D407F"/>
    <w:rsid w:val="004D4356"/>
    <w:rsid w:val="004D4AF8"/>
    <w:rsid w:val="004D4BD6"/>
    <w:rsid w:val="004D4DDB"/>
    <w:rsid w:val="004D5901"/>
    <w:rsid w:val="004D5F2E"/>
    <w:rsid w:val="004D6B17"/>
    <w:rsid w:val="004D6D0D"/>
    <w:rsid w:val="004D7053"/>
    <w:rsid w:val="004E124B"/>
    <w:rsid w:val="004E173D"/>
    <w:rsid w:val="004E1BEA"/>
    <w:rsid w:val="004E294B"/>
    <w:rsid w:val="004E2D0E"/>
    <w:rsid w:val="004E2DEE"/>
    <w:rsid w:val="004E2FF2"/>
    <w:rsid w:val="004E3412"/>
    <w:rsid w:val="004E3F27"/>
    <w:rsid w:val="004E42A9"/>
    <w:rsid w:val="004E4F4E"/>
    <w:rsid w:val="004E4FB6"/>
    <w:rsid w:val="004E52E1"/>
    <w:rsid w:val="004E57C0"/>
    <w:rsid w:val="004E5A95"/>
    <w:rsid w:val="004E5C89"/>
    <w:rsid w:val="004E6AA3"/>
    <w:rsid w:val="004E7252"/>
    <w:rsid w:val="004E75C9"/>
    <w:rsid w:val="004E7D07"/>
    <w:rsid w:val="004E7E01"/>
    <w:rsid w:val="004F01AE"/>
    <w:rsid w:val="004F0397"/>
    <w:rsid w:val="004F0A22"/>
    <w:rsid w:val="004F0BBF"/>
    <w:rsid w:val="004F1AAF"/>
    <w:rsid w:val="004F1D99"/>
    <w:rsid w:val="004F1E2E"/>
    <w:rsid w:val="004F26FF"/>
    <w:rsid w:val="004F2CF6"/>
    <w:rsid w:val="004F319A"/>
    <w:rsid w:val="004F3BB0"/>
    <w:rsid w:val="004F4087"/>
    <w:rsid w:val="004F42F5"/>
    <w:rsid w:val="004F4537"/>
    <w:rsid w:val="004F4568"/>
    <w:rsid w:val="004F4783"/>
    <w:rsid w:val="004F5DE4"/>
    <w:rsid w:val="004F6DB5"/>
    <w:rsid w:val="004F79A7"/>
    <w:rsid w:val="004F7F5E"/>
    <w:rsid w:val="00500112"/>
    <w:rsid w:val="00500305"/>
    <w:rsid w:val="0050044A"/>
    <w:rsid w:val="00501033"/>
    <w:rsid w:val="005014F7"/>
    <w:rsid w:val="00501B39"/>
    <w:rsid w:val="005022C2"/>
    <w:rsid w:val="005028E3"/>
    <w:rsid w:val="005032E8"/>
    <w:rsid w:val="005035DC"/>
    <w:rsid w:val="0050371F"/>
    <w:rsid w:val="00503942"/>
    <w:rsid w:val="00503BEB"/>
    <w:rsid w:val="005040C2"/>
    <w:rsid w:val="0050489D"/>
    <w:rsid w:val="00505386"/>
    <w:rsid w:val="00506470"/>
    <w:rsid w:val="00506897"/>
    <w:rsid w:val="005072B9"/>
    <w:rsid w:val="00510471"/>
    <w:rsid w:val="00511528"/>
    <w:rsid w:val="005122FC"/>
    <w:rsid w:val="005124F5"/>
    <w:rsid w:val="00512515"/>
    <w:rsid w:val="005125D6"/>
    <w:rsid w:val="005125DB"/>
    <w:rsid w:val="00513125"/>
    <w:rsid w:val="00515126"/>
    <w:rsid w:val="005157B0"/>
    <w:rsid w:val="0051713A"/>
    <w:rsid w:val="00517587"/>
    <w:rsid w:val="0051791C"/>
    <w:rsid w:val="00517BB9"/>
    <w:rsid w:val="00517D50"/>
    <w:rsid w:val="00517E05"/>
    <w:rsid w:val="00517F47"/>
    <w:rsid w:val="0052091C"/>
    <w:rsid w:val="00520F46"/>
    <w:rsid w:val="00520FE0"/>
    <w:rsid w:val="00520FF7"/>
    <w:rsid w:val="00521978"/>
    <w:rsid w:val="00522762"/>
    <w:rsid w:val="00522CCF"/>
    <w:rsid w:val="0052323D"/>
    <w:rsid w:val="00523A24"/>
    <w:rsid w:val="00523FA2"/>
    <w:rsid w:val="0052551C"/>
    <w:rsid w:val="00526055"/>
    <w:rsid w:val="0052701F"/>
    <w:rsid w:val="00527079"/>
    <w:rsid w:val="0052749E"/>
    <w:rsid w:val="00527D04"/>
    <w:rsid w:val="00527E47"/>
    <w:rsid w:val="0053039F"/>
    <w:rsid w:val="00531D8B"/>
    <w:rsid w:val="00532292"/>
    <w:rsid w:val="005336B9"/>
    <w:rsid w:val="005336CE"/>
    <w:rsid w:val="00533823"/>
    <w:rsid w:val="00533AC7"/>
    <w:rsid w:val="005342C4"/>
    <w:rsid w:val="005346AD"/>
    <w:rsid w:val="00534E20"/>
    <w:rsid w:val="005350FE"/>
    <w:rsid w:val="0053577B"/>
    <w:rsid w:val="005357C0"/>
    <w:rsid w:val="00535AAF"/>
    <w:rsid w:val="00535B96"/>
    <w:rsid w:val="005365AC"/>
    <w:rsid w:val="00537193"/>
    <w:rsid w:val="0054029A"/>
    <w:rsid w:val="0054052D"/>
    <w:rsid w:val="00540595"/>
    <w:rsid w:val="00541AA4"/>
    <w:rsid w:val="00541AC7"/>
    <w:rsid w:val="00541FAF"/>
    <w:rsid w:val="005423C3"/>
    <w:rsid w:val="00543071"/>
    <w:rsid w:val="0054341D"/>
    <w:rsid w:val="0054391D"/>
    <w:rsid w:val="005441DC"/>
    <w:rsid w:val="00544575"/>
    <w:rsid w:val="005448B1"/>
    <w:rsid w:val="005449BF"/>
    <w:rsid w:val="00545190"/>
    <w:rsid w:val="005451C5"/>
    <w:rsid w:val="00545792"/>
    <w:rsid w:val="00545D20"/>
    <w:rsid w:val="00546662"/>
    <w:rsid w:val="00546935"/>
    <w:rsid w:val="00546D19"/>
    <w:rsid w:val="0054700C"/>
    <w:rsid w:val="00547055"/>
    <w:rsid w:val="005505C0"/>
    <w:rsid w:val="005507E5"/>
    <w:rsid w:val="00550F35"/>
    <w:rsid w:val="005511E6"/>
    <w:rsid w:val="00552E56"/>
    <w:rsid w:val="00553332"/>
    <w:rsid w:val="005533E1"/>
    <w:rsid w:val="00553B7B"/>
    <w:rsid w:val="00553F0D"/>
    <w:rsid w:val="005540B9"/>
    <w:rsid w:val="005540CF"/>
    <w:rsid w:val="00554138"/>
    <w:rsid w:val="005546D3"/>
    <w:rsid w:val="00554A8F"/>
    <w:rsid w:val="005551CB"/>
    <w:rsid w:val="00555682"/>
    <w:rsid w:val="00555687"/>
    <w:rsid w:val="005559EA"/>
    <w:rsid w:val="00555E5A"/>
    <w:rsid w:val="00556A20"/>
    <w:rsid w:val="005571C0"/>
    <w:rsid w:val="005571E1"/>
    <w:rsid w:val="00557484"/>
    <w:rsid w:val="0055762E"/>
    <w:rsid w:val="00557E11"/>
    <w:rsid w:val="005603F7"/>
    <w:rsid w:val="005607B6"/>
    <w:rsid w:val="00560B34"/>
    <w:rsid w:val="005610C2"/>
    <w:rsid w:val="005611A6"/>
    <w:rsid w:val="005612A0"/>
    <w:rsid w:val="0056161D"/>
    <w:rsid w:val="00561946"/>
    <w:rsid w:val="00561A5C"/>
    <w:rsid w:val="00561A8F"/>
    <w:rsid w:val="005620AA"/>
    <w:rsid w:val="00562E78"/>
    <w:rsid w:val="005636FB"/>
    <w:rsid w:val="005638AA"/>
    <w:rsid w:val="00564408"/>
    <w:rsid w:val="005644CC"/>
    <w:rsid w:val="00564D07"/>
    <w:rsid w:val="00564D8C"/>
    <w:rsid w:val="00564E77"/>
    <w:rsid w:val="005657EF"/>
    <w:rsid w:val="005659AF"/>
    <w:rsid w:val="00566261"/>
    <w:rsid w:val="00566AA1"/>
    <w:rsid w:val="00566CB9"/>
    <w:rsid w:val="005679BC"/>
    <w:rsid w:val="005701C2"/>
    <w:rsid w:val="00570543"/>
    <w:rsid w:val="00570955"/>
    <w:rsid w:val="005709EF"/>
    <w:rsid w:val="00570F2B"/>
    <w:rsid w:val="00571166"/>
    <w:rsid w:val="00571970"/>
    <w:rsid w:val="00571A24"/>
    <w:rsid w:val="00571D1A"/>
    <w:rsid w:val="005723B1"/>
    <w:rsid w:val="00572668"/>
    <w:rsid w:val="00572B64"/>
    <w:rsid w:val="00572F78"/>
    <w:rsid w:val="00572F82"/>
    <w:rsid w:val="00573BC6"/>
    <w:rsid w:val="0057441A"/>
    <w:rsid w:val="00574A8F"/>
    <w:rsid w:val="00575CD7"/>
    <w:rsid w:val="00575D52"/>
    <w:rsid w:val="00576278"/>
    <w:rsid w:val="005763F3"/>
    <w:rsid w:val="00576B28"/>
    <w:rsid w:val="005772E6"/>
    <w:rsid w:val="0057742F"/>
    <w:rsid w:val="0057759A"/>
    <w:rsid w:val="00577FA3"/>
    <w:rsid w:val="0058094C"/>
    <w:rsid w:val="0058097A"/>
    <w:rsid w:val="00581246"/>
    <w:rsid w:val="005829AC"/>
    <w:rsid w:val="00582B49"/>
    <w:rsid w:val="00582C3B"/>
    <w:rsid w:val="00582E93"/>
    <w:rsid w:val="00583422"/>
    <w:rsid w:val="005847B0"/>
    <w:rsid w:val="00584823"/>
    <w:rsid w:val="005859B2"/>
    <w:rsid w:val="00585BA7"/>
    <w:rsid w:val="00586957"/>
    <w:rsid w:val="00587530"/>
    <w:rsid w:val="00587EE8"/>
    <w:rsid w:val="005905AE"/>
    <w:rsid w:val="005908A1"/>
    <w:rsid w:val="00590957"/>
    <w:rsid w:val="00590DB6"/>
    <w:rsid w:val="0059100F"/>
    <w:rsid w:val="00591CBA"/>
    <w:rsid w:val="00592BB2"/>
    <w:rsid w:val="005932AE"/>
    <w:rsid w:val="0059363F"/>
    <w:rsid w:val="00593C00"/>
    <w:rsid w:val="00593F94"/>
    <w:rsid w:val="005942F7"/>
    <w:rsid w:val="00594EC2"/>
    <w:rsid w:val="00594F84"/>
    <w:rsid w:val="00595233"/>
    <w:rsid w:val="00595A50"/>
    <w:rsid w:val="00595B11"/>
    <w:rsid w:val="0059688A"/>
    <w:rsid w:val="00596E43"/>
    <w:rsid w:val="00597030"/>
    <w:rsid w:val="00597A44"/>
    <w:rsid w:val="00597FDD"/>
    <w:rsid w:val="005A0A21"/>
    <w:rsid w:val="005A18F2"/>
    <w:rsid w:val="005A1B81"/>
    <w:rsid w:val="005A22F7"/>
    <w:rsid w:val="005A2CA4"/>
    <w:rsid w:val="005A2D9F"/>
    <w:rsid w:val="005A2F74"/>
    <w:rsid w:val="005A4491"/>
    <w:rsid w:val="005A4E35"/>
    <w:rsid w:val="005A566A"/>
    <w:rsid w:val="005A5869"/>
    <w:rsid w:val="005A68FC"/>
    <w:rsid w:val="005A7A23"/>
    <w:rsid w:val="005B0A70"/>
    <w:rsid w:val="005B1350"/>
    <w:rsid w:val="005B136E"/>
    <w:rsid w:val="005B16A8"/>
    <w:rsid w:val="005B17D6"/>
    <w:rsid w:val="005B1937"/>
    <w:rsid w:val="005B209A"/>
    <w:rsid w:val="005B223A"/>
    <w:rsid w:val="005B3788"/>
    <w:rsid w:val="005B3AE1"/>
    <w:rsid w:val="005B40C6"/>
    <w:rsid w:val="005B5369"/>
    <w:rsid w:val="005B7184"/>
    <w:rsid w:val="005B7DE4"/>
    <w:rsid w:val="005C0537"/>
    <w:rsid w:val="005C0B79"/>
    <w:rsid w:val="005C126B"/>
    <w:rsid w:val="005C1955"/>
    <w:rsid w:val="005C1C8C"/>
    <w:rsid w:val="005C1DEE"/>
    <w:rsid w:val="005C2132"/>
    <w:rsid w:val="005C31A3"/>
    <w:rsid w:val="005C32EE"/>
    <w:rsid w:val="005C34CC"/>
    <w:rsid w:val="005C3952"/>
    <w:rsid w:val="005C5129"/>
    <w:rsid w:val="005C52E1"/>
    <w:rsid w:val="005C5E88"/>
    <w:rsid w:val="005C6738"/>
    <w:rsid w:val="005C6AF6"/>
    <w:rsid w:val="005C6C56"/>
    <w:rsid w:val="005C7ADD"/>
    <w:rsid w:val="005D0C8E"/>
    <w:rsid w:val="005D1237"/>
    <w:rsid w:val="005D1383"/>
    <w:rsid w:val="005D19DA"/>
    <w:rsid w:val="005D1C5F"/>
    <w:rsid w:val="005D1E55"/>
    <w:rsid w:val="005D2406"/>
    <w:rsid w:val="005D2EFC"/>
    <w:rsid w:val="005D3872"/>
    <w:rsid w:val="005D3ABB"/>
    <w:rsid w:val="005D3CEC"/>
    <w:rsid w:val="005D422A"/>
    <w:rsid w:val="005D4D05"/>
    <w:rsid w:val="005D4F1C"/>
    <w:rsid w:val="005D52CA"/>
    <w:rsid w:val="005D5800"/>
    <w:rsid w:val="005D5B44"/>
    <w:rsid w:val="005D5CAF"/>
    <w:rsid w:val="005D6264"/>
    <w:rsid w:val="005D6518"/>
    <w:rsid w:val="005D746F"/>
    <w:rsid w:val="005D7ABB"/>
    <w:rsid w:val="005E01C8"/>
    <w:rsid w:val="005E02A9"/>
    <w:rsid w:val="005E0DA8"/>
    <w:rsid w:val="005E2223"/>
    <w:rsid w:val="005E2377"/>
    <w:rsid w:val="005E2EAA"/>
    <w:rsid w:val="005E2F51"/>
    <w:rsid w:val="005E367C"/>
    <w:rsid w:val="005E3D87"/>
    <w:rsid w:val="005E42FA"/>
    <w:rsid w:val="005E447D"/>
    <w:rsid w:val="005E4707"/>
    <w:rsid w:val="005E4DBC"/>
    <w:rsid w:val="005E587F"/>
    <w:rsid w:val="005E641E"/>
    <w:rsid w:val="005E700C"/>
    <w:rsid w:val="005E7591"/>
    <w:rsid w:val="005E7830"/>
    <w:rsid w:val="005E78A9"/>
    <w:rsid w:val="005E7B53"/>
    <w:rsid w:val="005E7EFF"/>
    <w:rsid w:val="005F0E96"/>
    <w:rsid w:val="005F0EE0"/>
    <w:rsid w:val="005F19B5"/>
    <w:rsid w:val="005F1D84"/>
    <w:rsid w:val="005F2274"/>
    <w:rsid w:val="005F2595"/>
    <w:rsid w:val="005F2696"/>
    <w:rsid w:val="005F2A3A"/>
    <w:rsid w:val="005F2AEA"/>
    <w:rsid w:val="005F2CE9"/>
    <w:rsid w:val="005F2CEC"/>
    <w:rsid w:val="005F2F95"/>
    <w:rsid w:val="005F345D"/>
    <w:rsid w:val="005F366A"/>
    <w:rsid w:val="005F383B"/>
    <w:rsid w:val="005F39B8"/>
    <w:rsid w:val="005F3D4E"/>
    <w:rsid w:val="005F520C"/>
    <w:rsid w:val="005F6268"/>
    <w:rsid w:val="005F6490"/>
    <w:rsid w:val="005F65B3"/>
    <w:rsid w:val="005F7610"/>
    <w:rsid w:val="00600482"/>
    <w:rsid w:val="00600879"/>
    <w:rsid w:val="0060147D"/>
    <w:rsid w:val="006018F8"/>
    <w:rsid w:val="00601D85"/>
    <w:rsid w:val="00601E3C"/>
    <w:rsid w:val="00602AEE"/>
    <w:rsid w:val="00602B86"/>
    <w:rsid w:val="00602EF5"/>
    <w:rsid w:val="00602F17"/>
    <w:rsid w:val="00604111"/>
    <w:rsid w:val="00604684"/>
    <w:rsid w:val="0060472E"/>
    <w:rsid w:val="006047C2"/>
    <w:rsid w:val="00604960"/>
    <w:rsid w:val="00604CD3"/>
    <w:rsid w:val="0061020F"/>
    <w:rsid w:val="006102B9"/>
    <w:rsid w:val="0061042E"/>
    <w:rsid w:val="00610762"/>
    <w:rsid w:val="00610815"/>
    <w:rsid w:val="00611C0E"/>
    <w:rsid w:val="006129EE"/>
    <w:rsid w:val="00613198"/>
    <w:rsid w:val="00613CB9"/>
    <w:rsid w:val="00613FDE"/>
    <w:rsid w:val="006144AB"/>
    <w:rsid w:val="0061450B"/>
    <w:rsid w:val="0061608C"/>
    <w:rsid w:val="006160D2"/>
    <w:rsid w:val="006163A3"/>
    <w:rsid w:val="006163E6"/>
    <w:rsid w:val="006164F3"/>
    <w:rsid w:val="00616777"/>
    <w:rsid w:val="00617347"/>
    <w:rsid w:val="006174FC"/>
    <w:rsid w:val="00617B6B"/>
    <w:rsid w:val="00617C95"/>
    <w:rsid w:val="00617E29"/>
    <w:rsid w:val="00620C06"/>
    <w:rsid w:val="00621418"/>
    <w:rsid w:val="006214EC"/>
    <w:rsid w:val="00621523"/>
    <w:rsid w:val="0062166A"/>
    <w:rsid w:val="00621E86"/>
    <w:rsid w:val="006220F1"/>
    <w:rsid w:val="00622292"/>
    <w:rsid w:val="00622966"/>
    <w:rsid w:val="00622C11"/>
    <w:rsid w:val="00622FD3"/>
    <w:rsid w:val="00624323"/>
    <w:rsid w:val="00625173"/>
    <w:rsid w:val="0062599A"/>
    <w:rsid w:val="00625A30"/>
    <w:rsid w:val="00625BF9"/>
    <w:rsid w:val="00626394"/>
    <w:rsid w:val="00626595"/>
    <w:rsid w:val="00626919"/>
    <w:rsid w:val="00626B1B"/>
    <w:rsid w:val="00626D28"/>
    <w:rsid w:val="006273F8"/>
    <w:rsid w:val="00627AF9"/>
    <w:rsid w:val="006301ED"/>
    <w:rsid w:val="006302D1"/>
    <w:rsid w:val="00630E68"/>
    <w:rsid w:val="00630F0F"/>
    <w:rsid w:val="006313EB"/>
    <w:rsid w:val="00631C55"/>
    <w:rsid w:val="0063224D"/>
    <w:rsid w:val="00632B65"/>
    <w:rsid w:val="00632C2A"/>
    <w:rsid w:val="00633386"/>
    <w:rsid w:val="006338AF"/>
    <w:rsid w:val="0063396C"/>
    <w:rsid w:val="0063413C"/>
    <w:rsid w:val="00634495"/>
    <w:rsid w:val="00634572"/>
    <w:rsid w:val="0063473E"/>
    <w:rsid w:val="00634BBE"/>
    <w:rsid w:val="00634DD7"/>
    <w:rsid w:val="0063500F"/>
    <w:rsid w:val="006351E1"/>
    <w:rsid w:val="00635663"/>
    <w:rsid w:val="00635C1E"/>
    <w:rsid w:val="0063614E"/>
    <w:rsid w:val="006366C2"/>
    <w:rsid w:val="006379EC"/>
    <w:rsid w:val="00640751"/>
    <w:rsid w:val="00641282"/>
    <w:rsid w:val="00641415"/>
    <w:rsid w:val="00641678"/>
    <w:rsid w:val="00641A49"/>
    <w:rsid w:val="00641F81"/>
    <w:rsid w:val="00641F96"/>
    <w:rsid w:val="006427BD"/>
    <w:rsid w:val="00642F50"/>
    <w:rsid w:val="00643CE1"/>
    <w:rsid w:val="00643E23"/>
    <w:rsid w:val="00643EDF"/>
    <w:rsid w:val="006440DF"/>
    <w:rsid w:val="006443E4"/>
    <w:rsid w:val="0064452F"/>
    <w:rsid w:val="00645A61"/>
    <w:rsid w:val="00646B7C"/>
    <w:rsid w:val="00647578"/>
    <w:rsid w:val="006476A7"/>
    <w:rsid w:val="00650537"/>
    <w:rsid w:val="0065066C"/>
    <w:rsid w:val="006507EA"/>
    <w:rsid w:val="00650945"/>
    <w:rsid w:val="00650EE1"/>
    <w:rsid w:val="0065162F"/>
    <w:rsid w:val="00652631"/>
    <w:rsid w:val="00652CD8"/>
    <w:rsid w:val="00652E3B"/>
    <w:rsid w:val="00652F28"/>
    <w:rsid w:val="006532FE"/>
    <w:rsid w:val="00653D78"/>
    <w:rsid w:val="00653D89"/>
    <w:rsid w:val="00654437"/>
    <w:rsid w:val="00654E0B"/>
    <w:rsid w:val="006558EA"/>
    <w:rsid w:val="006570F8"/>
    <w:rsid w:val="00657494"/>
    <w:rsid w:val="0065785C"/>
    <w:rsid w:val="0066050B"/>
    <w:rsid w:val="00660716"/>
    <w:rsid w:val="00660917"/>
    <w:rsid w:val="00660D07"/>
    <w:rsid w:val="00660E2E"/>
    <w:rsid w:val="006610AC"/>
    <w:rsid w:val="006620DA"/>
    <w:rsid w:val="00662666"/>
    <w:rsid w:val="0066290E"/>
    <w:rsid w:val="00662FAE"/>
    <w:rsid w:val="006635D3"/>
    <w:rsid w:val="00664291"/>
    <w:rsid w:val="00664428"/>
    <w:rsid w:val="00664CC0"/>
    <w:rsid w:val="00664DAC"/>
    <w:rsid w:val="006651EC"/>
    <w:rsid w:val="00665638"/>
    <w:rsid w:val="006657D9"/>
    <w:rsid w:val="006660A1"/>
    <w:rsid w:val="006662E1"/>
    <w:rsid w:val="00666AE1"/>
    <w:rsid w:val="00666D2D"/>
    <w:rsid w:val="00667190"/>
    <w:rsid w:val="00670213"/>
    <w:rsid w:val="00670488"/>
    <w:rsid w:val="00670C50"/>
    <w:rsid w:val="00670FDF"/>
    <w:rsid w:val="006712E9"/>
    <w:rsid w:val="00671C25"/>
    <w:rsid w:val="00671DF9"/>
    <w:rsid w:val="0067239F"/>
    <w:rsid w:val="00672460"/>
    <w:rsid w:val="00672BA3"/>
    <w:rsid w:val="00672E83"/>
    <w:rsid w:val="00672F0C"/>
    <w:rsid w:val="00673157"/>
    <w:rsid w:val="0067342A"/>
    <w:rsid w:val="0067394D"/>
    <w:rsid w:val="0067397B"/>
    <w:rsid w:val="00673C8D"/>
    <w:rsid w:val="006743F4"/>
    <w:rsid w:val="00674819"/>
    <w:rsid w:val="00674A3A"/>
    <w:rsid w:val="00674A87"/>
    <w:rsid w:val="00674AA1"/>
    <w:rsid w:val="00674E69"/>
    <w:rsid w:val="00675793"/>
    <w:rsid w:val="0067596E"/>
    <w:rsid w:val="00675BE3"/>
    <w:rsid w:val="00675CF4"/>
    <w:rsid w:val="0067707F"/>
    <w:rsid w:val="00677667"/>
    <w:rsid w:val="0068022F"/>
    <w:rsid w:val="00680886"/>
    <w:rsid w:val="00681A80"/>
    <w:rsid w:val="00681FCD"/>
    <w:rsid w:val="00682B08"/>
    <w:rsid w:val="00682C22"/>
    <w:rsid w:val="00683281"/>
    <w:rsid w:val="00684117"/>
    <w:rsid w:val="0068420E"/>
    <w:rsid w:val="00686BEC"/>
    <w:rsid w:val="006908A1"/>
    <w:rsid w:val="006916E3"/>
    <w:rsid w:val="006927EB"/>
    <w:rsid w:val="00692D2B"/>
    <w:rsid w:val="00694337"/>
    <w:rsid w:val="00694786"/>
    <w:rsid w:val="00694EDD"/>
    <w:rsid w:val="00695391"/>
    <w:rsid w:val="00695A73"/>
    <w:rsid w:val="00695C68"/>
    <w:rsid w:val="00696171"/>
    <w:rsid w:val="00696583"/>
    <w:rsid w:val="00696A7C"/>
    <w:rsid w:val="0069730F"/>
    <w:rsid w:val="006974C5"/>
    <w:rsid w:val="00697657"/>
    <w:rsid w:val="00697B2B"/>
    <w:rsid w:val="00697F40"/>
    <w:rsid w:val="00697F6C"/>
    <w:rsid w:val="00697F86"/>
    <w:rsid w:val="006A0058"/>
    <w:rsid w:val="006A07B8"/>
    <w:rsid w:val="006A142D"/>
    <w:rsid w:val="006A22FC"/>
    <w:rsid w:val="006A28B4"/>
    <w:rsid w:val="006A2936"/>
    <w:rsid w:val="006A2B68"/>
    <w:rsid w:val="006A30BE"/>
    <w:rsid w:val="006A3410"/>
    <w:rsid w:val="006A3B5C"/>
    <w:rsid w:val="006A3BB7"/>
    <w:rsid w:val="006A4945"/>
    <w:rsid w:val="006A499A"/>
    <w:rsid w:val="006A4B12"/>
    <w:rsid w:val="006A6A84"/>
    <w:rsid w:val="006A6F45"/>
    <w:rsid w:val="006A7F32"/>
    <w:rsid w:val="006B06E8"/>
    <w:rsid w:val="006B0B17"/>
    <w:rsid w:val="006B0CA7"/>
    <w:rsid w:val="006B0D61"/>
    <w:rsid w:val="006B12E7"/>
    <w:rsid w:val="006B143C"/>
    <w:rsid w:val="006B154E"/>
    <w:rsid w:val="006B1D8C"/>
    <w:rsid w:val="006B2042"/>
    <w:rsid w:val="006B22EC"/>
    <w:rsid w:val="006B28F3"/>
    <w:rsid w:val="006B2C72"/>
    <w:rsid w:val="006B2FD9"/>
    <w:rsid w:val="006B367A"/>
    <w:rsid w:val="006B36A0"/>
    <w:rsid w:val="006B3819"/>
    <w:rsid w:val="006B3E70"/>
    <w:rsid w:val="006B4887"/>
    <w:rsid w:val="006B4C33"/>
    <w:rsid w:val="006B5467"/>
    <w:rsid w:val="006B5641"/>
    <w:rsid w:val="006B6626"/>
    <w:rsid w:val="006B6788"/>
    <w:rsid w:val="006B7B31"/>
    <w:rsid w:val="006C0119"/>
    <w:rsid w:val="006C0A1A"/>
    <w:rsid w:val="006C0D85"/>
    <w:rsid w:val="006C155F"/>
    <w:rsid w:val="006C1C6D"/>
    <w:rsid w:val="006C1DF3"/>
    <w:rsid w:val="006C203A"/>
    <w:rsid w:val="006C2295"/>
    <w:rsid w:val="006C250B"/>
    <w:rsid w:val="006C3CBA"/>
    <w:rsid w:val="006C3E6E"/>
    <w:rsid w:val="006C4293"/>
    <w:rsid w:val="006C4809"/>
    <w:rsid w:val="006C4B9A"/>
    <w:rsid w:val="006C4F73"/>
    <w:rsid w:val="006C67C4"/>
    <w:rsid w:val="006C6F9E"/>
    <w:rsid w:val="006C7342"/>
    <w:rsid w:val="006C76E1"/>
    <w:rsid w:val="006D037E"/>
    <w:rsid w:val="006D0757"/>
    <w:rsid w:val="006D0980"/>
    <w:rsid w:val="006D1AC9"/>
    <w:rsid w:val="006D1E6F"/>
    <w:rsid w:val="006D36C9"/>
    <w:rsid w:val="006D36D9"/>
    <w:rsid w:val="006D3701"/>
    <w:rsid w:val="006D3836"/>
    <w:rsid w:val="006D3D52"/>
    <w:rsid w:val="006D412A"/>
    <w:rsid w:val="006D471D"/>
    <w:rsid w:val="006D4CD2"/>
    <w:rsid w:val="006D4D35"/>
    <w:rsid w:val="006D5764"/>
    <w:rsid w:val="006D61FA"/>
    <w:rsid w:val="006D6B05"/>
    <w:rsid w:val="006D6C08"/>
    <w:rsid w:val="006D6F87"/>
    <w:rsid w:val="006D704E"/>
    <w:rsid w:val="006D75DD"/>
    <w:rsid w:val="006E0082"/>
    <w:rsid w:val="006E0A20"/>
    <w:rsid w:val="006E0C55"/>
    <w:rsid w:val="006E0D2E"/>
    <w:rsid w:val="006E0D34"/>
    <w:rsid w:val="006E155D"/>
    <w:rsid w:val="006E1ACD"/>
    <w:rsid w:val="006E2814"/>
    <w:rsid w:val="006E30A0"/>
    <w:rsid w:val="006E3158"/>
    <w:rsid w:val="006E349F"/>
    <w:rsid w:val="006E35D8"/>
    <w:rsid w:val="006E4A6E"/>
    <w:rsid w:val="006E4EFF"/>
    <w:rsid w:val="006E5345"/>
    <w:rsid w:val="006E5FFB"/>
    <w:rsid w:val="006E6503"/>
    <w:rsid w:val="006E6DA7"/>
    <w:rsid w:val="006E7490"/>
    <w:rsid w:val="006F0B81"/>
    <w:rsid w:val="006F10F5"/>
    <w:rsid w:val="006F12FF"/>
    <w:rsid w:val="006F1583"/>
    <w:rsid w:val="006F215F"/>
    <w:rsid w:val="006F24E2"/>
    <w:rsid w:val="006F2C5D"/>
    <w:rsid w:val="006F421D"/>
    <w:rsid w:val="006F4999"/>
    <w:rsid w:val="006F546C"/>
    <w:rsid w:val="006F5A5D"/>
    <w:rsid w:val="006F5A9D"/>
    <w:rsid w:val="006F61DE"/>
    <w:rsid w:val="006F64F6"/>
    <w:rsid w:val="006F7241"/>
    <w:rsid w:val="006F765A"/>
    <w:rsid w:val="006F7C80"/>
    <w:rsid w:val="00700228"/>
    <w:rsid w:val="0070050A"/>
    <w:rsid w:val="007007AC"/>
    <w:rsid w:val="00700C91"/>
    <w:rsid w:val="00701170"/>
    <w:rsid w:val="00701551"/>
    <w:rsid w:val="007026CF"/>
    <w:rsid w:val="00702AAA"/>
    <w:rsid w:val="00702B01"/>
    <w:rsid w:val="007036A3"/>
    <w:rsid w:val="0070384F"/>
    <w:rsid w:val="0070393C"/>
    <w:rsid w:val="00704EC4"/>
    <w:rsid w:val="00705484"/>
    <w:rsid w:val="0070599F"/>
    <w:rsid w:val="00706679"/>
    <w:rsid w:val="007069A1"/>
    <w:rsid w:val="0070744F"/>
    <w:rsid w:val="00707A75"/>
    <w:rsid w:val="0071015A"/>
    <w:rsid w:val="00710384"/>
    <w:rsid w:val="00711A1D"/>
    <w:rsid w:val="00711AEC"/>
    <w:rsid w:val="00711EEC"/>
    <w:rsid w:val="00712483"/>
    <w:rsid w:val="00712B0A"/>
    <w:rsid w:val="00712CBB"/>
    <w:rsid w:val="007136A0"/>
    <w:rsid w:val="00713AD8"/>
    <w:rsid w:val="00713E88"/>
    <w:rsid w:val="0071519D"/>
    <w:rsid w:val="007151BB"/>
    <w:rsid w:val="00715476"/>
    <w:rsid w:val="00715FB3"/>
    <w:rsid w:val="0071659A"/>
    <w:rsid w:val="00716C32"/>
    <w:rsid w:val="0071714B"/>
    <w:rsid w:val="0071753A"/>
    <w:rsid w:val="00717843"/>
    <w:rsid w:val="00720076"/>
    <w:rsid w:val="0072034F"/>
    <w:rsid w:val="00720ED5"/>
    <w:rsid w:val="0072130F"/>
    <w:rsid w:val="007213FD"/>
    <w:rsid w:val="00721694"/>
    <w:rsid w:val="0072239E"/>
    <w:rsid w:val="007225B3"/>
    <w:rsid w:val="00722602"/>
    <w:rsid w:val="0072296B"/>
    <w:rsid w:val="007229C8"/>
    <w:rsid w:val="0072324D"/>
    <w:rsid w:val="0072327F"/>
    <w:rsid w:val="007235C1"/>
    <w:rsid w:val="00723FF3"/>
    <w:rsid w:val="0072426F"/>
    <w:rsid w:val="00724593"/>
    <w:rsid w:val="00724CEF"/>
    <w:rsid w:val="00724DEB"/>
    <w:rsid w:val="007255A2"/>
    <w:rsid w:val="007261C9"/>
    <w:rsid w:val="0072622C"/>
    <w:rsid w:val="007269D3"/>
    <w:rsid w:val="0072701E"/>
    <w:rsid w:val="00727C51"/>
    <w:rsid w:val="00727F47"/>
    <w:rsid w:val="007313B0"/>
    <w:rsid w:val="00731C1B"/>
    <w:rsid w:val="00731D12"/>
    <w:rsid w:val="007326F6"/>
    <w:rsid w:val="00732839"/>
    <w:rsid w:val="0073297C"/>
    <w:rsid w:val="00732E14"/>
    <w:rsid w:val="00733093"/>
    <w:rsid w:val="00733B12"/>
    <w:rsid w:val="00733FD4"/>
    <w:rsid w:val="007343D2"/>
    <w:rsid w:val="00734B7B"/>
    <w:rsid w:val="00734E25"/>
    <w:rsid w:val="007359A8"/>
    <w:rsid w:val="00735A89"/>
    <w:rsid w:val="00736672"/>
    <w:rsid w:val="00736907"/>
    <w:rsid w:val="00737335"/>
    <w:rsid w:val="00737622"/>
    <w:rsid w:val="00740144"/>
    <w:rsid w:val="007401FD"/>
    <w:rsid w:val="007406BA"/>
    <w:rsid w:val="00740E18"/>
    <w:rsid w:val="00741C36"/>
    <w:rsid w:val="00741D3E"/>
    <w:rsid w:val="007421A6"/>
    <w:rsid w:val="00742F44"/>
    <w:rsid w:val="00742F53"/>
    <w:rsid w:val="00742F7D"/>
    <w:rsid w:val="007433A3"/>
    <w:rsid w:val="00743A5C"/>
    <w:rsid w:val="00744D5A"/>
    <w:rsid w:val="00745794"/>
    <w:rsid w:val="00745957"/>
    <w:rsid w:val="00745C1F"/>
    <w:rsid w:val="00746479"/>
    <w:rsid w:val="0074662C"/>
    <w:rsid w:val="00747422"/>
    <w:rsid w:val="00747688"/>
    <w:rsid w:val="00750AAB"/>
    <w:rsid w:val="00751035"/>
    <w:rsid w:val="007511D6"/>
    <w:rsid w:val="00751436"/>
    <w:rsid w:val="00751866"/>
    <w:rsid w:val="00752BFE"/>
    <w:rsid w:val="00752ECE"/>
    <w:rsid w:val="007534D4"/>
    <w:rsid w:val="00753549"/>
    <w:rsid w:val="0075382D"/>
    <w:rsid w:val="00753894"/>
    <w:rsid w:val="00754016"/>
    <w:rsid w:val="00754BEE"/>
    <w:rsid w:val="00754BF5"/>
    <w:rsid w:val="00755CAC"/>
    <w:rsid w:val="00755D4A"/>
    <w:rsid w:val="007562C4"/>
    <w:rsid w:val="00756BE5"/>
    <w:rsid w:val="00756C70"/>
    <w:rsid w:val="00757376"/>
    <w:rsid w:val="00757559"/>
    <w:rsid w:val="0075763A"/>
    <w:rsid w:val="007578FA"/>
    <w:rsid w:val="00760686"/>
    <w:rsid w:val="00760815"/>
    <w:rsid w:val="0076088C"/>
    <w:rsid w:val="00760A12"/>
    <w:rsid w:val="00761003"/>
    <w:rsid w:val="0076255B"/>
    <w:rsid w:val="007626DF"/>
    <w:rsid w:val="00762ECF"/>
    <w:rsid w:val="007642F6"/>
    <w:rsid w:val="00764826"/>
    <w:rsid w:val="00765C0C"/>
    <w:rsid w:val="007668F4"/>
    <w:rsid w:val="00766B4B"/>
    <w:rsid w:val="00766BDA"/>
    <w:rsid w:val="007670A7"/>
    <w:rsid w:val="00767737"/>
    <w:rsid w:val="0077025F"/>
    <w:rsid w:val="00770520"/>
    <w:rsid w:val="00770882"/>
    <w:rsid w:val="00770A14"/>
    <w:rsid w:val="00770D65"/>
    <w:rsid w:val="00771123"/>
    <w:rsid w:val="007711CD"/>
    <w:rsid w:val="007717CC"/>
    <w:rsid w:val="00771B65"/>
    <w:rsid w:val="007733B6"/>
    <w:rsid w:val="007737D0"/>
    <w:rsid w:val="007738BC"/>
    <w:rsid w:val="00775328"/>
    <w:rsid w:val="00775614"/>
    <w:rsid w:val="00776652"/>
    <w:rsid w:val="00776DBA"/>
    <w:rsid w:val="00776F3C"/>
    <w:rsid w:val="007770C8"/>
    <w:rsid w:val="00777C0A"/>
    <w:rsid w:val="00780397"/>
    <w:rsid w:val="00780650"/>
    <w:rsid w:val="00780862"/>
    <w:rsid w:val="00780BB9"/>
    <w:rsid w:val="00781EEC"/>
    <w:rsid w:val="00782202"/>
    <w:rsid w:val="00782543"/>
    <w:rsid w:val="007832D3"/>
    <w:rsid w:val="00783668"/>
    <w:rsid w:val="007836BD"/>
    <w:rsid w:val="00784076"/>
    <w:rsid w:val="00784D94"/>
    <w:rsid w:val="00785749"/>
    <w:rsid w:val="007857D3"/>
    <w:rsid w:val="00787C3E"/>
    <w:rsid w:val="00787E4C"/>
    <w:rsid w:val="0079054B"/>
    <w:rsid w:val="007907E6"/>
    <w:rsid w:val="007908EE"/>
    <w:rsid w:val="00790AF2"/>
    <w:rsid w:val="007910E1"/>
    <w:rsid w:val="007911C6"/>
    <w:rsid w:val="007914FE"/>
    <w:rsid w:val="00791D7D"/>
    <w:rsid w:val="00791F46"/>
    <w:rsid w:val="007933F4"/>
    <w:rsid w:val="007944D1"/>
    <w:rsid w:val="00794560"/>
    <w:rsid w:val="00794A1B"/>
    <w:rsid w:val="00794DD6"/>
    <w:rsid w:val="007952BB"/>
    <w:rsid w:val="00795C87"/>
    <w:rsid w:val="007963B9"/>
    <w:rsid w:val="00796D84"/>
    <w:rsid w:val="00796DBA"/>
    <w:rsid w:val="00797293"/>
    <w:rsid w:val="007974C7"/>
    <w:rsid w:val="00797671"/>
    <w:rsid w:val="007A041D"/>
    <w:rsid w:val="007A0A3D"/>
    <w:rsid w:val="007A0E39"/>
    <w:rsid w:val="007A1761"/>
    <w:rsid w:val="007A1AE7"/>
    <w:rsid w:val="007A200A"/>
    <w:rsid w:val="007A200B"/>
    <w:rsid w:val="007A353D"/>
    <w:rsid w:val="007A3754"/>
    <w:rsid w:val="007A3ACB"/>
    <w:rsid w:val="007A3D7E"/>
    <w:rsid w:val="007A3F32"/>
    <w:rsid w:val="007A4098"/>
    <w:rsid w:val="007A4108"/>
    <w:rsid w:val="007A432E"/>
    <w:rsid w:val="007A433B"/>
    <w:rsid w:val="007A4DD2"/>
    <w:rsid w:val="007A5EF9"/>
    <w:rsid w:val="007A618E"/>
    <w:rsid w:val="007A6310"/>
    <w:rsid w:val="007A6BE2"/>
    <w:rsid w:val="007A6D66"/>
    <w:rsid w:val="007A7C84"/>
    <w:rsid w:val="007B07B3"/>
    <w:rsid w:val="007B10A2"/>
    <w:rsid w:val="007B1765"/>
    <w:rsid w:val="007B1D0E"/>
    <w:rsid w:val="007B20A7"/>
    <w:rsid w:val="007B2D70"/>
    <w:rsid w:val="007B30F6"/>
    <w:rsid w:val="007B3622"/>
    <w:rsid w:val="007B39BB"/>
    <w:rsid w:val="007B3BD4"/>
    <w:rsid w:val="007B3FF4"/>
    <w:rsid w:val="007B5EF7"/>
    <w:rsid w:val="007B71A1"/>
    <w:rsid w:val="007B7F35"/>
    <w:rsid w:val="007C03A8"/>
    <w:rsid w:val="007C083C"/>
    <w:rsid w:val="007C0BE6"/>
    <w:rsid w:val="007C1495"/>
    <w:rsid w:val="007C1FE2"/>
    <w:rsid w:val="007C2089"/>
    <w:rsid w:val="007C216B"/>
    <w:rsid w:val="007C218D"/>
    <w:rsid w:val="007C2981"/>
    <w:rsid w:val="007C30C8"/>
    <w:rsid w:val="007C3560"/>
    <w:rsid w:val="007C3A66"/>
    <w:rsid w:val="007C4211"/>
    <w:rsid w:val="007C42BC"/>
    <w:rsid w:val="007C458D"/>
    <w:rsid w:val="007C5174"/>
    <w:rsid w:val="007C5BE0"/>
    <w:rsid w:val="007C5DAE"/>
    <w:rsid w:val="007C663B"/>
    <w:rsid w:val="007C707A"/>
    <w:rsid w:val="007C7D29"/>
    <w:rsid w:val="007C7D55"/>
    <w:rsid w:val="007D0141"/>
    <w:rsid w:val="007D05E0"/>
    <w:rsid w:val="007D079A"/>
    <w:rsid w:val="007D1090"/>
    <w:rsid w:val="007D1879"/>
    <w:rsid w:val="007D21E7"/>
    <w:rsid w:val="007D255A"/>
    <w:rsid w:val="007D259B"/>
    <w:rsid w:val="007D27D4"/>
    <w:rsid w:val="007D2B7F"/>
    <w:rsid w:val="007D2DDC"/>
    <w:rsid w:val="007D4C9A"/>
    <w:rsid w:val="007D4CBD"/>
    <w:rsid w:val="007D5015"/>
    <w:rsid w:val="007D55FD"/>
    <w:rsid w:val="007D5F35"/>
    <w:rsid w:val="007D6E9C"/>
    <w:rsid w:val="007D6EE5"/>
    <w:rsid w:val="007D6F35"/>
    <w:rsid w:val="007D748C"/>
    <w:rsid w:val="007E0516"/>
    <w:rsid w:val="007E0856"/>
    <w:rsid w:val="007E142D"/>
    <w:rsid w:val="007E1560"/>
    <w:rsid w:val="007E19B7"/>
    <w:rsid w:val="007E26EA"/>
    <w:rsid w:val="007E2D63"/>
    <w:rsid w:val="007E3060"/>
    <w:rsid w:val="007E3B67"/>
    <w:rsid w:val="007E489B"/>
    <w:rsid w:val="007E573D"/>
    <w:rsid w:val="007E75DE"/>
    <w:rsid w:val="007F02D8"/>
    <w:rsid w:val="007F07F3"/>
    <w:rsid w:val="007F0FA4"/>
    <w:rsid w:val="007F144B"/>
    <w:rsid w:val="007F170D"/>
    <w:rsid w:val="007F1C58"/>
    <w:rsid w:val="007F2AC9"/>
    <w:rsid w:val="007F3354"/>
    <w:rsid w:val="007F3617"/>
    <w:rsid w:val="007F3B0E"/>
    <w:rsid w:val="007F4FD6"/>
    <w:rsid w:val="007F512C"/>
    <w:rsid w:val="007F51CC"/>
    <w:rsid w:val="007F527F"/>
    <w:rsid w:val="007F5F75"/>
    <w:rsid w:val="007F614E"/>
    <w:rsid w:val="007F7133"/>
    <w:rsid w:val="007F73B7"/>
    <w:rsid w:val="007F7B25"/>
    <w:rsid w:val="00800714"/>
    <w:rsid w:val="00801180"/>
    <w:rsid w:val="008011AE"/>
    <w:rsid w:val="008019A7"/>
    <w:rsid w:val="00802114"/>
    <w:rsid w:val="0080221B"/>
    <w:rsid w:val="00802FFF"/>
    <w:rsid w:val="0080340D"/>
    <w:rsid w:val="0080393D"/>
    <w:rsid w:val="008040F3"/>
    <w:rsid w:val="0080445D"/>
    <w:rsid w:val="008045E8"/>
    <w:rsid w:val="0080490A"/>
    <w:rsid w:val="00804E2D"/>
    <w:rsid w:val="00804E63"/>
    <w:rsid w:val="00805A02"/>
    <w:rsid w:val="0080640F"/>
    <w:rsid w:val="00806827"/>
    <w:rsid w:val="008070B4"/>
    <w:rsid w:val="00807640"/>
    <w:rsid w:val="00807E98"/>
    <w:rsid w:val="00810184"/>
    <w:rsid w:val="00810683"/>
    <w:rsid w:val="00810D53"/>
    <w:rsid w:val="00810D87"/>
    <w:rsid w:val="008117A1"/>
    <w:rsid w:val="008117E9"/>
    <w:rsid w:val="00812B10"/>
    <w:rsid w:val="00812C11"/>
    <w:rsid w:val="00813124"/>
    <w:rsid w:val="00813A81"/>
    <w:rsid w:val="00813F26"/>
    <w:rsid w:val="00814353"/>
    <w:rsid w:val="00814713"/>
    <w:rsid w:val="00815381"/>
    <w:rsid w:val="008164C9"/>
    <w:rsid w:val="008164F2"/>
    <w:rsid w:val="008168C7"/>
    <w:rsid w:val="00817287"/>
    <w:rsid w:val="0081738C"/>
    <w:rsid w:val="00817970"/>
    <w:rsid w:val="00817C0D"/>
    <w:rsid w:val="00820186"/>
    <w:rsid w:val="00820AF0"/>
    <w:rsid w:val="008217A0"/>
    <w:rsid w:val="00822291"/>
    <w:rsid w:val="00822BF9"/>
    <w:rsid w:val="00822ECA"/>
    <w:rsid w:val="008235B2"/>
    <w:rsid w:val="00823D51"/>
    <w:rsid w:val="00824832"/>
    <w:rsid w:val="00824CE8"/>
    <w:rsid w:val="008256D4"/>
    <w:rsid w:val="008257A2"/>
    <w:rsid w:val="00826D22"/>
    <w:rsid w:val="00826D66"/>
    <w:rsid w:val="008277A7"/>
    <w:rsid w:val="008278F9"/>
    <w:rsid w:val="00830C4C"/>
    <w:rsid w:val="00830E8B"/>
    <w:rsid w:val="00830EF2"/>
    <w:rsid w:val="008319AB"/>
    <w:rsid w:val="00832693"/>
    <w:rsid w:val="00832E5E"/>
    <w:rsid w:val="008338BA"/>
    <w:rsid w:val="00833AB8"/>
    <w:rsid w:val="00833BA3"/>
    <w:rsid w:val="00833DA2"/>
    <w:rsid w:val="008348AD"/>
    <w:rsid w:val="00834B03"/>
    <w:rsid w:val="00834B46"/>
    <w:rsid w:val="00835182"/>
    <w:rsid w:val="00835237"/>
    <w:rsid w:val="0083528F"/>
    <w:rsid w:val="00835856"/>
    <w:rsid w:val="00835A46"/>
    <w:rsid w:val="00835B4A"/>
    <w:rsid w:val="00835CD6"/>
    <w:rsid w:val="00836264"/>
    <w:rsid w:val="008368C4"/>
    <w:rsid w:val="00836904"/>
    <w:rsid w:val="00840796"/>
    <w:rsid w:val="00842673"/>
    <w:rsid w:val="00842A83"/>
    <w:rsid w:val="00842C77"/>
    <w:rsid w:val="00842E86"/>
    <w:rsid w:val="00843263"/>
    <w:rsid w:val="008435E1"/>
    <w:rsid w:val="00844BC5"/>
    <w:rsid w:val="00844DF8"/>
    <w:rsid w:val="00846D53"/>
    <w:rsid w:val="00847164"/>
    <w:rsid w:val="00847F53"/>
    <w:rsid w:val="00850057"/>
    <w:rsid w:val="0085023F"/>
    <w:rsid w:val="00850BAD"/>
    <w:rsid w:val="00850EEE"/>
    <w:rsid w:val="0085102B"/>
    <w:rsid w:val="0085121E"/>
    <w:rsid w:val="0085153F"/>
    <w:rsid w:val="0085214E"/>
    <w:rsid w:val="00852284"/>
    <w:rsid w:val="00852543"/>
    <w:rsid w:val="00852AE8"/>
    <w:rsid w:val="00852BEE"/>
    <w:rsid w:val="00852EC5"/>
    <w:rsid w:val="00853268"/>
    <w:rsid w:val="008541D3"/>
    <w:rsid w:val="008546A6"/>
    <w:rsid w:val="00854934"/>
    <w:rsid w:val="00854A9A"/>
    <w:rsid w:val="00854C53"/>
    <w:rsid w:val="008550CE"/>
    <w:rsid w:val="0085513B"/>
    <w:rsid w:val="00855867"/>
    <w:rsid w:val="00855D2A"/>
    <w:rsid w:val="00855FB4"/>
    <w:rsid w:val="0085653B"/>
    <w:rsid w:val="00856765"/>
    <w:rsid w:val="008578A8"/>
    <w:rsid w:val="008578D5"/>
    <w:rsid w:val="00857D22"/>
    <w:rsid w:val="00860F9D"/>
    <w:rsid w:val="00861382"/>
    <w:rsid w:val="0086151C"/>
    <w:rsid w:val="00861BC6"/>
    <w:rsid w:val="00862619"/>
    <w:rsid w:val="008634F3"/>
    <w:rsid w:val="00863554"/>
    <w:rsid w:val="00863C63"/>
    <w:rsid w:val="008640F1"/>
    <w:rsid w:val="00864595"/>
    <w:rsid w:val="00864959"/>
    <w:rsid w:val="00866F66"/>
    <w:rsid w:val="008674CA"/>
    <w:rsid w:val="00867637"/>
    <w:rsid w:val="00870A57"/>
    <w:rsid w:val="00870CEE"/>
    <w:rsid w:val="00871915"/>
    <w:rsid w:val="00871C3A"/>
    <w:rsid w:val="00872294"/>
    <w:rsid w:val="00872CA7"/>
    <w:rsid w:val="00872D29"/>
    <w:rsid w:val="00873ED5"/>
    <w:rsid w:val="00873FA1"/>
    <w:rsid w:val="00874751"/>
    <w:rsid w:val="00875262"/>
    <w:rsid w:val="008752F7"/>
    <w:rsid w:val="008753EB"/>
    <w:rsid w:val="00875445"/>
    <w:rsid w:val="00875B07"/>
    <w:rsid w:val="00875C83"/>
    <w:rsid w:val="0087626E"/>
    <w:rsid w:val="00876531"/>
    <w:rsid w:val="00876D47"/>
    <w:rsid w:val="00876E05"/>
    <w:rsid w:val="00876E2C"/>
    <w:rsid w:val="00877A11"/>
    <w:rsid w:val="00877B7E"/>
    <w:rsid w:val="008800D1"/>
    <w:rsid w:val="0088045D"/>
    <w:rsid w:val="008805A0"/>
    <w:rsid w:val="008808EE"/>
    <w:rsid w:val="00880DA0"/>
    <w:rsid w:val="00880FF6"/>
    <w:rsid w:val="00881448"/>
    <w:rsid w:val="00881655"/>
    <w:rsid w:val="00881E78"/>
    <w:rsid w:val="00882257"/>
    <w:rsid w:val="008822D8"/>
    <w:rsid w:val="008826E1"/>
    <w:rsid w:val="00882787"/>
    <w:rsid w:val="00882A11"/>
    <w:rsid w:val="00882BB6"/>
    <w:rsid w:val="00882DDD"/>
    <w:rsid w:val="00883102"/>
    <w:rsid w:val="008831E1"/>
    <w:rsid w:val="00883217"/>
    <w:rsid w:val="00883229"/>
    <w:rsid w:val="00883775"/>
    <w:rsid w:val="00883B8E"/>
    <w:rsid w:val="00883C31"/>
    <w:rsid w:val="00883D12"/>
    <w:rsid w:val="008845B5"/>
    <w:rsid w:val="00884BE1"/>
    <w:rsid w:val="00884CF6"/>
    <w:rsid w:val="00884F53"/>
    <w:rsid w:val="00885A9F"/>
    <w:rsid w:val="008863C0"/>
    <w:rsid w:val="008868EF"/>
    <w:rsid w:val="00886B23"/>
    <w:rsid w:val="008872A4"/>
    <w:rsid w:val="00887ABB"/>
    <w:rsid w:val="00887B7D"/>
    <w:rsid w:val="008902DD"/>
    <w:rsid w:val="00890C36"/>
    <w:rsid w:val="008910F1"/>
    <w:rsid w:val="00891163"/>
    <w:rsid w:val="0089193E"/>
    <w:rsid w:val="00892044"/>
    <w:rsid w:val="008922C3"/>
    <w:rsid w:val="00892C29"/>
    <w:rsid w:val="008930EE"/>
    <w:rsid w:val="008931E6"/>
    <w:rsid w:val="00893284"/>
    <w:rsid w:val="00894BCA"/>
    <w:rsid w:val="00894F71"/>
    <w:rsid w:val="0089574D"/>
    <w:rsid w:val="008959DD"/>
    <w:rsid w:val="00895B74"/>
    <w:rsid w:val="00895DE4"/>
    <w:rsid w:val="00895F05"/>
    <w:rsid w:val="00896476"/>
    <w:rsid w:val="008969F5"/>
    <w:rsid w:val="00896ABF"/>
    <w:rsid w:val="00896C77"/>
    <w:rsid w:val="00897052"/>
    <w:rsid w:val="008971BB"/>
    <w:rsid w:val="008971F9"/>
    <w:rsid w:val="0089730E"/>
    <w:rsid w:val="008977E2"/>
    <w:rsid w:val="00897A22"/>
    <w:rsid w:val="008A0334"/>
    <w:rsid w:val="008A0415"/>
    <w:rsid w:val="008A0B7F"/>
    <w:rsid w:val="008A12E6"/>
    <w:rsid w:val="008A152A"/>
    <w:rsid w:val="008A1667"/>
    <w:rsid w:val="008A175E"/>
    <w:rsid w:val="008A1EF8"/>
    <w:rsid w:val="008A2940"/>
    <w:rsid w:val="008A2997"/>
    <w:rsid w:val="008A330B"/>
    <w:rsid w:val="008A388E"/>
    <w:rsid w:val="008A3D23"/>
    <w:rsid w:val="008A4230"/>
    <w:rsid w:val="008A4B80"/>
    <w:rsid w:val="008A53C3"/>
    <w:rsid w:val="008A57EF"/>
    <w:rsid w:val="008A5A20"/>
    <w:rsid w:val="008A5A6E"/>
    <w:rsid w:val="008A6101"/>
    <w:rsid w:val="008A61FB"/>
    <w:rsid w:val="008A62A4"/>
    <w:rsid w:val="008A6ED6"/>
    <w:rsid w:val="008A6FA1"/>
    <w:rsid w:val="008A73D8"/>
    <w:rsid w:val="008A7A14"/>
    <w:rsid w:val="008A7BAA"/>
    <w:rsid w:val="008B01C4"/>
    <w:rsid w:val="008B0D33"/>
    <w:rsid w:val="008B1E9F"/>
    <w:rsid w:val="008B20D4"/>
    <w:rsid w:val="008B23A8"/>
    <w:rsid w:val="008B23F9"/>
    <w:rsid w:val="008B2FCB"/>
    <w:rsid w:val="008B3B0C"/>
    <w:rsid w:val="008B3C6D"/>
    <w:rsid w:val="008B3F09"/>
    <w:rsid w:val="008B4348"/>
    <w:rsid w:val="008B5304"/>
    <w:rsid w:val="008B565F"/>
    <w:rsid w:val="008B58B5"/>
    <w:rsid w:val="008B5F7F"/>
    <w:rsid w:val="008B6147"/>
    <w:rsid w:val="008B61C5"/>
    <w:rsid w:val="008B7224"/>
    <w:rsid w:val="008B72D9"/>
    <w:rsid w:val="008C03CB"/>
    <w:rsid w:val="008C0520"/>
    <w:rsid w:val="008C05C5"/>
    <w:rsid w:val="008C06AC"/>
    <w:rsid w:val="008C0B75"/>
    <w:rsid w:val="008C0ED7"/>
    <w:rsid w:val="008C11D0"/>
    <w:rsid w:val="008C1483"/>
    <w:rsid w:val="008C18EC"/>
    <w:rsid w:val="008C199B"/>
    <w:rsid w:val="008C2FAF"/>
    <w:rsid w:val="008C362B"/>
    <w:rsid w:val="008C388A"/>
    <w:rsid w:val="008C39CF"/>
    <w:rsid w:val="008C4C64"/>
    <w:rsid w:val="008C4D80"/>
    <w:rsid w:val="008C50BB"/>
    <w:rsid w:val="008C51ED"/>
    <w:rsid w:val="008C5C9C"/>
    <w:rsid w:val="008C64C5"/>
    <w:rsid w:val="008C6530"/>
    <w:rsid w:val="008C65E0"/>
    <w:rsid w:val="008C6650"/>
    <w:rsid w:val="008C69B9"/>
    <w:rsid w:val="008C6B5E"/>
    <w:rsid w:val="008C6EA6"/>
    <w:rsid w:val="008D00DA"/>
    <w:rsid w:val="008D05AD"/>
    <w:rsid w:val="008D1477"/>
    <w:rsid w:val="008D17D1"/>
    <w:rsid w:val="008D1AF6"/>
    <w:rsid w:val="008D1D1F"/>
    <w:rsid w:val="008D1EA5"/>
    <w:rsid w:val="008D22D1"/>
    <w:rsid w:val="008D26A0"/>
    <w:rsid w:val="008D26C6"/>
    <w:rsid w:val="008D4015"/>
    <w:rsid w:val="008D44FD"/>
    <w:rsid w:val="008D4FD9"/>
    <w:rsid w:val="008D564B"/>
    <w:rsid w:val="008D5873"/>
    <w:rsid w:val="008D5995"/>
    <w:rsid w:val="008D5A29"/>
    <w:rsid w:val="008D60CC"/>
    <w:rsid w:val="008D6374"/>
    <w:rsid w:val="008D6624"/>
    <w:rsid w:val="008D6A56"/>
    <w:rsid w:val="008D711D"/>
    <w:rsid w:val="008D775F"/>
    <w:rsid w:val="008E1408"/>
    <w:rsid w:val="008E2526"/>
    <w:rsid w:val="008E25E2"/>
    <w:rsid w:val="008E316B"/>
    <w:rsid w:val="008E3359"/>
    <w:rsid w:val="008E3711"/>
    <w:rsid w:val="008E3917"/>
    <w:rsid w:val="008E3B92"/>
    <w:rsid w:val="008E3EA6"/>
    <w:rsid w:val="008E4034"/>
    <w:rsid w:val="008E4C0E"/>
    <w:rsid w:val="008E5141"/>
    <w:rsid w:val="008E565C"/>
    <w:rsid w:val="008E62BC"/>
    <w:rsid w:val="008E6967"/>
    <w:rsid w:val="008E72CD"/>
    <w:rsid w:val="008E73CE"/>
    <w:rsid w:val="008F14AB"/>
    <w:rsid w:val="008F15BB"/>
    <w:rsid w:val="008F1700"/>
    <w:rsid w:val="008F17AE"/>
    <w:rsid w:val="008F1B9F"/>
    <w:rsid w:val="008F3B5B"/>
    <w:rsid w:val="008F3CAC"/>
    <w:rsid w:val="008F3E41"/>
    <w:rsid w:val="008F4649"/>
    <w:rsid w:val="008F47BF"/>
    <w:rsid w:val="008F4BCC"/>
    <w:rsid w:val="008F5634"/>
    <w:rsid w:val="008F5AE1"/>
    <w:rsid w:val="008F715A"/>
    <w:rsid w:val="008F7543"/>
    <w:rsid w:val="008F7A59"/>
    <w:rsid w:val="008F7B96"/>
    <w:rsid w:val="008F7CB1"/>
    <w:rsid w:val="008F7ED3"/>
    <w:rsid w:val="009000A7"/>
    <w:rsid w:val="009002EE"/>
    <w:rsid w:val="00900FA7"/>
    <w:rsid w:val="00901A2D"/>
    <w:rsid w:val="00901A3C"/>
    <w:rsid w:val="00902032"/>
    <w:rsid w:val="009025D9"/>
    <w:rsid w:val="00903A30"/>
    <w:rsid w:val="00904002"/>
    <w:rsid w:val="00904356"/>
    <w:rsid w:val="00904D46"/>
    <w:rsid w:val="00904D8C"/>
    <w:rsid w:val="00904E6F"/>
    <w:rsid w:val="0090523D"/>
    <w:rsid w:val="00905660"/>
    <w:rsid w:val="00905D68"/>
    <w:rsid w:val="009062C9"/>
    <w:rsid w:val="00907654"/>
    <w:rsid w:val="0091027E"/>
    <w:rsid w:val="00910650"/>
    <w:rsid w:val="00910ED2"/>
    <w:rsid w:val="00911557"/>
    <w:rsid w:val="00912437"/>
    <w:rsid w:val="00912BB4"/>
    <w:rsid w:val="00912E70"/>
    <w:rsid w:val="00913220"/>
    <w:rsid w:val="00913251"/>
    <w:rsid w:val="00913467"/>
    <w:rsid w:val="009146DA"/>
    <w:rsid w:val="00914F0B"/>
    <w:rsid w:val="009150A0"/>
    <w:rsid w:val="00916B90"/>
    <w:rsid w:val="00917174"/>
    <w:rsid w:val="0092070E"/>
    <w:rsid w:val="00920D0A"/>
    <w:rsid w:val="00920E5F"/>
    <w:rsid w:val="009216DD"/>
    <w:rsid w:val="00921A62"/>
    <w:rsid w:val="00922278"/>
    <w:rsid w:val="0092249C"/>
    <w:rsid w:val="009224C7"/>
    <w:rsid w:val="00922CBA"/>
    <w:rsid w:val="009235D8"/>
    <w:rsid w:val="0092382E"/>
    <w:rsid w:val="00923966"/>
    <w:rsid w:val="00923E39"/>
    <w:rsid w:val="00924323"/>
    <w:rsid w:val="0092489D"/>
    <w:rsid w:val="00924A55"/>
    <w:rsid w:val="009254F2"/>
    <w:rsid w:val="00925652"/>
    <w:rsid w:val="00925A57"/>
    <w:rsid w:val="00925C20"/>
    <w:rsid w:val="00926394"/>
    <w:rsid w:val="009264CC"/>
    <w:rsid w:val="00926D03"/>
    <w:rsid w:val="00926F68"/>
    <w:rsid w:val="009274CD"/>
    <w:rsid w:val="009274F8"/>
    <w:rsid w:val="009278D0"/>
    <w:rsid w:val="00927FDE"/>
    <w:rsid w:val="009302C5"/>
    <w:rsid w:val="00930836"/>
    <w:rsid w:val="00930C59"/>
    <w:rsid w:val="00932236"/>
    <w:rsid w:val="009322BD"/>
    <w:rsid w:val="0093257D"/>
    <w:rsid w:val="009330D9"/>
    <w:rsid w:val="009334BF"/>
    <w:rsid w:val="00934478"/>
    <w:rsid w:val="00934A2B"/>
    <w:rsid w:val="009350FD"/>
    <w:rsid w:val="0093516D"/>
    <w:rsid w:val="00935BAC"/>
    <w:rsid w:val="009362B4"/>
    <w:rsid w:val="009369CB"/>
    <w:rsid w:val="00936AD4"/>
    <w:rsid w:val="0093700B"/>
    <w:rsid w:val="0093723B"/>
    <w:rsid w:val="009373BC"/>
    <w:rsid w:val="00937FCB"/>
    <w:rsid w:val="009407C9"/>
    <w:rsid w:val="0094087B"/>
    <w:rsid w:val="00940E2D"/>
    <w:rsid w:val="00941AC8"/>
    <w:rsid w:val="00941B7D"/>
    <w:rsid w:val="009423E1"/>
    <w:rsid w:val="0094274F"/>
    <w:rsid w:val="0094286E"/>
    <w:rsid w:val="00942BBC"/>
    <w:rsid w:val="00942DAA"/>
    <w:rsid w:val="00943B9C"/>
    <w:rsid w:val="00943BEC"/>
    <w:rsid w:val="00943C6B"/>
    <w:rsid w:val="009444F5"/>
    <w:rsid w:val="0094469B"/>
    <w:rsid w:val="0094503E"/>
    <w:rsid w:val="0094536B"/>
    <w:rsid w:val="009453F9"/>
    <w:rsid w:val="00945D80"/>
    <w:rsid w:val="00945EC1"/>
    <w:rsid w:val="009461C2"/>
    <w:rsid w:val="00946447"/>
    <w:rsid w:val="0094647D"/>
    <w:rsid w:val="00947C90"/>
    <w:rsid w:val="00947FF1"/>
    <w:rsid w:val="00950841"/>
    <w:rsid w:val="0095141C"/>
    <w:rsid w:val="0095163F"/>
    <w:rsid w:val="00951B5B"/>
    <w:rsid w:val="00951DEB"/>
    <w:rsid w:val="0095201A"/>
    <w:rsid w:val="0095219B"/>
    <w:rsid w:val="009525B7"/>
    <w:rsid w:val="00952771"/>
    <w:rsid w:val="00952B31"/>
    <w:rsid w:val="0095362D"/>
    <w:rsid w:val="00953883"/>
    <w:rsid w:val="00953F90"/>
    <w:rsid w:val="0095455D"/>
    <w:rsid w:val="00954845"/>
    <w:rsid w:val="00954A0D"/>
    <w:rsid w:val="0095509F"/>
    <w:rsid w:val="00955537"/>
    <w:rsid w:val="00955741"/>
    <w:rsid w:val="00955898"/>
    <w:rsid w:val="00955CBB"/>
    <w:rsid w:val="00955D60"/>
    <w:rsid w:val="00956155"/>
    <w:rsid w:val="00956A55"/>
    <w:rsid w:val="00956A8F"/>
    <w:rsid w:val="00957668"/>
    <w:rsid w:val="00957D8B"/>
    <w:rsid w:val="00960226"/>
    <w:rsid w:val="00960ECE"/>
    <w:rsid w:val="00961819"/>
    <w:rsid w:val="00961889"/>
    <w:rsid w:val="00962F7B"/>
    <w:rsid w:val="0096306E"/>
    <w:rsid w:val="00963A01"/>
    <w:rsid w:val="009640AC"/>
    <w:rsid w:val="0096458C"/>
    <w:rsid w:val="00964A8A"/>
    <w:rsid w:val="00964E0F"/>
    <w:rsid w:val="00965440"/>
    <w:rsid w:val="009655DF"/>
    <w:rsid w:val="00967128"/>
    <w:rsid w:val="00967474"/>
    <w:rsid w:val="00967584"/>
    <w:rsid w:val="00967F09"/>
    <w:rsid w:val="00967F4F"/>
    <w:rsid w:val="009704B3"/>
    <w:rsid w:val="00970909"/>
    <w:rsid w:val="00970F2F"/>
    <w:rsid w:val="009719BF"/>
    <w:rsid w:val="00971A21"/>
    <w:rsid w:val="00971EB7"/>
    <w:rsid w:val="00971FA3"/>
    <w:rsid w:val="00973AB7"/>
    <w:rsid w:val="009742A8"/>
    <w:rsid w:val="00975244"/>
    <w:rsid w:val="0097528C"/>
    <w:rsid w:val="009752DE"/>
    <w:rsid w:val="00975A06"/>
    <w:rsid w:val="00975B7F"/>
    <w:rsid w:val="0097619B"/>
    <w:rsid w:val="00976460"/>
    <w:rsid w:val="0097666E"/>
    <w:rsid w:val="00976858"/>
    <w:rsid w:val="00976AEB"/>
    <w:rsid w:val="009774B7"/>
    <w:rsid w:val="00980DE0"/>
    <w:rsid w:val="00982286"/>
    <w:rsid w:val="00982FB3"/>
    <w:rsid w:val="00983613"/>
    <w:rsid w:val="00984262"/>
    <w:rsid w:val="009844AD"/>
    <w:rsid w:val="00984DB8"/>
    <w:rsid w:val="00984F9F"/>
    <w:rsid w:val="00985684"/>
    <w:rsid w:val="00985726"/>
    <w:rsid w:val="0098601F"/>
    <w:rsid w:val="00986591"/>
    <w:rsid w:val="00987543"/>
    <w:rsid w:val="009877A0"/>
    <w:rsid w:val="009879F9"/>
    <w:rsid w:val="00987CFD"/>
    <w:rsid w:val="00987D1E"/>
    <w:rsid w:val="00987F9F"/>
    <w:rsid w:val="00990372"/>
    <w:rsid w:val="009906F4"/>
    <w:rsid w:val="00990AB6"/>
    <w:rsid w:val="00990ACC"/>
    <w:rsid w:val="009916DC"/>
    <w:rsid w:val="00991BA5"/>
    <w:rsid w:val="00993411"/>
    <w:rsid w:val="0099398E"/>
    <w:rsid w:val="00993D33"/>
    <w:rsid w:val="00993FF6"/>
    <w:rsid w:val="00994AF0"/>
    <w:rsid w:val="00994E36"/>
    <w:rsid w:val="0099527F"/>
    <w:rsid w:val="00995529"/>
    <w:rsid w:val="009959C9"/>
    <w:rsid w:val="00996502"/>
    <w:rsid w:val="00996C1F"/>
    <w:rsid w:val="00997106"/>
    <w:rsid w:val="00997AC3"/>
    <w:rsid w:val="009A06E4"/>
    <w:rsid w:val="009A0B34"/>
    <w:rsid w:val="009A0EC3"/>
    <w:rsid w:val="009A1DDE"/>
    <w:rsid w:val="009A2285"/>
    <w:rsid w:val="009A22E7"/>
    <w:rsid w:val="009A285D"/>
    <w:rsid w:val="009A33E5"/>
    <w:rsid w:val="009A34F2"/>
    <w:rsid w:val="009A39F8"/>
    <w:rsid w:val="009A4032"/>
    <w:rsid w:val="009A4409"/>
    <w:rsid w:val="009A518D"/>
    <w:rsid w:val="009A587C"/>
    <w:rsid w:val="009A6457"/>
    <w:rsid w:val="009A654F"/>
    <w:rsid w:val="009A6826"/>
    <w:rsid w:val="009A691D"/>
    <w:rsid w:val="009A71F6"/>
    <w:rsid w:val="009A7220"/>
    <w:rsid w:val="009A739E"/>
    <w:rsid w:val="009A75FA"/>
    <w:rsid w:val="009A7DE7"/>
    <w:rsid w:val="009B0630"/>
    <w:rsid w:val="009B090D"/>
    <w:rsid w:val="009B0C8C"/>
    <w:rsid w:val="009B22B9"/>
    <w:rsid w:val="009B288E"/>
    <w:rsid w:val="009B320D"/>
    <w:rsid w:val="009B32A2"/>
    <w:rsid w:val="009B3B91"/>
    <w:rsid w:val="009B3F7E"/>
    <w:rsid w:val="009B41D3"/>
    <w:rsid w:val="009B5E0C"/>
    <w:rsid w:val="009B639B"/>
    <w:rsid w:val="009B6CDE"/>
    <w:rsid w:val="009B733D"/>
    <w:rsid w:val="009B74D7"/>
    <w:rsid w:val="009B7807"/>
    <w:rsid w:val="009C07FD"/>
    <w:rsid w:val="009C0AC9"/>
    <w:rsid w:val="009C12A0"/>
    <w:rsid w:val="009C1F5C"/>
    <w:rsid w:val="009C2153"/>
    <w:rsid w:val="009C21FE"/>
    <w:rsid w:val="009C2815"/>
    <w:rsid w:val="009C2D80"/>
    <w:rsid w:val="009C416D"/>
    <w:rsid w:val="009C4CA4"/>
    <w:rsid w:val="009C5A07"/>
    <w:rsid w:val="009C6A1F"/>
    <w:rsid w:val="009C7E4B"/>
    <w:rsid w:val="009D07CE"/>
    <w:rsid w:val="009D1344"/>
    <w:rsid w:val="009D13D2"/>
    <w:rsid w:val="009D1B75"/>
    <w:rsid w:val="009D20DB"/>
    <w:rsid w:val="009D210F"/>
    <w:rsid w:val="009D21FF"/>
    <w:rsid w:val="009D2A7B"/>
    <w:rsid w:val="009D315B"/>
    <w:rsid w:val="009D3891"/>
    <w:rsid w:val="009D3AD7"/>
    <w:rsid w:val="009D4817"/>
    <w:rsid w:val="009D5AE0"/>
    <w:rsid w:val="009D5E7B"/>
    <w:rsid w:val="009D64E9"/>
    <w:rsid w:val="009D67AD"/>
    <w:rsid w:val="009D6918"/>
    <w:rsid w:val="009D6C00"/>
    <w:rsid w:val="009D6EA7"/>
    <w:rsid w:val="009D7047"/>
    <w:rsid w:val="009D7133"/>
    <w:rsid w:val="009D7181"/>
    <w:rsid w:val="009D7369"/>
    <w:rsid w:val="009D769A"/>
    <w:rsid w:val="009D7D00"/>
    <w:rsid w:val="009D7D8D"/>
    <w:rsid w:val="009E00F9"/>
    <w:rsid w:val="009E03E9"/>
    <w:rsid w:val="009E0592"/>
    <w:rsid w:val="009E0C25"/>
    <w:rsid w:val="009E0DC6"/>
    <w:rsid w:val="009E1026"/>
    <w:rsid w:val="009E155E"/>
    <w:rsid w:val="009E16E8"/>
    <w:rsid w:val="009E1859"/>
    <w:rsid w:val="009E18EB"/>
    <w:rsid w:val="009E1903"/>
    <w:rsid w:val="009E1F52"/>
    <w:rsid w:val="009E28E1"/>
    <w:rsid w:val="009E2A61"/>
    <w:rsid w:val="009E31F4"/>
    <w:rsid w:val="009E3764"/>
    <w:rsid w:val="009E37B4"/>
    <w:rsid w:val="009E3DDA"/>
    <w:rsid w:val="009E43FC"/>
    <w:rsid w:val="009E486F"/>
    <w:rsid w:val="009E4939"/>
    <w:rsid w:val="009E4C85"/>
    <w:rsid w:val="009E528D"/>
    <w:rsid w:val="009E52C5"/>
    <w:rsid w:val="009E52F2"/>
    <w:rsid w:val="009E5597"/>
    <w:rsid w:val="009E58C7"/>
    <w:rsid w:val="009E59AF"/>
    <w:rsid w:val="009E5DCB"/>
    <w:rsid w:val="009E6B3B"/>
    <w:rsid w:val="009E6F20"/>
    <w:rsid w:val="009E7AC3"/>
    <w:rsid w:val="009F03BD"/>
    <w:rsid w:val="009F07D5"/>
    <w:rsid w:val="009F12FC"/>
    <w:rsid w:val="009F1857"/>
    <w:rsid w:val="009F20D1"/>
    <w:rsid w:val="009F29AD"/>
    <w:rsid w:val="009F2BF0"/>
    <w:rsid w:val="009F35BE"/>
    <w:rsid w:val="009F3773"/>
    <w:rsid w:val="009F3BF8"/>
    <w:rsid w:val="009F4075"/>
    <w:rsid w:val="009F40A0"/>
    <w:rsid w:val="009F47E0"/>
    <w:rsid w:val="009F4891"/>
    <w:rsid w:val="009F5DDF"/>
    <w:rsid w:val="009F5F9F"/>
    <w:rsid w:val="009F6662"/>
    <w:rsid w:val="009F68F0"/>
    <w:rsid w:val="009F6BAD"/>
    <w:rsid w:val="009F7FB4"/>
    <w:rsid w:val="00A0010C"/>
    <w:rsid w:val="00A00263"/>
    <w:rsid w:val="00A0151F"/>
    <w:rsid w:val="00A01994"/>
    <w:rsid w:val="00A02317"/>
    <w:rsid w:val="00A02319"/>
    <w:rsid w:val="00A029B1"/>
    <w:rsid w:val="00A02D93"/>
    <w:rsid w:val="00A02F5E"/>
    <w:rsid w:val="00A02F90"/>
    <w:rsid w:val="00A037BE"/>
    <w:rsid w:val="00A04752"/>
    <w:rsid w:val="00A047D9"/>
    <w:rsid w:val="00A04F25"/>
    <w:rsid w:val="00A051E5"/>
    <w:rsid w:val="00A05DB2"/>
    <w:rsid w:val="00A06CDB"/>
    <w:rsid w:val="00A070A5"/>
    <w:rsid w:val="00A07EA4"/>
    <w:rsid w:val="00A1077D"/>
    <w:rsid w:val="00A1134F"/>
    <w:rsid w:val="00A11FE2"/>
    <w:rsid w:val="00A132EC"/>
    <w:rsid w:val="00A14281"/>
    <w:rsid w:val="00A14D04"/>
    <w:rsid w:val="00A1581E"/>
    <w:rsid w:val="00A1588A"/>
    <w:rsid w:val="00A16DB7"/>
    <w:rsid w:val="00A16EE2"/>
    <w:rsid w:val="00A1749E"/>
    <w:rsid w:val="00A204A1"/>
    <w:rsid w:val="00A20DE5"/>
    <w:rsid w:val="00A218BA"/>
    <w:rsid w:val="00A21E71"/>
    <w:rsid w:val="00A22555"/>
    <w:rsid w:val="00A22B2D"/>
    <w:rsid w:val="00A230FD"/>
    <w:rsid w:val="00A234AC"/>
    <w:rsid w:val="00A23773"/>
    <w:rsid w:val="00A239A5"/>
    <w:rsid w:val="00A23A31"/>
    <w:rsid w:val="00A23DEA"/>
    <w:rsid w:val="00A241FB"/>
    <w:rsid w:val="00A250DF"/>
    <w:rsid w:val="00A258B9"/>
    <w:rsid w:val="00A25904"/>
    <w:rsid w:val="00A263DB"/>
    <w:rsid w:val="00A26462"/>
    <w:rsid w:val="00A26738"/>
    <w:rsid w:val="00A269ED"/>
    <w:rsid w:val="00A27488"/>
    <w:rsid w:val="00A27799"/>
    <w:rsid w:val="00A277BF"/>
    <w:rsid w:val="00A27AF9"/>
    <w:rsid w:val="00A27CE5"/>
    <w:rsid w:val="00A305BE"/>
    <w:rsid w:val="00A305F2"/>
    <w:rsid w:val="00A30B10"/>
    <w:rsid w:val="00A31473"/>
    <w:rsid w:val="00A32586"/>
    <w:rsid w:val="00A32D26"/>
    <w:rsid w:val="00A32E11"/>
    <w:rsid w:val="00A33830"/>
    <w:rsid w:val="00A33B52"/>
    <w:rsid w:val="00A343F6"/>
    <w:rsid w:val="00A34868"/>
    <w:rsid w:val="00A34C4A"/>
    <w:rsid w:val="00A34D8C"/>
    <w:rsid w:val="00A36C74"/>
    <w:rsid w:val="00A37135"/>
    <w:rsid w:val="00A37316"/>
    <w:rsid w:val="00A37AA1"/>
    <w:rsid w:val="00A37B4F"/>
    <w:rsid w:val="00A40044"/>
    <w:rsid w:val="00A4054F"/>
    <w:rsid w:val="00A41079"/>
    <w:rsid w:val="00A41ACC"/>
    <w:rsid w:val="00A420FF"/>
    <w:rsid w:val="00A435B0"/>
    <w:rsid w:val="00A43890"/>
    <w:rsid w:val="00A439C5"/>
    <w:rsid w:val="00A439E7"/>
    <w:rsid w:val="00A44B64"/>
    <w:rsid w:val="00A45122"/>
    <w:rsid w:val="00A454DE"/>
    <w:rsid w:val="00A4584C"/>
    <w:rsid w:val="00A45B51"/>
    <w:rsid w:val="00A45B8E"/>
    <w:rsid w:val="00A46DB5"/>
    <w:rsid w:val="00A46E4C"/>
    <w:rsid w:val="00A46E5D"/>
    <w:rsid w:val="00A46EA0"/>
    <w:rsid w:val="00A47186"/>
    <w:rsid w:val="00A475B8"/>
    <w:rsid w:val="00A4785B"/>
    <w:rsid w:val="00A47862"/>
    <w:rsid w:val="00A47919"/>
    <w:rsid w:val="00A4798F"/>
    <w:rsid w:val="00A5090A"/>
    <w:rsid w:val="00A50A6E"/>
    <w:rsid w:val="00A50F2B"/>
    <w:rsid w:val="00A513CD"/>
    <w:rsid w:val="00A51548"/>
    <w:rsid w:val="00A51680"/>
    <w:rsid w:val="00A5215C"/>
    <w:rsid w:val="00A54163"/>
    <w:rsid w:val="00A54220"/>
    <w:rsid w:val="00A549E8"/>
    <w:rsid w:val="00A54C3D"/>
    <w:rsid w:val="00A54FCE"/>
    <w:rsid w:val="00A561B1"/>
    <w:rsid w:val="00A56399"/>
    <w:rsid w:val="00A5674B"/>
    <w:rsid w:val="00A56806"/>
    <w:rsid w:val="00A57628"/>
    <w:rsid w:val="00A577CA"/>
    <w:rsid w:val="00A57AC4"/>
    <w:rsid w:val="00A57E52"/>
    <w:rsid w:val="00A6047A"/>
    <w:rsid w:val="00A604BC"/>
    <w:rsid w:val="00A61D75"/>
    <w:rsid w:val="00A6242A"/>
    <w:rsid w:val="00A62FD1"/>
    <w:rsid w:val="00A63D0A"/>
    <w:rsid w:val="00A63E4F"/>
    <w:rsid w:val="00A640FD"/>
    <w:rsid w:val="00A6452D"/>
    <w:rsid w:val="00A64890"/>
    <w:rsid w:val="00A64DFD"/>
    <w:rsid w:val="00A650C5"/>
    <w:rsid w:val="00A652AF"/>
    <w:rsid w:val="00A661A7"/>
    <w:rsid w:val="00A6627A"/>
    <w:rsid w:val="00A666B2"/>
    <w:rsid w:val="00A6716B"/>
    <w:rsid w:val="00A673AD"/>
    <w:rsid w:val="00A677E4"/>
    <w:rsid w:val="00A67B20"/>
    <w:rsid w:val="00A67EF7"/>
    <w:rsid w:val="00A7110C"/>
    <w:rsid w:val="00A7119B"/>
    <w:rsid w:val="00A72203"/>
    <w:rsid w:val="00A72831"/>
    <w:rsid w:val="00A72AA1"/>
    <w:rsid w:val="00A72F58"/>
    <w:rsid w:val="00A732CC"/>
    <w:rsid w:val="00A73E45"/>
    <w:rsid w:val="00A746C5"/>
    <w:rsid w:val="00A75508"/>
    <w:rsid w:val="00A75A38"/>
    <w:rsid w:val="00A7605F"/>
    <w:rsid w:val="00A766AE"/>
    <w:rsid w:val="00A7674C"/>
    <w:rsid w:val="00A77B65"/>
    <w:rsid w:val="00A77CE5"/>
    <w:rsid w:val="00A77F60"/>
    <w:rsid w:val="00A801BB"/>
    <w:rsid w:val="00A80669"/>
    <w:rsid w:val="00A80C9B"/>
    <w:rsid w:val="00A8102D"/>
    <w:rsid w:val="00A817CC"/>
    <w:rsid w:val="00A81FC8"/>
    <w:rsid w:val="00A8247E"/>
    <w:rsid w:val="00A82487"/>
    <w:rsid w:val="00A8340E"/>
    <w:rsid w:val="00A834C9"/>
    <w:rsid w:val="00A83595"/>
    <w:rsid w:val="00A83A17"/>
    <w:rsid w:val="00A83DB6"/>
    <w:rsid w:val="00A844DF"/>
    <w:rsid w:val="00A845DE"/>
    <w:rsid w:val="00A84C81"/>
    <w:rsid w:val="00A85523"/>
    <w:rsid w:val="00A85809"/>
    <w:rsid w:val="00A85A8C"/>
    <w:rsid w:val="00A871AE"/>
    <w:rsid w:val="00A87CC1"/>
    <w:rsid w:val="00A91BD1"/>
    <w:rsid w:val="00A93170"/>
    <w:rsid w:val="00A9384C"/>
    <w:rsid w:val="00A938E0"/>
    <w:rsid w:val="00A93CB0"/>
    <w:rsid w:val="00A93F21"/>
    <w:rsid w:val="00A940AB"/>
    <w:rsid w:val="00A94AE2"/>
    <w:rsid w:val="00A95034"/>
    <w:rsid w:val="00A95232"/>
    <w:rsid w:val="00A95539"/>
    <w:rsid w:val="00A958C9"/>
    <w:rsid w:val="00A967FE"/>
    <w:rsid w:val="00A96AD5"/>
    <w:rsid w:val="00A96B30"/>
    <w:rsid w:val="00A97078"/>
    <w:rsid w:val="00A971AE"/>
    <w:rsid w:val="00A9749D"/>
    <w:rsid w:val="00AA0929"/>
    <w:rsid w:val="00AA0D24"/>
    <w:rsid w:val="00AA0DAA"/>
    <w:rsid w:val="00AA2109"/>
    <w:rsid w:val="00AA2296"/>
    <w:rsid w:val="00AA2FAB"/>
    <w:rsid w:val="00AA3AE0"/>
    <w:rsid w:val="00AA3F62"/>
    <w:rsid w:val="00AA521E"/>
    <w:rsid w:val="00AA59D4"/>
    <w:rsid w:val="00AA5A87"/>
    <w:rsid w:val="00AA5E4C"/>
    <w:rsid w:val="00AA76A4"/>
    <w:rsid w:val="00AB0919"/>
    <w:rsid w:val="00AB0A0D"/>
    <w:rsid w:val="00AB0F92"/>
    <w:rsid w:val="00AB1267"/>
    <w:rsid w:val="00AB1816"/>
    <w:rsid w:val="00AB18A7"/>
    <w:rsid w:val="00AB195D"/>
    <w:rsid w:val="00AB27AE"/>
    <w:rsid w:val="00AB5422"/>
    <w:rsid w:val="00AB62A7"/>
    <w:rsid w:val="00AB6333"/>
    <w:rsid w:val="00AB698D"/>
    <w:rsid w:val="00AB6CC2"/>
    <w:rsid w:val="00AB7614"/>
    <w:rsid w:val="00AC0B11"/>
    <w:rsid w:val="00AC0C20"/>
    <w:rsid w:val="00AC0D10"/>
    <w:rsid w:val="00AC113D"/>
    <w:rsid w:val="00AC1AC2"/>
    <w:rsid w:val="00AC297C"/>
    <w:rsid w:val="00AC2ADE"/>
    <w:rsid w:val="00AC3032"/>
    <w:rsid w:val="00AC345F"/>
    <w:rsid w:val="00AC3B84"/>
    <w:rsid w:val="00AC3BB9"/>
    <w:rsid w:val="00AC42C6"/>
    <w:rsid w:val="00AC4388"/>
    <w:rsid w:val="00AC5E56"/>
    <w:rsid w:val="00AC616B"/>
    <w:rsid w:val="00AC6B55"/>
    <w:rsid w:val="00AC6F81"/>
    <w:rsid w:val="00AC7203"/>
    <w:rsid w:val="00AD04A5"/>
    <w:rsid w:val="00AD080E"/>
    <w:rsid w:val="00AD0856"/>
    <w:rsid w:val="00AD13BB"/>
    <w:rsid w:val="00AD1C4A"/>
    <w:rsid w:val="00AD202F"/>
    <w:rsid w:val="00AD33DC"/>
    <w:rsid w:val="00AD441E"/>
    <w:rsid w:val="00AD49BF"/>
    <w:rsid w:val="00AD523B"/>
    <w:rsid w:val="00AD5391"/>
    <w:rsid w:val="00AD5717"/>
    <w:rsid w:val="00AD582B"/>
    <w:rsid w:val="00AD5C82"/>
    <w:rsid w:val="00AD5C8F"/>
    <w:rsid w:val="00AD5E29"/>
    <w:rsid w:val="00AD6020"/>
    <w:rsid w:val="00AD6746"/>
    <w:rsid w:val="00AD6B9A"/>
    <w:rsid w:val="00AD7289"/>
    <w:rsid w:val="00AD751F"/>
    <w:rsid w:val="00AD7958"/>
    <w:rsid w:val="00AD7D17"/>
    <w:rsid w:val="00AD7F0C"/>
    <w:rsid w:val="00AD7FD7"/>
    <w:rsid w:val="00AE0EFC"/>
    <w:rsid w:val="00AE1283"/>
    <w:rsid w:val="00AE14CF"/>
    <w:rsid w:val="00AE1AAE"/>
    <w:rsid w:val="00AE2AE0"/>
    <w:rsid w:val="00AE2F98"/>
    <w:rsid w:val="00AE32F1"/>
    <w:rsid w:val="00AE356C"/>
    <w:rsid w:val="00AE3930"/>
    <w:rsid w:val="00AE4DFC"/>
    <w:rsid w:val="00AE5646"/>
    <w:rsid w:val="00AE5F65"/>
    <w:rsid w:val="00AE6282"/>
    <w:rsid w:val="00AE62ED"/>
    <w:rsid w:val="00AE692A"/>
    <w:rsid w:val="00AE6A67"/>
    <w:rsid w:val="00AE74B7"/>
    <w:rsid w:val="00AE7B16"/>
    <w:rsid w:val="00AF00B8"/>
    <w:rsid w:val="00AF00EA"/>
    <w:rsid w:val="00AF0D1A"/>
    <w:rsid w:val="00AF10A1"/>
    <w:rsid w:val="00AF1666"/>
    <w:rsid w:val="00AF1E2B"/>
    <w:rsid w:val="00AF2308"/>
    <w:rsid w:val="00AF3633"/>
    <w:rsid w:val="00AF3B43"/>
    <w:rsid w:val="00AF3E4B"/>
    <w:rsid w:val="00AF3F05"/>
    <w:rsid w:val="00AF4486"/>
    <w:rsid w:val="00AF5202"/>
    <w:rsid w:val="00AF55D6"/>
    <w:rsid w:val="00AF5C3D"/>
    <w:rsid w:val="00AF5C54"/>
    <w:rsid w:val="00AF5DB8"/>
    <w:rsid w:val="00AF6AD0"/>
    <w:rsid w:val="00AF6C27"/>
    <w:rsid w:val="00B00561"/>
    <w:rsid w:val="00B009CF"/>
    <w:rsid w:val="00B00D4C"/>
    <w:rsid w:val="00B01292"/>
    <w:rsid w:val="00B01393"/>
    <w:rsid w:val="00B01999"/>
    <w:rsid w:val="00B01A17"/>
    <w:rsid w:val="00B01ED9"/>
    <w:rsid w:val="00B0210D"/>
    <w:rsid w:val="00B0273D"/>
    <w:rsid w:val="00B0292B"/>
    <w:rsid w:val="00B044C7"/>
    <w:rsid w:val="00B04619"/>
    <w:rsid w:val="00B04EC3"/>
    <w:rsid w:val="00B05239"/>
    <w:rsid w:val="00B05314"/>
    <w:rsid w:val="00B0532D"/>
    <w:rsid w:val="00B0622D"/>
    <w:rsid w:val="00B066C4"/>
    <w:rsid w:val="00B06EA4"/>
    <w:rsid w:val="00B071A8"/>
    <w:rsid w:val="00B07329"/>
    <w:rsid w:val="00B073EC"/>
    <w:rsid w:val="00B07982"/>
    <w:rsid w:val="00B1017D"/>
    <w:rsid w:val="00B10B58"/>
    <w:rsid w:val="00B10BB5"/>
    <w:rsid w:val="00B125B9"/>
    <w:rsid w:val="00B1274C"/>
    <w:rsid w:val="00B12AD3"/>
    <w:rsid w:val="00B13046"/>
    <w:rsid w:val="00B13A65"/>
    <w:rsid w:val="00B14820"/>
    <w:rsid w:val="00B14D6A"/>
    <w:rsid w:val="00B14F73"/>
    <w:rsid w:val="00B15335"/>
    <w:rsid w:val="00B15A05"/>
    <w:rsid w:val="00B15AF4"/>
    <w:rsid w:val="00B15B0F"/>
    <w:rsid w:val="00B16A05"/>
    <w:rsid w:val="00B16C1B"/>
    <w:rsid w:val="00B17786"/>
    <w:rsid w:val="00B20989"/>
    <w:rsid w:val="00B21A29"/>
    <w:rsid w:val="00B21C71"/>
    <w:rsid w:val="00B2377D"/>
    <w:rsid w:val="00B24156"/>
    <w:rsid w:val="00B24306"/>
    <w:rsid w:val="00B248FA"/>
    <w:rsid w:val="00B260B4"/>
    <w:rsid w:val="00B26281"/>
    <w:rsid w:val="00B2631F"/>
    <w:rsid w:val="00B26BBA"/>
    <w:rsid w:val="00B26EC0"/>
    <w:rsid w:val="00B2700C"/>
    <w:rsid w:val="00B27591"/>
    <w:rsid w:val="00B275FA"/>
    <w:rsid w:val="00B27B51"/>
    <w:rsid w:val="00B31C99"/>
    <w:rsid w:val="00B31CD5"/>
    <w:rsid w:val="00B31E7C"/>
    <w:rsid w:val="00B333E7"/>
    <w:rsid w:val="00B3392A"/>
    <w:rsid w:val="00B3431C"/>
    <w:rsid w:val="00B35EC7"/>
    <w:rsid w:val="00B35EF5"/>
    <w:rsid w:val="00B36121"/>
    <w:rsid w:val="00B3621C"/>
    <w:rsid w:val="00B36D5E"/>
    <w:rsid w:val="00B37401"/>
    <w:rsid w:val="00B3762D"/>
    <w:rsid w:val="00B376E7"/>
    <w:rsid w:val="00B37948"/>
    <w:rsid w:val="00B4181B"/>
    <w:rsid w:val="00B41C3F"/>
    <w:rsid w:val="00B4239E"/>
    <w:rsid w:val="00B42E7F"/>
    <w:rsid w:val="00B43E1C"/>
    <w:rsid w:val="00B45513"/>
    <w:rsid w:val="00B458B8"/>
    <w:rsid w:val="00B45F42"/>
    <w:rsid w:val="00B47A18"/>
    <w:rsid w:val="00B5073D"/>
    <w:rsid w:val="00B507AD"/>
    <w:rsid w:val="00B509DC"/>
    <w:rsid w:val="00B50CB8"/>
    <w:rsid w:val="00B50FFE"/>
    <w:rsid w:val="00B510CB"/>
    <w:rsid w:val="00B516FA"/>
    <w:rsid w:val="00B51F8B"/>
    <w:rsid w:val="00B523EB"/>
    <w:rsid w:val="00B527E3"/>
    <w:rsid w:val="00B52AB2"/>
    <w:rsid w:val="00B5310F"/>
    <w:rsid w:val="00B53531"/>
    <w:rsid w:val="00B537EE"/>
    <w:rsid w:val="00B547CB"/>
    <w:rsid w:val="00B547F6"/>
    <w:rsid w:val="00B553DC"/>
    <w:rsid w:val="00B55CDD"/>
    <w:rsid w:val="00B5602E"/>
    <w:rsid w:val="00B56073"/>
    <w:rsid w:val="00B56098"/>
    <w:rsid w:val="00B56E1A"/>
    <w:rsid w:val="00B57459"/>
    <w:rsid w:val="00B57E1F"/>
    <w:rsid w:val="00B6041B"/>
    <w:rsid w:val="00B6044B"/>
    <w:rsid w:val="00B6106E"/>
    <w:rsid w:val="00B6111C"/>
    <w:rsid w:val="00B615B8"/>
    <w:rsid w:val="00B622C2"/>
    <w:rsid w:val="00B6252C"/>
    <w:rsid w:val="00B628E9"/>
    <w:rsid w:val="00B62CD6"/>
    <w:rsid w:val="00B63B2C"/>
    <w:rsid w:val="00B64C53"/>
    <w:rsid w:val="00B64F3B"/>
    <w:rsid w:val="00B6597D"/>
    <w:rsid w:val="00B65A0B"/>
    <w:rsid w:val="00B65C35"/>
    <w:rsid w:val="00B65EEE"/>
    <w:rsid w:val="00B65FED"/>
    <w:rsid w:val="00B664B3"/>
    <w:rsid w:val="00B66E8D"/>
    <w:rsid w:val="00B67E8F"/>
    <w:rsid w:val="00B7036A"/>
    <w:rsid w:val="00B70492"/>
    <w:rsid w:val="00B70BCE"/>
    <w:rsid w:val="00B711E2"/>
    <w:rsid w:val="00B7154A"/>
    <w:rsid w:val="00B71786"/>
    <w:rsid w:val="00B72BA2"/>
    <w:rsid w:val="00B72EEF"/>
    <w:rsid w:val="00B73AA0"/>
    <w:rsid w:val="00B73B75"/>
    <w:rsid w:val="00B73F01"/>
    <w:rsid w:val="00B743A0"/>
    <w:rsid w:val="00B7463B"/>
    <w:rsid w:val="00B74C31"/>
    <w:rsid w:val="00B752ED"/>
    <w:rsid w:val="00B75304"/>
    <w:rsid w:val="00B75546"/>
    <w:rsid w:val="00B759D5"/>
    <w:rsid w:val="00B75B30"/>
    <w:rsid w:val="00B76F0A"/>
    <w:rsid w:val="00B776AA"/>
    <w:rsid w:val="00B777C0"/>
    <w:rsid w:val="00B778F4"/>
    <w:rsid w:val="00B77CE0"/>
    <w:rsid w:val="00B77D28"/>
    <w:rsid w:val="00B80423"/>
    <w:rsid w:val="00B8207E"/>
    <w:rsid w:val="00B82311"/>
    <w:rsid w:val="00B8262E"/>
    <w:rsid w:val="00B826F8"/>
    <w:rsid w:val="00B82E18"/>
    <w:rsid w:val="00B834EC"/>
    <w:rsid w:val="00B838F3"/>
    <w:rsid w:val="00B84A22"/>
    <w:rsid w:val="00B84A50"/>
    <w:rsid w:val="00B85352"/>
    <w:rsid w:val="00B85B20"/>
    <w:rsid w:val="00B85F69"/>
    <w:rsid w:val="00B865B6"/>
    <w:rsid w:val="00B86876"/>
    <w:rsid w:val="00B86903"/>
    <w:rsid w:val="00B86CEE"/>
    <w:rsid w:val="00B8769C"/>
    <w:rsid w:val="00B87BAA"/>
    <w:rsid w:val="00B87C67"/>
    <w:rsid w:val="00B9061B"/>
    <w:rsid w:val="00B90C22"/>
    <w:rsid w:val="00B90ECC"/>
    <w:rsid w:val="00B91205"/>
    <w:rsid w:val="00B91B63"/>
    <w:rsid w:val="00B91F2C"/>
    <w:rsid w:val="00B92F2D"/>
    <w:rsid w:val="00B92F4A"/>
    <w:rsid w:val="00B93C65"/>
    <w:rsid w:val="00B94A2E"/>
    <w:rsid w:val="00B94F52"/>
    <w:rsid w:val="00B96163"/>
    <w:rsid w:val="00B963A9"/>
    <w:rsid w:val="00B9664F"/>
    <w:rsid w:val="00B9691E"/>
    <w:rsid w:val="00B96B95"/>
    <w:rsid w:val="00B96DE9"/>
    <w:rsid w:val="00B96F57"/>
    <w:rsid w:val="00BA0977"/>
    <w:rsid w:val="00BA0DED"/>
    <w:rsid w:val="00BA1310"/>
    <w:rsid w:val="00BA192C"/>
    <w:rsid w:val="00BA251C"/>
    <w:rsid w:val="00BA2552"/>
    <w:rsid w:val="00BA29CB"/>
    <w:rsid w:val="00BA2AB5"/>
    <w:rsid w:val="00BA2B5D"/>
    <w:rsid w:val="00BA2C63"/>
    <w:rsid w:val="00BA42FB"/>
    <w:rsid w:val="00BA44D7"/>
    <w:rsid w:val="00BA46DA"/>
    <w:rsid w:val="00BA50A2"/>
    <w:rsid w:val="00BA5A00"/>
    <w:rsid w:val="00BA5F8C"/>
    <w:rsid w:val="00BA5FF6"/>
    <w:rsid w:val="00BA6262"/>
    <w:rsid w:val="00BA7609"/>
    <w:rsid w:val="00BA76D0"/>
    <w:rsid w:val="00BA7C48"/>
    <w:rsid w:val="00BB031D"/>
    <w:rsid w:val="00BB04E0"/>
    <w:rsid w:val="00BB0C80"/>
    <w:rsid w:val="00BB30E0"/>
    <w:rsid w:val="00BB376B"/>
    <w:rsid w:val="00BB3890"/>
    <w:rsid w:val="00BB3DE9"/>
    <w:rsid w:val="00BB43F4"/>
    <w:rsid w:val="00BB48A6"/>
    <w:rsid w:val="00BB5211"/>
    <w:rsid w:val="00BB61AF"/>
    <w:rsid w:val="00BB677B"/>
    <w:rsid w:val="00BB69C6"/>
    <w:rsid w:val="00BB78DF"/>
    <w:rsid w:val="00BC0356"/>
    <w:rsid w:val="00BC06FB"/>
    <w:rsid w:val="00BC096E"/>
    <w:rsid w:val="00BC0D03"/>
    <w:rsid w:val="00BC1A9F"/>
    <w:rsid w:val="00BC225B"/>
    <w:rsid w:val="00BC2387"/>
    <w:rsid w:val="00BC24FA"/>
    <w:rsid w:val="00BC2A15"/>
    <w:rsid w:val="00BC3906"/>
    <w:rsid w:val="00BC3B69"/>
    <w:rsid w:val="00BC3D20"/>
    <w:rsid w:val="00BC42EC"/>
    <w:rsid w:val="00BC4E92"/>
    <w:rsid w:val="00BC51A3"/>
    <w:rsid w:val="00BC52EE"/>
    <w:rsid w:val="00BC53BE"/>
    <w:rsid w:val="00BC5517"/>
    <w:rsid w:val="00BC5733"/>
    <w:rsid w:val="00BC5FB8"/>
    <w:rsid w:val="00BC6E78"/>
    <w:rsid w:val="00BC7087"/>
    <w:rsid w:val="00BC71B4"/>
    <w:rsid w:val="00BD078E"/>
    <w:rsid w:val="00BD0E7B"/>
    <w:rsid w:val="00BD18C2"/>
    <w:rsid w:val="00BD1ECA"/>
    <w:rsid w:val="00BD20C7"/>
    <w:rsid w:val="00BD261D"/>
    <w:rsid w:val="00BD2FCA"/>
    <w:rsid w:val="00BD3683"/>
    <w:rsid w:val="00BD3690"/>
    <w:rsid w:val="00BD369C"/>
    <w:rsid w:val="00BD3868"/>
    <w:rsid w:val="00BD3AA1"/>
    <w:rsid w:val="00BD3BFE"/>
    <w:rsid w:val="00BD46FF"/>
    <w:rsid w:val="00BD49C3"/>
    <w:rsid w:val="00BD4F37"/>
    <w:rsid w:val="00BD50EF"/>
    <w:rsid w:val="00BD537D"/>
    <w:rsid w:val="00BD5644"/>
    <w:rsid w:val="00BD6414"/>
    <w:rsid w:val="00BD6826"/>
    <w:rsid w:val="00BD6B8B"/>
    <w:rsid w:val="00BE1050"/>
    <w:rsid w:val="00BE1103"/>
    <w:rsid w:val="00BE1239"/>
    <w:rsid w:val="00BE1973"/>
    <w:rsid w:val="00BE2A9F"/>
    <w:rsid w:val="00BE2B9F"/>
    <w:rsid w:val="00BE3496"/>
    <w:rsid w:val="00BE3519"/>
    <w:rsid w:val="00BE38BE"/>
    <w:rsid w:val="00BE3EA4"/>
    <w:rsid w:val="00BE48A9"/>
    <w:rsid w:val="00BE4F4C"/>
    <w:rsid w:val="00BE569D"/>
    <w:rsid w:val="00BE5781"/>
    <w:rsid w:val="00BE5850"/>
    <w:rsid w:val="00BE5BC2"/>
    <w:rsid w:val="00BE5FB3"/>
    <w:rsid w:val="00BE6E16"/>
    <w:rsid w:val="00BE709B"/>
    <w:rsid w:val="00BE70E2"/>
    <w:rsid w:val="00BE76C0"/>
    <w:rsid w:val="00BE7993"/>
    <w:rsid w:val="00BE7CAC"/>
    <w:rsid w:val="00BF2282"/>
    <w:rsid w:val="00BF2671"/>
    <w:rsid w:val="00BF2874"/>
    <w:rsid w:val="00BF36A9"/>
    <w:rsid w:val="00BF401B"/>
    <w:rsid w:val="00BF4B30"/>
    <w:rsid w:val="00BF61AE"/>
    <w:rsid w:val="00BF78F5"/>
    <w:rsid w:val="00C00456"/>
    <w:rsid w:val="00C0161E"/>
    <w:rsid w:val="00C026F0"/>
    <w:rsid w:val="00C02826"/>
    <w:rsid w:val="00C02AA8"/>
    <w:rsid w:val="00C04019"/>
    <w:rsid w:val="00C04537"/>
    <w:rsid w:val="00C05C6D"/>
    <w:rsid w:val="00C062E8"/>
    <w:rsid w:val="00C0707F"/>
    <w:rsid w:val="00C07B7E"/>
    <w:rsid w:val="00C07D4E"/>
    <w:rsid w:val="00C07EF5"/>
    <w:rsid w:val="00C10A25"/>
    <w:rsid w:val="00C10A36"/>
    <w:rsid w:val="00C10AD7"/>
    <w:rsid w:val="00C10ADA"/>
    <w:rsid w:val="00C10C34"/>
    <w:rsid w:val="00C1156E"/>
    <w:rsid w:val="00C1166C"/>
    <w:rsid w:val="00C127FC"/>
    <w:rsid w:val="00C12A8B"/>
    <w:rsid w:val="00C12F99"/>
    <w:rsid w:val="00C13E06"/>
    <w:rsid w:val="00C155F8"/>
    <w:rsid w:val="00C15889"/>
    <w:rsid w:val="00C15AF5"/>
    <w:rsid w:val="00C16116"/>
    <w:rsid w:val="00C16418"/>
    <w:rsid w:val="00C16745"/>
    <w:rsid w:val="00C16889"/>
    <w:rsid w:val="00C16AF9"/>
    <w:rsid w:val="00C172D1"/>
    <w:rsid w:val="00C206CA"/>
    <w:rsid w:val="00C2083B"/>
    <w:rsid w:val="00C21723"/>
    <w:rsid w:val="00C22039"/>
    <w:rsid w:val="00C22539"/>
    <w:rsid w:val="00C24387"/>
    <w:rsid w:val="00C24961"/>
    <w:rsid w:val="00C24FFF"/>
    <w:rsid w:val="00C2577E"/>
    <w:rsid w:val="00C259C0"/>
    <w:rsid w:val="00C25AA6"/>
    <w:rsid w:val="00C25B91"/>
    <w:rsid w:val="00C267C3"/>
    <w:rsid w:val="00C270CB"/>
    <w:rsid w:val="00C273FC"/>
    <w:rsid w:val="00C2761C"/>
    <w:rsid w:val="00C30843"/>
    <w:rsid w:val="00C30906"/>
    <w:rsid w:val="00C30E55"/>
    <w:rsid w:val="00C311C0"/>
    <w:rsid w:val="00C320CE"/>
    <w:rsid w:val="00C33055"/>
    <w:rsid w:val="00C34BBA"/>
    <w:rsid w:val="00C35187"/>
    <w:rsid w:val="00C3552E"/>
    <w:rsid w:val="00C356C9"/>
    <w:rsid w:val="00C35866"/>
    <w:rsid w:val="00C35B1F"/>
    <w:rsid w:val="00C36113"/>
    <w:rsid w:val="00C36394"/>
    <w:rsid w:val="00C36E6B"/>
    <w:rsid w:val="00C4068E"/>
    <w:rsid w:val="00C4101E"/>
    <w:rsid w:val="00C415BC"/>
    <w:rsid w:val="00C41FF7"/>
    <w:rsid w:val="00C4245C"/>
    <w:rsid w:val="00C425EB"/>
    <w:rsid w:val="00C42C1C"/>
    <w:rsid w:val="00C433B0"/>
    <w:rsid w:val="00C44033"/>
    <w:rsid w:val="00C44344"/>
    <w:rsid w:val="00C44A01"/>
    <w:rsid w:val="00C4549C"/>
    <w:rsid w:val="00C45B22"/>
    <w:rsid w:val="00C45C76"/>
    <w:rsid w:val="00C45E2E"/>
    <w:rsid w:val="00C45E7F"/>
    <w:rsid w:val="00C460FA"/>
    <w:rsid w:val="00C46BE7"/>
    <w:rsid w:val="00C47847"/>
    <w:rsid w:val="00C47AC0"/>
    <w:rsid w:val="00C501FB"/>
    <w:rsid w:val="00C50854"/>
    <w:rsid w:val="00C51076"/>
    <w:rsid w:val="00C51654"/>
    <w:rsid w:val="00C51869"/>
    <w:rsid w:val="00C52F6B"/>
    <w:rsid w:val="00C536CB"/>
    <w:rsid w:val="00C53E14"/>
    <w:rsid w:val="00C54721"/>
    <w:rsid w:val="00C54820"/>
    <w:rsid w:val="00C568C1"/>
    <w:rsid w:val="00C56F1B"/>
    <w:rsid w:val="00C56F4F"/>
    <w:rsid w:val="00C57249"/>
    <w:rsid w:val="00C57408"/>
    <w:rsid w:val="00C5798B"/>
    <w:rsid w:val="00C579D1"/>
    <w:rsid w:val="00C57EAD"/>
    <w:rsid w:val="00C608A4"/>
    <w:rsid w:val="00C60FB7"/>
    <w:rsid w:val="00C61247"/>
    <w:rsid w:val="00C61814"/>
    <w:rsid w:val="00C61C75"/>
    <w:rsid w:val="00C61D54"/>
    <w:rsid w:val="00C620BC"/>
    <w:rsid w:val="00C625FB"/>
    <w:rsid w:val="00C6270E"/>
    <w:rsid w:val="00C627EC"/>
    <w:rsid w:val="00C62A72"/>
    <w:rsid w:val="00C62E34"/>
    <w:rsid w:val="00C62E48"/>
    <w:rsid w:val="00C62ECC"/>
    <w:rsid w:val="00C63140"/>
    <w:rsid w:val="00C6337A"/>
    <w:rsid w:val="00C635AF"/>
    <w:rsid w:val="00C63B46"/>
    <w:rsid w:val="00C63C61"/>
    <w:rsid w:val="00C65224"/>
    <w:rsid w:val="00C65917"/>
    <w:rsid w:val="00C6634E"/>
    <w:rsid w:val="00C67D96"/>
    <w:rsid w:val="00C7018E"/>
    <w:rsid w:val="00C7036A"/>
    <w:rsid w:val="00C70856"/>
    <w:rsid w:val="00C70CCD"/>
    <w:rsid w:val="00C71ABE"/>
    <w:rsid w:val="00C71B7A"/>
    <w:rsid w:val="00C71F38"/>
    <w:rsid w:val="00C721DB"/>
    <w:rsid w:val="00C727F1"/>
    <w:rsid w:val="00C73002"/>
    <w:rsid w:val="00C734B7"/>
    <w:rsid w:val="00C73C01"/>
    <w:rsid w:val="00C74270"/>
    <w:rsid w:val="00C75745"/>
    <w:rsid w:val="00C75B38"/>
    <w:rsid w:val="00C75FFE"/>
    <w:rsid w:val="00C773DB"/>
    <w:rsid w:val="00C80443"/>
    <w:rsid w:val="00C80DBF"/>
    <w:rsid w:val="00C80E49"/>
    <w:rsid w:val="00C81354"/>
    <w:rsid w:val="00C8218A"/>
    <w:rsid w:val="00C8272F"/>
    <w:rsid w:val="00C82BB9"/>
    <w:rsid w:val="00C83FA9"/>
    <w:rsid w:val="00C8401D"/>
    <w:rsid w:val="00C84904"/>
    <w:rsid w:val="00C84BAA"/>
    <w:rsid w:val="00C84F26"/>
    <w:rsid w:val="00C856F8"/>
    <w:rsid w:val="00C85764"/>
    <w:rsid w:val="00C85A08"/>
    <w:rsid w:val="00C85A68"/>
    <w:rsid w:val="00C85BA7"/>
    <w:rsid w:val="00C869DD"/>
    <w:rsid w:val="00C8722E"/>
    <w:rsid w:val="00C875B7"/>
    <w:rsid w:val="00C87B58"/>
    <w:rsid w:val="00C87B9C"/>
    <w:rsid w:val="00C90110"/>
    <w:rsid w:val="00C90C7E"/>
    <w:rsid w:val="00C9116F"/>
    <w:rsid w:val="00C917C7"/>
    <w:rsid w:val="00C926A7"/>
    <w:rsid w:val="00C93037"/>
    <w:rsid w:val="00C9460F"/>
    <w:rsid w:val="00C947DA"/>
    <w:rsid w:val="00C947F5"/>
    <w:rsid w:val="00C94B7B"/>
    <w:rsid w:val="00C95325"/>
    <w:rsid w:val="00C95481"/>
    <w:rsid w:val="00C95C28"/>
    <w:rsid w:val="00C970E3"/>
    <w:rsid w:val="00C973B2"/>
    <w:rsid w:val="00C9772C"/>
    <w:rsid w:val="00C97772"/>
    <w:rsid w:val="00C97FBF"/>
    <w:rsid w:val="00CA005A"/>
    <w:rsid w:val="00CA0C1A"/>
    <w:rsid w:val="00CA103B"/>
    <w:rsid w:val="00CA1146"/>
    <w:rsid w:val="00CA12F7"/>
    <w:rsid w:val="00CA1831"/>
    <w:rsid w:val="00CA1FCF"/>
    <w:rsid w:val="00CA2960"/>
    <w:rsid w:val="00CA2A19"/>
    <w:rsid w:val="00CA3455"/>
    <w:rsid w:val="00CA35FA"/>
    <w:rsid w:val="00CA4042"/>
    <w:rsid w:val="00CA44D8"/>
    <w:rsid w:val="00CA5028"/>
    <w:rsid w:val="00CA5060"/>
    <w:rsid w:val="00CA5503"/>
    <w:rsid w:val="00CA5789"/>
    <w:rsid w:val="00CA58A3"/>
    <w:rsid w:val="00CA5DFA"/>
    <w:rsid w:val="00CA671D"/>
    <w:rsid w:val="00CA76DD"/>
    <w:rsid w:val="00CA7BAC"/>
    <w:rsid w:val="00CB02DB"/>
    <w:rsid w:val="00CB10A4"/>
    <w:rsid w:val="00CB18CB"/>
    <w:rsid w:val="00CB1B2E"/>
    <w:rsid w:val="00CB1C7C"/>
    <w:rsid w:val="00CB2714"/>
    <w:rsid w:val="00CB2999"/>
    <w:rsid w:val="00CB2E7F"/>
    <w:rsid w:val="00CB392D"/>
    <w:rsid w:val="00CB52BC"/>
    <w:rsid w:val="00CB5367"/>
    <w:rsid w:val="00CB543E"/>
    <w:rsid w:val="00CB6048"/>
    <w:rsid w:val="00CB6210"/>
    <w:rsid w:val="00CB6465"/>
    <w:rsid w:val="00CB67E5"/>
    <w:rsid w:val="00CB6FED"/>
    <w:rsid w:val="00CB70E4"/>
    <w:rsid w:val="00CB713D"/>
    <w:rsid w:val="00CC0510"/>
    <w:rsid w:val="00CC05FF"/>
    <w:rsid w:val="00CC092E"/>
    <w:rsid w:val="00CC121A"/>
    <w:rsid w:val="00CC1C14"/>
    <w:rsid w:val="00CC1CB4"/>
    <w:rsid w:val="00CC1D51"/>
    <w:rsid w:val="00CC1F59"/>
    <w:rsid w:val="00CC1FB8"/>
    <w:rsid w:val="00CC2303"/>
    <w:rsid w:val="00CC2530"/>
    <w:rsid w:val="00CC27A8"/>
    <w:rsid w:val="00CC32C3"/>
    <w:rsid w:val="00CC3395"/>
    <w:rsid w:val="00CC34D6"/>
    <w:rsid w:val="00CC3CAD"/>
    <w:rsid w:val="00CC4250"/>
    <w:rsid w:val="00CC43A2"/>
    <w:rsid w:val="00CC4A97"/>
    <w:rsid w:val="00CC4C09"/>
    <w:rsid w:val="00CC55AF"/>
    <w:rsid w:val="00CC578C"/>
    <w:rsid w:val="00CC59E7"/>
    <w:rsid w:val="00CC63FE"/>
    <w:rsid w:val="00CC6E9A"/>
    <w:rsid w:val="00CC7584"/>
    <w:rsid w:val="00CC75EC"/>
    <w:rsid w:val="00CC7C8C"/>
    <w:rsid w:val="00CD0722"/>
    <w:rsid w:val="00CD0B1E"/>
    <w:rsid w:val="00CD10E5"/>
    <w:rsid w:val="00CD203D"/>
    <w:rsid w:val="00CD32C7"/>
    <w:rsid w:val="00CD35A7"/>
    <w:rsid w:val="00CD3F8E"/>
    <w:rsid w:val="00CD3FD7"/>
    <w:rsid w:val="00CD44E2"/>
    <w:rsid w:val="00CD47A4"/>
    <w:rsid w:val="00CD4D65"/>
    <w:rsid w:val="00CD5003"/>
    <w:rsid w:val="00CD5D3E"/>
    <w:rsid w:val="00CD75D8"/>
    <w:rsid w:val="00CD772B"/>
    <w:rsid w:val="00CE08A6"/>
    <w:rsid w:val="00CE0D1D"/>
    <w:rsid w:val="00CE1247"/>
    <w:rsid w:val="00CE1EE8"/>
    <w:rsid w:val="00CE1F99"/>
    <w:rsid w:val="00CE2925"/>
    <w:rsid w:val="00CE2A5A"/>
    <w:rsid w:val="00CE2FDD"/>
    <w:rsid w:val="00CE2FEF"/>
    <w:rsid w:val="00CE330A"/>
    <w:rsid w:val="00CE383B"/>
    <w:rsid w:val="00CE4ECB"/>
    <w:rsid w:val="00CE503A"/>
    <w:rsid w:val="00CE652C"/>
    <w:rsid w:val="00CE6D2D"/>
    <w:rsid w:val="00CE70EC"/>
    <w:rsid w:val="00CE72D3"/>
    <w:rsid w:val="00CF0326"/>
    <w:rsid w:val="00CF0719"/>
    <w:rsid w:val="00CF09AD"/>
    <w:rsid w:val="00CF190A"/>
    <w:rsid w:val="00CF1B14"/>
    <w:rsid w:val="00CF2256"/>
    <w:rsid w:val="00CF27C9"/>
    <w:rsid w:val="00CF2A13"/>
    <w:rsid w:val="00CF2BAE"/>
    <w:rsid w:val="00CF35B7"/>
    <w:rsid w:val="00CF380F"/>
    <w:rsid w:val="00CF397D"/>
    <w:rsid w:val="00CF3AEA"/>
    <w:rsid w:val="00CF4269"/>
    <w:rsid w:val="00CF4385"/>
    <w:rsid w:val="00CF5510"/>
    <w:rsid w:val="00CF6824"/>
    <w:rsid w:val="00CF7AB3"/>
    <w:rsid w:val="00CF7C76"/>
    <w:rsid w:val="00CF7DC9"/>
    <w:rsid w:val="00D006D0"/>
    <w:rsid w:val="00D007A9"/>
    <w:rsid w:val="00D00EF0"/>
    <w:rsid w:val="00D00FFE"/>
    <w:rsid w:val="00D01A1D"/>
    <w:rsid w:val="00D01EC9"/>
    <w:rsid w:val="00D024E0"/>
    <w:rsid w:val="00D0256A"/>
    <w:rsid w:val="00D027FF"/>
    <w:rsid w:val="00D02D48"/>
    <w:rsid w:val="00D02F4E"/>
    <w:rsid w:val="00D0308E"/>
    <w:rsid w:val="00D0356B"/>
    <w:rsid w:val="00D036E4"/>
    <w:rsid w:val="00D0382A"/>
    <w:rsid w:val="00D041A1"/>
    <w:rsid w:val="00D046EA"/>
    <w:rsid w:val="00D04C5B"/>
    <w:rsid w:val="00D0714B"/>
    <w:rsid w:val="00D07247"/>
    <w:rsid w:val="00D0751F"/>
    <w:rsid w:val="00D07A05"/>
    <w:rsid w:val="00D1007B"/>
    <w:rsid w:val="00D104AF"/>
    <w:rsid w:val="00D10AA6"/>
    <w:rsid w:val="00D10BC9"/>
    <w:rsid w:val="00D1105F"/>
    <w:rsid w:val="00D11AB8"/>
    <w:rsid w:val="00D11CDE"/>
    <w:rsid w:val="00D11F06"/>
    <w:rsid w:val="00D1265A"/>
    <w:rsid w:val="00D12E9D"/>
    <w:rsid w:val="00D15B2E"/>
    <w:rsid w:val="00D15CC6"/>
    <w:rsid w:val="00D15D31"/>
    <w:rsid w:val="00D16012"/>
    <w:rsid w:val="00D16DB5"/>
    <w:rsid w:val="00D1702A"/>
    <w:rsid w:val="00D175C2"/>
    <w:rsid w:val="00D17BD9"/>
    <w:rsid w:val="00D17D7F"/>
    <w:rsid w:val="00D17F5E"/>
    <w:rsid w:val="00D2028C"/>
    <w:rsid w:val="00D204D3"/>
    <w:rsid w:val="00D206C8"/>
    <w:rsid w:val="00D20ED1"/>
    <w:rsid w:val="00D20FF8"/>
    <w:rsid w:val="00D21194"/>
    <w:rsid w:val="00D21227"/>
    <w:rsid w:val="00D214B9"/>
    <w:rsid w:val="00D21A5A"/>
    <w:rsid w:val="00D21B64"/>
    <w:rsid w:val="00D22381"/>
    <w:rsid w:val="00D22567"/>
    <w:rsid w:val="00D22835"/>
    <w:rsid w:val="00D22A45"/>
    <w:rsid w:val="00D22F70"/>
    <w:rsid w:val="00D2328D"/>
    <w:rsid w:val="00D233D7"/>
    <w:rsid w:val="00D2356A"/>
    <w:rsid w:val="00D23838"/>
    <w:rsid w:val="00D23DCC"/>
    <w:rsid w:val="00D24178"/>
    <w:rsid w:val="00D24389"/>
    <w:rsid w:val="00D24B80"/>
    <w:rsid w:val="00D24C07"/>
    <w:rsid w:val="00D24D39"/>
    <w:rsid w:val="00D263DF"/>
    <w:rsid w:val="00D26485"/>
    <w:rsid w:val="00D26541"/>
    <w:rsid w:val="00D266CA"/>
    <w:rsid w:val="00D2753B"/>
    <w:rsid w:val="00D27827"/>
    <w:rsid w:val="00D2799C"/>
    <w:rsid w:val="00D279A6"/>
    <w:rsid w:val="00D30337"/>
    <w:rsid w:val="00D30CF0"/>
    <w:rsid w:val="00D310C9"/>
    <w:rsid w:val="00D310CB"/>
    <w:rsid w:val="00D312DC"/>
    <w:rsid w:val="00D3159D"/>
    <w:rsid w:val="00D315CD"/>
    <w:rsid w:val="00D31B2E"/>
    <w:rsid w:val="00D31C11"/>
    <w:rsid w:val="00D323AA"/>
    <w:rsid w:val="00D33B45"/>
    <w:rsid w:val="00D33C0B"/>
    <w:rsid w:val="00D33C96"/>
    <w:rsid w:val="00D34023"/>
    <w:rsid w:val="00D3425D"/>
    <w:rsid w:val="00D343F1"/>
    <w:rsid w:val="00D34AEC"/>
    <w:rsid w:val="00D34F11"/>
    <w:rsid w:val="00D352D0"/>
    <w:rsid w:val="00D356A5"/>
    <w:rsid w:val="00D358F1"/>
    <w:rsid w:val="00D3672C"/>
    <w:rsid w:val="00D36AEA"/>
    <w:rsid w:val="00D37186"/>
    <w:rsid w:val="00D401ED"/>
    <w:rsid w:val="00D4136E"/>
    <w:rsid w:val="00D413C3"/>
    <w:rsid w:val="00D417D5"/>
    <w:rsid w:val="00D41BB6"/>
    <w:rsid w:val="00D41C89"/>
    <w:rsid w:val="00D42075"/>
    <w:rsid w:val="00D421F6"/>
    <w:rsid w:val="00D42590"/>
    <w:rsid w:val="00D42D7F"/>
    <w:rsid w:val="00D4361E"/>
    <w:rsid w:val="00D4392C"/>
    <w:rsid w:val="00D43CBB"/>
    <w:rsid w:val="00D44AE0"/>
    <w:rsid w:val="00D44D3D"/>
    <w:rsid w:val="00D454F1"/>
    <w:rsid w:val="00D45E90"/>
    <w:rsid w:val="00D46023"/>
    <w:rsid w:val="00D46209"/>
    <w:rsid w:val="00D4627F"/>
    <w:rsid w:val="00D46DB1"/>
    <w:rsid w:val="00D46F33"/>
    <w:rsid w:val="00D471A5"/>
    <w:rsid w:val="00D4757C"/>
    <w:rsid w:val="00D479FE"/>
    <w:rsid w:val="00D50131"/>
    <w:rsid w:val="00D50466"/>
    <w:rsid w:val="00D50551"/>
    <w:rsid w:val="00D518BE"/>
    <w:rsid w:val="00D522EB"/>
    <w:rsid w:val="00D52EDC"/>
    <w:rsid w:val="00D53E4E"/>
    <w:rsid w:val="00D54E6F"/>
    <w:rsid w:val="00D54EE2"/>
    <w:rsid w:val="00D5502F"/>
    <w:rsid w:val="00D550BC"/>
    <w:rsid w:val="00D5624D"/>
    <w:rsid w:val="00D56E6F"/>
    <w:rsid w:val="00D573EA"/>
    <w:rsid w:val="00D574AD"/>
    <w:rsid w:val="00D609CF"/>
    <w:rsid w:val="00D60D7A"/>
    <w:rsid w:val="00D62B5F"/>
    <w:rsid w:val="00D63203"/>
    <w:rsid w:val="00D63478"/>
    <w:rsid w:val="00D63C3E"/>
    <w:rsid w:val="00D65AF1"/>
    <w:rsid w:val="00D65F80"/>
    <w:rsid w:val="00D66D75"/>
    <w:rsid w:val="00D671CE"/>
    <w:rsid w:val="00D6793A"/>
    <w:rsid w:val="00D67E10"/>
    <w:rsid w:val="00D70805"/>
    <w:rsid w:val="00D70DBA"/>
    <w:rsid w:val="00D710FB"/>
    <w:rsid w:val="00D71D9C"/>
    <w:rsid w:val="00D71F38"/>
    <w:rsid w:val="00D72667"/>
    <w:rsid w:val="00D7420D"/>
    <w:rsid w:val="00D744C3"/>
    <w:rsid w:val="00D749F5"/>
    <w:rsid w:val="00D74B26"/>
    <w:rsid w:val="00D74EB2"/>
    <w:rsid w:val="00D750FA"/>
    <w:rsid w:val="00D76382"/>
    <w:rsid w:val="00D76E4F"/>
    <w:rsid w:val="00D7712A"/>
    <w:rsid w:val="00D806B6"/>
    <w:rsid w:val="00D8086D"/>
    <w:rsid w:val="00D8092D"/>
    <w:rsid w:val="00D80A44"/>
    <w:rsid w:val="00D80ADF"/>
    <w:rsid w:val="00D80D3E"/>
    <w:rsid w:val="00D80DD3"/>
    <w:rsid w:val="00D8176B"/>
    <w:rsid w:val="00D81826"/>
    <w:rsid w:val="00D82259"/>
    <w:rsid w:val="00D829DE"/>
    <w:rsid w:val="00D82DD7"/>
    <w:rsid w:val="00D831B1"/>
    <w:rsid w:val="00D8389C"/>
    <w:rsid w:val="00D83EF9"/>
    <w:rsid w:val="00D842B2"/>
    <w:rsid w:val="00D8468A"/>
    <w:rsid w:val="00D84B8C"/>
    <w:rsid w:val="00D856D4"/>
    <w:rsid w:val="00D85DA7"/>
    <w:rsid w:val="00D85FD3"/>
    <w:rsid w:val="00D86960"/>
    <w:rsid w:val="00D86A1B"/>
    <w:rsid w:val="00D86AAE"/>
    <w:rsid w:val="00D87103"/>
    <w:rsid w:val="00D87D1C"/>
    <w:rsid w:val="00D9016B"/>
    <w:rsid w:val="00D90745"/>
    <w:rsid w:val="00D90CD9"/>
    <w:rsid w:val="00D910C3"/>
    <w:rsid w:val="00D912E4"/>
    <w:rsid w:val="00D926D0"/>
    <w:rsid w:val="00D93AAE"/>
    <w:rsid w:val="00D9441F"/>
    <w:rsid w:val="00D95226"/>
    <w:rsid w:val="00D95370"/>
    <w:rsid w:val="00D95E36"/>
    <w:rsid w:val="00D96128"/>
    <w:rsid w:val="00D9643A"/>
    <w:rsid w:val="00D96D43"/>
    <w:rsid w:val="00D97A89"/>
    <w:rsid w:val="00DA03C4"/>
    <w:rsid w:val="00DA049A"/>
    <w:rsid w:val="00DA1279"/>
    <w:rsid w:val="00DA1EC4"/>
    <w:rsid w:val="00DA1FDA"/>
    <w:rsid w:val="00DA26F9"/>
    <w:rsid w:val="00DA40CC"/>
    <w:rsid w:val="00DA4DE2"/>
    <w:rsid w:val="00DA5711"/>
    <w:rsid w:val="00DA6179"/>
    <w:rsid w:val="00DA62E0"/>
    <w:rsid w:val="00DA6E2B"/>
    <w:rsid w:val="00DA7347"/>
    <w:rsid w:val="00DA755F"/>
    <w:rsid w:val="00DA7A4E"/>
    <w:rsid w:val="00DB0218"/>
    <w:rsid w:val="00DB0B51"/>
    <w:rsid w:val="00DB0B75"/>
    <w:rsid w:val="00DB0DBA"/>
    <w:rsid w:val="00DB1DC3"/>
    <w:rsid w:val="00DB2ED2"/>
    <w:rsid w:val="00DB3485"/>
    <w:rsid w:val="00DB3A7E"/>
    <w:rsid w:val="00DB53F0"/>
    <w:rsid w:val="00DB551F"/>
    <w:rsid w:val="00DB57C4"/>
    <w:rsid w:val="00DB5EEA"/>
    <w:rsid w:val="00DB6556"/>
    <w:rsid w:val="00DB726E"/>
    <w:rsid w:val="00DB7DE5"/>
    <w:rsid w:val="00DC0622"/>
    <w:rsid w:val="00DC0B3F"/>
    <w:rsid w:val="00DC1941"/>
    <w:rsid w:val="00DC1FBA"/>
    <w:rsid w:val="00DC287F"/>
    <w:rsid w:val="00DC294B"/>
    <w:rsid w:val="00DC2D62"/>
    <w:rsid w:val="00DC34E7"/>
    <w:rsid w:val="00DC3A25"/>
    <w:rsid w:val="00DC53F7"/>
    <w:rsid w:val="00DC54CD"/>
    <w:rsid w:val="00DC55C5"/>
    <w:rsid w:val="00DC55E5"/>
    <w:rsid w:val="00DC5EA2"/>
    <w:rsid w:val="00DC6A63"/>
    <w:rsid w:val="00DC7B73"/>
    <w:rsid w:val="00DD06FE"/>
    <w:rsid w:val="00DD0717"/>
    <w:rsid w:val="00DD07C7"/>
    <w:rsid w:val="00DD1176"/>
    <w:rsid w:val="00DD169F"/>
    <w:rsid w:val="00DD1DDC"/>
    <w:rsid w:val="00DD2178"/>
    <w:rsid w:val="00DD29F2"/>
    <w:rsid w:val="00DD3117"/>
    <w:rsid w:val="00DD344F"/>
    <w:rsid w:val="00DD3ACD"/>
    <w:rsid w:val="00DD431E"/>
    <w:rsid w:val="00DD591D"/>
    <w:rsid w:val="00DD5A61"/>
    <w:rsid w:val="00DD68DF"/>
    <w:rsid w:val="00DD6F9B"/>
    <w:rsid w:val="00DD7EB0"/>
    <w:rsid w:val="00DE0BB2"/>
    <w:rsid w:val="00DE1339"/>
    <w:rsid w:val="00DE1B62"/>
    <w:rsid w:val="00DE2323"/>
    <w:rsid w:val="00DE23CB"/>
    <w:rsid w:val="00DE252B"/>
    <w:rsid w:val="00DE28D4"/>
    <w:rsid w:val="00DE2A1E"/>
    <w:rsid w:val="00DE2CFA"/>
    <w:rsid w:val="00DE2F9F"/>
    <w:rsid w:val="00DE37A6"/>
    <w:rsid w:val="00DE3B4D"/>
    <w:rsid w:val="00DE4A14"/>
    <w:rsid w:val="00DE4BB2"/>
    <w:rsid w:val="00DE4E5F"/>
    <w:rsid w:val="00DE5483"/>
    <w:rsid w:val="00DE5C19"/>
    <w:rsid w:val="00DE633F"/>
    <w:rsid w:val="00DE6C2E"/>
    <w:rsid w:val="00DE6C35"/>
    <w:rsid w:val="00DE7CA7"/>
    <w:rsid w:val="00DF13A7"/>
    <w:rsid w:val="00DF14A0"/>
    <w:rsid w:val="00DF1949"/>
    <w:rsid w:val="00DF1EB4"/>
    <w:rsid w:val="00DF219D"/>
    <w:rsid w:val="00DF26FD"/>
    <w:rsid w:val="00DF4392"/>
    <w:rsid w:val="00DF6812"/>
    <w:rsid w:val="00DF6C17"/>
    <w:rsid w:val="00DF6CEC"/>
    <w:rsid w:val="00DF6F98"/>
    <w:rsid w:val="00DF7D92"/>
    <w:rsid w:val="00E00186"/>
    <w:rsid w:val="00E00BCD"/>
    <w:rsid w:val="00E01BCF"/>
    <w:rsid w:val="00E0224F"/>
    <w:rsid w:val="00E02572"/>
    <w:rsid w:val="00E026AE"/>
    <w:rsid w:val="00E02C84"/>
    <w:rsid w:val="00E02CA6"/>
    <w:rsid w:val="00E0356D"/>
    <w:rsid w:val="00E0382C"/>
    <w:rsid w:val="00E05742"/>
    <w:rsid w:val="00E0624B"/>
    <w:rsid w:val="00E0634B"/>
    <w:rsid w:val="00E066DB"/>
    <w:rsid w:val="00E0678E"/>
    <w:rsid w:val="00E069F8"/>
    <w:rsid w:val="00E06B13"/>
    <w:rsid w:val="00E06D0B"/>
    <w:rsid w:val="00E07011"/>
    <w:rsid w:val="00E07A3D"/>
    <w:rsid w:val="00E112F1"/>
    <w:rsid w:val="00E11AB5"/>
    <w:rsid w:val="00E125EB"/>
    <w:rsid w:val="00E12AA7"/>
    <w:rsid w:val="00E12C4E"/>
    <w:rsid w:val="00E1338D"/>
    <w:rsid w:val="00E135C8"/>
    <w:rsid w:val="00E13BF1"/>
    <w:rsid w:val="00E14118"/>
    <w:rsid w:val="00E145D8"/>
    <w:rsid w:val="00E14CC7"/>
    <w:rsid w:val="00E15112"/>
    <w:rsid w:val="00E15DD8"/>
    <w:rsid w:val="00E15F4B"/>
    <w:rsid w:val="00E1621F"/>
    <w:rsid w:val="00E1625B"/>
    <w:rsid w:val="00E17209"/>
    <w:rsid w:val="00E17BDD"/>
    <w:rsid w:val="00E17FEC"/>
    <w:rsid w:val="00E20302"/>
    <w:rsid w:val="00E2045F"/>
    <w:rsid w:val="00E20599"/>
    <w:rsid w:val="00E20C0C"/>
    <w:rsid w:val="00E20F47"/>
    <w:rsid w:val="00E217B1"/>
    <w:rsid w:val="00E223FE"/>
    <w:rsid w:val="00E22828"/>
    <w:rsid w:val="00E235A3"/>
    <w:rsid w:val="00E23759"/>
    <w:rsid w:val="00E2545F"/>
    <w:rsid w:val="00E254BD"/>
    <w:rsid w:val="00E2552A"/>
    <w:rsid w:val="00E25B13"/>
    <w:rsid w:val="00E25B31"/>
    <w:rsid w:val="00E269BA"/>
    <w:rsid w:val="00E26BB0"/>
    <w:rsid w:val="00E26D3E"/>
    <w:rsid w:val="00E26D7B"/>
    <w:rsid w:val="00E312A7"/>
    <w:rsid w:val="00E316B9"/>
    <w:rsid w:val="00E31A24"/>
    <w:rsid w:val="00E31DB5"/>
    <w:rsid w:val="00E335B2"/>
    <w:rsid w:val="00E3370B"/>
    <w:rsid w:val="00E33ED2"/>
    <w:rsid w:val="00E34032"/>
    <w:rsid w:val="00E34DD7"/>
    <w:rsid w:val="00E34FE9"/>
    <w:rsid w:val="00E3520A"/>
    <w:rsid w:val="00E35821"/>
    <w:rsid w:val="00E35DB4"/>
    <w:rsid w:val="00E3608E"/>
    <w:rsid w:val="00E37203"/>
    <w:rsid w:val="00E37774"/>
    <w:rsid w:val="00E37A5C"/>
    <w:rsid w:val="00E37B63"/>
    <w:rsid w:val="00E40135"/>
    <w:rsid w:val="00E40A5E"/>
    <w:rsid w:val="00E4128C"/>
    <w:rsid w:val="00E42B93"/>
    <w:rsid w:val="00E42F9F"/>
    <w:rsid w:val="00E4319B"/>
    <w:rsid w:val="00E43955"/>
    <w:rsid w:val="00E43BC8"/>
    <w:rsid w:val="00E43EC3"/>
    <w:rsid w:val="00E440FA"/>
    <w:rsid w:val="00E44680"/>
    <w:rsid w:val="00E44AAA"/>
    <w:rsid w:val="00E4671B"/>
    <w:rsid w:val="00E46D79"/>
    <w:rsid w:val="00E47370"/>
    <w:rsid w:val="00E473D6"/>
    <w:rsid w:val="00E47473"/>
    <w:rsid w:val="00E5010E"/>
    <w:rsid w:val="00E50267"/>
    <w:rsid w:val="00E5214F"/>
    <w:rsid w:val="00E536EA"/>
    <w:rsid w:val="00E53A45"/>
    <w:rsid w:val="00E53E6D"/>
    <w:rsid w:val="00E547D2"/>
    <w:rsid w:val="00E5536A"/>
    <w:rsid w:val="00E555FF"/>
    <w:rsid w:val="00E55B07"/>
    <w:rsid w:val="00E56719"/>
    <w:rsid w:val="00E5694B"/>
    <w:rsid w:val="00E56A44"/>
    <w:rsid w:val="00E56E3C"/>
    <w:rsid w:val="00E57054"/>
    <w:rsid w:val="00E57ACC"/>
    <w:rsid w:val="00E57D52"/>
    <w:rsid w:val="00E57ED8"/>
    <w:rsid w:val="00E608FF"/>
    <w:rsid w:val="00E6167A"/>
    <w:rsid w:val="00E61A4E"/>
    <w:rsid w:val="00E61CAC"/>
    <w:rsid w:val="00E62DAD"/>
    <w:rsid w:val="00E637E1"/>
    <w:rsid w:val="00E63943"/>
    <w:rsid w:val="00E63C1A"/>
    <w:rsid w:val="00E64032"/>
    <w:rsid w:val="00E6467F"/>
    <w:rsid w:val="00E64DB0"/>
    <w:rsid w:val="00E66399"/>
    <w:rsid w:val="00E6663E"/>
    <w:rsid w:val="00E66901"/>
    <w:rsid w:val="00E66931"/>
    <w:rsid w:val="00E7036B"/>
    <w:rsid w:val="00E7056E"/>
    <w:rsid w:val="00E70E2D"/>
    <w:rsid w:val="00E711F4"/>
    <w:rsid w:val="00E719CD"/>
    <w:rsid w:val="00E71ACF"/>
    <w:rsid w:val="00E71EEB"/>
    <w:rsid w:val="00E73E77"/>
    <w:rsid w:val="00E74022"/>
    <w:rsid w:val="00E7420B"/>
    <w:rsid w:val="00E74D27"/>
    <w:rsid w:val="00E74E61"/>
    <w:rsid w:val="00E74EE5"/>
    <w:rsid w:val="00E754B5"/>
    <w:rsid w:val="00E75538"/>
    <w:rsid w:val="00E75610"/>
    <w:rsid w:val="00E75938"/>
    <w:rsid w:val="00E75B1E"/>
    <w:rsid w:val="00E75BB9"/>
    <w:rsid w:val="00E76C79"/>
    <w:rsid w:val="00E7766A"/>
    <w:rsid w:val="00E77EB1"/>
    <w:rsid w:val="00E811B4"/>
    <w:rsid w:val="00E811C2"/>
    <w:rsid w:val="00E8120E"/>
    <w:rsid w:val="00E81A67"/>
    <w:rsid w:val="00E81BEA"/>
    <w:rsid w:val="00E81E20"/>
    <w:rsid w:val="00E81F8D"/>
    <w:rsid w:val="00E825A1"/>
    <w:rsid w:val="00E832F6"/>
    <w:rsid w:val="00E84358"/>
    <w:rsid w:val="00E849C0"/>
    <w:rsid w:val="00E84A19"/>
    <w:rsid w:val="00E85726"/>
    <w:rsid w:val="00E858CF"/>
    <w:rsid w:val="00E863D6"/>
    <w:rsid w:val="00E86985"/>
    <w:rsid w:val="00E86B76"/>
    <w:rsid w:val="00E870ED"/>
    <w:rsid w:val="00E871C7"/>
    <w:rsid w:val="00E872E1"/>
    <w:rsid w:val="00E87A7A"/>
    <w:rsid w:val="00E901CB"/>
    <w:rsid w:val="00E904A0"/>
    <w:rsid w:val="00E9057E"/>
    <w:rsid w:val="00E90D39"/>
    <w:rsid w:val="00E90E92"/>
    <w:rsid w:val="00E90FCA"/>
    <w:rsid w:val="00E9110E"/>
    <w:rsid w:val="00E91FA6"/>
    <w:rsid w:val="00E929AB"/>
    <w:rsid w:val="00E92E4A"/>
    <w:rsid w:val="00E930FA"/>
    <w:rsid w:val="00E9356A"/>
    <w:rsid w:val="00E93D6C"/>
    <w:rsid w:val="00E93F27"/>
    <w:rsid w:val="00E93F9D"/>
    <w:rsid w:val="00E94580"/>
    <w:rsid w:val="00E94FF9"/>
    <w:rsid w:val="00E9545E"/>
    <w:rsid w:val="00E96536"/>
    <w:rsid w:val="00E96A7C"/>
    <w:rsid w:val="00E96E38"/>
    <w:rsid w:val="00E97E23"/>
    <w:rsid w:val="00E97EAD"/>
    <w:rsid w:val="00EA11F6"/>
    <w:rsid w:val="00EA140F"/>
    <w:rsid w:val="00EA1786"/>
    <w:rsid w:val="00EA1A30"/>
    <w:rsid w:val="00EA205A"/>
    <w:rsid w:val="00EA2159"/>
    <w:rsid w:val="00EA2824"/>
    <w:rsid w:val="00EA3179"/>
    <w:rsid w:val="00EA40EB"/>
    <w:rsid w:val="00EA4192"/>
    <w:rsid w:val="00EA4202"/>
    <w:rsid w:val="00EA42F3"/>
    <w:rsid w:val="00EA5F27"/>
    <w:rsid w:val="00EA6C65"/>
    <w:rsid w:val="00EA700C"/>
    <w:rsid w:val="00EA748C"/>
    <w:rsid w:val="00EA7B2D"/>
    <w:rsid w:val="00EB068B"/>
    <w:rsid w:val="00EB09D3"/>
    <w:rsid w:val="00EB2614"/>
    <w:rsid w:val="00EB2B12"/>
    <w:rsid w:val="00EB2D3A"/>
    <w:rsid w:val="00EB2D96"/>
    <w:rsid w:val="00EB3899"/>
    <w:rsid w:val="00EB3FCB"/>
    <w:rsid w:val="00EB49A9"/>
    <w:rsid w:val="00EB4FCB"/>
    <w:rsid w:val="00EB506F"/>
    <w:rsid w:val="00EB5A38"/>
    <w:rsid w:val="00EB5FE2"/>
    <w:rsid w:val="00EB62D0"/>
    <w:rsid w:val="00EB63F6"/>
    <w:rsid w:val="00EB68C0"/>
    <w:rsid w:val="00EB690B"/>
    <w:rsid w:val="00EB704E"/>
    <w:rsid w:val="00EB70DB"/>
    <w:rsid w:val="00EB7162"/>
    <w:rsid w:val="00EC0301"/>
    <w:rsid w:val="00EC0AE6"/>
    <w:rsid w:val="00EC0ED6"/>
    <w:rsid w:val="00EC0F7C"/>
    <w:rsid w:val="00EC114F"/>
    <w:rsid w:val="00EC137E"/>
    <w:rsid w:val="00EC17AE"/>
    <w:rsid w:val="00EC181A"/>
    <w:rsid w:val="00EC1DCC"/>
    <w:rsid w:val="00EC218C"/>
    <w:rsid w:val="00EC2830"/>
    <w:rsid w:val="00EC46C4"/>
    <w:rsid w:val="00EC5511"/>
    <w:rsid w:val="00EC5550"/>
    <w:rsid w:val="00EC5EA6"/>
    <w:rsid w:val="00EC6C34"/>
    <w:rsid w:val="00EC78FB"/>
    <w:rsid w:val="00EC7E43"/>
    <w:rsid w:val="00ED00BD"/>
    <w:rsid w:val="00ED060E"/>
    <w:rsid w:val="00ED06FF"/>
    <w:rsid w:val="00ED088C"/>
    <w:rsid w:val="00ED1532"/>
    <w:rsid w:val="00ED16F3"/>
    <w:rsid w:val="00ED1DCA"/>
    <w:rsid w:val="00ED1EB6"/>
    <w:rsid w:val="00ED1FD7"/>
    <w:rsid w:val="00ED2F10"/>
    <w:rsid w:val="00ED33F0"/>
    <w:rsid w:val="00ED3566"/>
    <w:rsid w:val="00ED3FC0"/>
    <w:rsid w:val="00ED457A"/>
    <w:rsid w:val="00ED4C77"/>
    <w:rsid w:val="00ED52E6"/>
    <w:rsid w:val="00ED577E"/>
    <w:rsid w:val="00ED594A"/>
    <w:rsid w:val="00ED6735"/>
    <w:rsid w:val="00ED6D67"/>
    <w:rsid w:val="00ED70D1"/>
    <w:rsid w:val="00ED77D2"/>
    <w:rsid w:val="00EE088C"/>
    <w:rsid w:val="00EE17F2"/>
    <w:rsid w:val="00EE1C47"/>
    <w:rsid w:val="00EE244B"/>
    <w:rsid w:val="00EE2645"/>
    <w:rsid w:val="00EE326A"/>
    <w:rsid w:val="00EE328E"/>
    <w:rsid w:val="00EE345D"/>
    <w:rsid w:val="00EE386A"/>
    <w:rsid w:val="00EE38EB"/>
    <w:rsid w:val="00EE43D9"/>
    <w:rsid w:val="00EE45AE"/>
    <w:rsid w:val="00EE4CA8"/>
    <w:rsid w:val="00EE4DE9"/>
    <w:rsid w:val="00EE5116"/>
    <w:rsid w:val="00EE5456"/>
    <w:rsid w:val="00EE5543"/>
    <w:rsid w:val="00EE5763"/>
    <w:rsid w:val="00EE5D81"/>
    <w:rsid w:val="00EE6039"/>
    <w:rsid w:val="00EE7222"/>
    <w:rsid w:val="00EE764E"/>
    <w:rsid w:val="00EE7662"/>
    <w:rsid w:val="00EE7A84"/>
    <w:rsid w:val="00EE7AFF"/>
    <w:rsid w:val="00EF1D24"/>
    <w:rsid w:val="00EF1EDB"/>
    <w:rsid w:val="00EF21FF"/>
    <w:rsid w:val="00EF2A04"/>
    <w:rsid w:val="00EF2FE6"/>
    <w:rsid w:val="00EF311C"/>
    <w:rsid w:val="00EF3804"/>
    <w:rsid w:val="00EF3F5C"/>
    <w:rsid w:val="00EF454A"/>
    <w:rsid w:val="00EF4878"/>
    <w:rsid w:val="00EF5166"/>
    <w:rsid w:val="00EF5618"/>
    <w:rsid w:val="00EF5B19"/>
    <w:rsid w:val="00EF6371"/>
    <w:rsid w:val="00EF75A0"/>
    <w:rsid w:val="00F0017A"/>
    <w:rsid w:val="00F00717"/>
    <w:rsid w:val="00F00D3E"/>
    <w:rsid w:val="00F00EC5"/>
    <w:rsid w:val="00F010D5"/>
    <w:rsid w:val="00F01C41"/>
    <w:rsid w:val="00F022B0"/>
    <w:rsid w:val="00F02F92"/>
    <w:rsid w:val="00F02FAB"/>
    <w:rsid w:val="00F03B0C"/>
    <w:rsid w:val="00F04005"/>
    <w:rsid w:val="00F041F7"/>
    <w:rsid w:val="00F04E76"/>
    <w:rsid w:val="00F04F00"/>
    <w:rsid w:val="00F04F93"/>
    <w:rsid w:val="00F062CD"/>
    <w:rsid w:val="00F06B0B"/>
    <w:rsid w:val="00F0797B"/>
    <w:rsid w:val="00F07F1A"/>
    <w:rsid w:val="00F111B2"/>
    <w:rsid w:val="00F1142D"/>
    <w:rsid w:val="00F11509"/>
    <w:rsid w:val="00F1232B"/>
    <w:rsid w:val="00F12AD3"/>
    <w:rsid w:val="00F13510"/>
    <w:rsid w:val="00F137CE"/>
    <w:rsid w:val="00F13A54"/>
    <w:rsid w:val="00F13C10"/>
    <w:rsid w:val="00F14194"/>
    <w:rsid w:val="00F16610"/>
    <w:rsid w:val="00F16632"/>
    <w:rsid w:val="00F169E3"/>
    <w:rsid w:val="00F17B02"/>
    <w:rsid w:val="00F2074F"/>
    <w:rsid w:val="00F207EC"/>
    <w:rsid w:val="00F2145E"/>
    <w:rsid w:val="00F222D7"/>
    <w:rsid w:val="00F22A6D"/>
    <w:rsid w:val="00F23398"/>
    <w:rsid w:val="00F238D8"/>
    <w:rsid w:val="00F23FB8"/>
    <w:rsid w:val="00F24299"/>
    <w:rsid w:val="00F246E2"/>
    <w:rsid w:val="00F24BB2"/>
    <w:rsid w:val="00F24F37"/>
    <w:rsid w:val="00F24F9E"/>
    <w:rsid w:val="00F25483"/>
    <w:rsid w:val="00F2697F"/>
    <w:rsid w:val="00F26E9F"/>
    <w:rsid w:val="00F26FBE"/>
    <w:rsid w:val="00F27961"/>
    <w:rsid w:val="00F27ACA"/>
    <w:rsid w:val="00F30760"/>
    <w:rsid w:val="00F30761"/>
    <w:rsid w:val="00F30798"/>
    <w:rsid w:val="00F30AB8"/>
    <w:rsid w:val="00F312A7"/>
    <w:rsid w:val="00F317A5"/>
    <w:rsid w:val="00F317B7"/>
    <w:rsid w:val="00F338E2"/>
    <w:rsid w:val="00F33FC3"/>
    <w:rsid w:val="00F341A1"/>
    <w:rsid w:val="00F3463E"/>
    <w:rsid w:val="00F3538E"/>
    <w:rsid w:val="00F357A4"/>
    <w:rsid w:val="00F35944"/>
    <w:rsid w:val="00F35A10"/>
    <w:rsid w:val="00F36FE1"/>
    <w:rsid w:val="00F3719E"/>
    <w:rsid w:val="00F371BC"/>
    <w:rsid w:val="00F375B5"/>
    <w:rsid w:val="00F41118"/>
    <w:rsid w:val="00F413E5"/>
    <w:rsid w:val="00F41D7B"/>
    <w:rsid w:val="00F41DD8"/>
    <w:rsid w:val="00F42674"/>
    <w:rsid w:val="00F42F33"/>
    <w:rsid w:val="00F4364D"/>
    <w:rsid w:val="00F44BC0"/>
    <w:rsid w:val="00F450D7"/>
    <w:rsid w:val="00F45762"/>
    <w:rsid w:val="00F45BB7"/>
    <w:rsid w:val="00F45E5A"/>
    <w:rsid w:val="00F46616"/>
    <w:rsid w:val="00F46EA3"/>
    <w:rsid w:val="00F471B8"/>
    <w:rsid w:val="00F47626"/>
    <w:rsid w:val="00F5018F"/>
    <w:rsid w:val="00F503EC"/>
    <w:rsid w:val="00F50500"/>
    <w:rsid w:val="00F50559"/>
    <w:rsid w:val="00F50D71"/>
    <w:rsid w:val="00F50DEA"/>
    <w:rsid w:val="00F51181"/>
    <w:rsid w:val="00F512D0"/>
    <w:rsid w:val="00F52451"/>
    <w:rsid w:val="00F53229"/>
    <w:rsid w:val="00F5396A"/>
    <w:rsid w:val="00F53B19"/>
    <w:rsid w:val="00F53ED4"/>
    <w:rsid w:val="00F5431A"/>
    <w:rsid w:val="00F54EDD"/>
    <w:rsid w:val="00F55018"/>
    <w:rsid w:val="00F559F3"/>
    <w:rsid w:val="00F560FE"/>
    <w:rsid w:val="00F57059"/>
    <w:rsid w:val="00F57600"/>
    <w:rsid w:val="00F609F0"/>
    <w:rsid w:val="00F613DE"/>
    <w:rsid w:val="00F61E49"/>
    <w:rsid w:val="00F62342"/>
    <w:rsid w:val="00F6273B"/>
    <w:rsid w:val="00F627DA"/>
    <w:rsid w:val="00F62A61"/>
    <w:rsid w:val="00F63212"/>
    <w:rsid w:val="00F63437"/>
    <w:rsid w:val="00F637F2"/>
    <w:rsid w:val="00F63AB9"/>
    <w:rsid w:val="00F63EDC"/>
    <w:rsid w:val="00F64594"/>
    <w:rsid w:val="00F648AF"/>
    <w:rsid w:val="00F6536D"/>
    <w:rsid w:val="00F65664"/>
    <w:rsid w:val="00F65AD9"/>
    <w:rsid w:val="00F67A3D"/>
    <w:rsid w:val="00F67B99"/>
    <w:rsid w:val="00F67E06"/>
    <w:rsid w:val="00F67F30"/>
    <w:rsid w:val="00F702CE"/>
    <w:rsid w:val="00F70E1C"/>
    <w:rsid w:val="00F715B7"/>
    <w:rsid w:val="00F715BA"/>
    <w:rsid w:val="00F718C0"/>
    <w:rsid w:val="00F72295"/>
    <w:rsid w:val="00F72A92"/>
    <w:rsid w:val="00F72B88"/>
    <w:rsid w:val="00F72CF4"/>
    <w:rsid w:val="00F73274"/>
    <w:rsid w:val="00F738FC"/>
    <w:rsid w:val="00F73DEF"/>
    <w:rsid w:val="00F73FD8"/>
    <w:rsid w:val="00F742DD"/>
    <w:rsid w:val="00F74D4A"/>
    <w:rsid w:val="00F74D85"/>
    <w:rsid w:val="00F74E0A"/>
    <w:rsid w:val="00F75C35"/>
    <w:rsid w:val="00F75CD1"/>
    <w:rsid w:val="00F76D70"/>
    <w:rsid w:val="00F76F0A"/>
    <w:rsid w:val="00F77217"/>
    <w:rsid w:val="00F77667"/>
    <w:rsid w:val="00F80AB2"/>
    <w:rsid w:val="00F81347"/>
    <w:rsid w:val="00F82161"/>
    <w:rsid w:val="00F82FD1"/>
    <w:rsid w:val="00F831E5"/>
    <w:rsid w:val="00F83201"/>
    <w:rsid w:val="00F834C6"/>
    <w:rsid w:val="00F84404"/>
    <w:rsid w:val="00F84BDB"/>
    <w:rsid w:val="00F85202"/>
    <w:rsid w:val="00F85D6B"/>
    <w:rsid w:val="00F879F0"/>
    <w:rsid w:val="00F87CBA"/>
    <w:rsid w:val="00F90008"/>
    <w:rsid w:val="00F90072"/>
    <w:rsid w:val="00F90445"/>
    <w:rsid w:val="00F90B99"/>
    <w:rsid w:val="00F9229D"/>
    <w:rsid w:val="00F92DD6"/>
    <w:rsid w:val="00F93102"/>
    <w:rsid w:val="00F95D39"/>
    <w:rsid w:val="00F95D90"/>
    <w:rsid w:val="00F95DB6"/>
    <w:rsid w:val="00F95F41"/>
    <w:rsid w:val="00F962C6"/>
    <w:rsid w:val="00F96A88"/>
    <w:rsid w:val="00F96F8C"/>
    <w:rsid w:val="00F970C9"/>
    <w:rsid w:val="00F97131"/>
    <w:rsid w:val="00F9785D"/>
    <w:rsid w:val="00F978BA"/>
    <w:rsid w:val="00F97BDD"/>
    <w:rsid w:val="00FA0954"/>
    <w:rsid w:val="00FA0CFA"/>
    <w:rsid w:val="00FA0DAD"/>
    <w:rsid w:val="00FA15E6"/>
    <w:rsid w:val="00FA2B7B"/>
    <w:rsid w:val="00FA2FE7"/>
    <w:rsid w:val="00FA36E0"/>
    <w:rsid w:val="00FA3AAE"/>
    <w:rsid w:val="00FA3DA7"/>
    <w:rsid w:val="00FA48A4"/>
    <w:rsid w:val="00FA4CB5"/>
    <w:rsid w:val="00FA5B37"/>
    <w:rsid w:val="00FA5BCE"/>
    <w:rsid w:val="00FA69B3"/>
    <w:rsid w:val="00FA7021"/>
    <w:rsid w:val="00FA70E4"/>
    <w:rsid w:val="00FB001A"/>
    <w:rsid w:val="00FB085F"/>
    <w:rsid w:val="00FB08CD"/>
    <w:rsid w:val="00FB0B26"/>
    <w:rsid w:val="00FB1018"/>
    <w:rsid w:val="00FB10D9"/>
    <w:rsid w:val="00FB12D4"/>
    <w:rsid w:val="00FB1835"/>
    <w:rsid w:val="00FB185A"/>
    <w:rsid w:val="00FB1A06"/>
    <w:rsid w:val="00FB2698"/>
    <w:rsid w:val="00FB2A36"/>
    <w:rsid w:val="00FB3581"/>
    <w:rsid w:val="00FB3AD4"/>
    <w:rsid w:val="00FB4177"/>
    <w:rsid w:val="00FB48BF"/>
    <w:rsid w:val="00FB4C43"/>
    <w:rsid w:val="00FB4E85"/>
    <w:rsid w:val="00FB511B"/>
    <w:rsid w:val="00FB63D8"/>
    <w:rsid w:val="00FB655A"/>
    <w:rsid w:val="00FB6704"/>
    <w:rsid w:val="00FB6A3C"/>
    <w:rsid w:val="00FB6C65"/>
    <w:rsid w:val="00FB72FF"/>
    <w:rsid w:val="00FB735B"/>
    <w:rsid w:val="00FB7A0E"/>
    <w:rsid w:val="00FB7BBC"/>
    <w:rsid w:val="00FB7FAE"/>
    <w:rsid w:val="00FC05F2"/>
    <w:rsid w:val="00FC0C7B"/>
    <w:rsid w:val="00FC26DA"/>
    <w:rsid w:val="00FC3169"/>
    <w:rsid w:val="00FC3309"/>
    <w:rsid w:val="00FC3574"/>
    <w:rsid w:val="00FC43C8"/>
    <w:rsid w:val="00FC446C"/>
    <w:rsid w:val="00FC49A5"/>
    <w:rsid w:val="00FC4B85"/>
    <w:rsid w:val="00FC4F90"/>
    <w:rsid w:val="00FC5BC2"/>
    <w:rsid w:val="00FC5DBB"/>
    <w:rsid w:val="00FC6534"/>
    <w:rsid w:val="00FC6A0E"/>
    <w:rsid w:val="00FC7015"/>
    <w:rsid w:val="00FC7233"/>
    <w:rsid w:val="00FD0526"/>
    <w:rsid w:val="00FD0598"/>
    <w:rsid w:val="00FD0B54"/>
    <w:rsid w:val="00FD215A"/>
    <w:rsid w:val="00FD2701"/>
    <w:rsid w:val="00FD2B13"/>
    <w:rsid w:val="00FD2BDA"/>
    <w:rsid w:val="00FD308B"/>
    <w:rsid w:val="00FD32C6"/>
    <w:rsid w:val="00FD568F"/>
    <w:rsid w:val="00FD5C00"/>
    <w:rsid w:val="00FD5FCB"/>
    <w:rsid w:val="00FD648A"/>
    <w:rsid w:val="00FD6E29"/>
    <w:rsid w:val="00FD75D1"/>
    <w:rsid w:val="00FE051A"/>
    <w:rsid w:val="00FE08B8"/>
    <w:rsid w:val="00FE0CEF"/>
    <w:rsid w:val="00FE18A0"/>
    <w:rsid w:val="00FE1EEA"/>
    <w:rsid w:val="00FE2149"/>
    <w:rsid w:val="00FE2F7F"/>
    <w:rsid w:val="00FE33A5"/>
    <w:rsid w:val="00FE33D7"/>
    <w:rsid w:val="00FE3D73"/>
    <w:rsid w:val="00FE45CE"/>
    <w:rsid w:val="00FE495A"/>
    <w:rsid w:val="00FE4BB3"/>
    <w:rsid w:val="00FE59BC"/>
    <w:rsid w:val="00FE5CDC"/>
    <w:rsid w:val="00FE62A6"/>
    <w:rsid w:val="00FE62E3"/>
    <w:rsid w:val="00FE6404"/>
    <w:rsid w:val="00FE7699"/>
    <w:rsid w:val="00FE7C68"/>
    <w:rsid w:val="00FF0371"/>
    <w:rsid w:val="00FF03DA"/>
    <w:rsid w:val="00FF0A5D"/>
    <w:rsid w:val="00FF0E07"/>
    <w:rsid w:val="00FF1288"/>
    <w:rsid w:val="00FF14BB"/>
    <w:rsid w:val="00FF1736"/>
    <w:rsid w:val="00FF2391"/>
    <w:rsid w:val="00FF2736"/>
    <w:rsid w:val="00FF34DC"/>
    <w:rsid w:val="00FF445B"/>
    <w:rsid w:val="00FF45E4"/>
    <w:rsid w:val="00FF4F05"/>
    <w:rsid w:val="00FF4F3A"/>
    <w:rsid w:val="00FF5296"/>
    <w:rsid w:val="00FF57C0"/>
    <w:rsid w:val="00FF57D4"/>
    <w:rsid w:val="00FF60D9"/>
    <w:rsid w:val="00FF762D"/>
    <w:rsid w:val="00FF7853"/>
    <w:rsid w:val="00FF7A88"/>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EDB233"/>
  <w15:chartTrackingRefBased/>
  <w15:docId w15:val="{EB02D27C-A4B2-4607-AC37-727B3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laad">
    <w:name w:val="Normal"/>
    <w:qFormat/>
    <w:rsid w:val="00A32D26"/>
    <w:pPr>
      <w:suppressAutoHyphens/>
    </w:pPr>
    <w:rPr>
      <w:sz w:val="24"/>
      <w:szCs w:val="24"/>
      <w:lang w:eastAsia="ar-SA"/>
    </w:rPr>
  </w:style>
  <w:style w:type="paragraph" w:styleId="Pealkiri1">
    <w:name w:val="heading 1"/>
    <w:aliases w:val="Pealkiri 1 Märk"/>
    <w:basedOn w:val="Normaallaad"/>
    <w:next w:val="Normaallaad"/>
    <w:link w:val="Pealkiri1Mrk1"/>
    <w:qFormat/>
    <w:rsid w:val="00FB63D8"/>
    <w:pPr>
      <w:keepNext/>
      <w:spacing w:before="240" w:after="60"/>
      <w:outlineLvl w:val="0"/>
    </w:pPr>
    <w:rPr>
      <w:rFonts w:cs="Arial"/>
      <w:b/>
      <w:bCs/>
      <w:kern w:val="1"/>
      <w:szCs w:val="32"/>
    </w:rPr>
  </w:style>
  <w:style w:type="paragraph" w:styleId="Pealkiri2">
    <w:name w:val="heading 2"/>
    <w:aliases w:val="Pealkiri 2 Märk1,Pealkiri 2 Märk Märk,Pealkiri 2 Märk2,Pealkiri 2 Märk Märk1"/>
    <w:basedOn w:val="Normaallaad"/>
    <w:next w:val="Normaallaad"/>
    <w:link w:val="Pealkiri2Mrk"/>
    <w:qFormat/>
    <w:rsid w:val="00A32D26"/>
    <w:pPr>
      <w:keepNext/>
      <w:spacing w:before="240" w:after="60"/>
      <w:outlineLvl w:val="1"/>
    </w:pPr>
    <w:rPr>
      <w:rFonts w:cs="Arial"/>
      <w:b/>
      <w:bCs/>
    </w:rPr>
  </w:style>
  <w:style w:type="paragraph" w:styleId="Pealkiri3">
    <w:name w:val="heading 3"/>
    <w:basedOn w:val="Normaallaad"/>
    <w:next w:val="Normaallaad"/>
    <w:link w:val="Pealkiri3Mrk"/>
    <w:qFormat/>
    <w:rsid w:val="00E42F9F"/>
    <w:pPr>
      <w:keepNext/>
      <w:spacing w:before="360" w:after="180"/>
      <w:outlineLvl w:val="2"/>
    </w:pPr>
    <w:rPr>
      <w:rFonts w:cs="Arial"/>
      <w:b/>
      <w:bCs/>
      <w:szCs w:val="26"/>
    </w:rPr>
  </w:style>
  <w:style w:type="paragraph" w:styleId="Pealkiri4">
    <w:name w:val="heading 4"/>
    <w:aliases w:val="Pealkiri 4 Märk,Pea 2 Märk,Pealkiri 4 Märk Märk,Pea 2 Märk Märk,Pea 2"/>
    <w:basedOn w:val="Normaallaad"/>
    <w:next w:val="Normaallaad"/>
    <w:link w:val="Pealkiri4Mrk1"/>
    <w:autoRedefine/>
    <w:qFormat/>
    <w:rsid w:val="004D4AF8"/>
    <w:pPr>
      <w:keepNext/>
      <w:spacing w:before="240" w:after="60"/>
      <w:outlineLvl w:val="3"/>
    </w:pPr>
    <w:rPr>
      <w:bCs/>
      <w:i/>
      <w:lang w:eastAsia="et-EE"/>
    </w:rPr>
  </w:style>
  <w:style w:type="paragraph" w:styleId="Pealkiri5">
    <w:name w:val="heading 5"/>
    <w:basedOn w:val="Normaallaad"/>
    <w:next w:val="Normaallaad"/>
    <w:qFormat/>
    <w:rsid w:val="00E42F9F"/>
    <w:pPr>
      <w:spacing w:before="240" w:after="60"/>
      <w:outlineLvl w:val="4"/>
    </w:pPr>
    <w:rPr>
      <w:b/>
      <w:bCs/>
      <w:i/>
      <w:iCs/>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Allmrkusmrgid">
    <w:name w:val="Allmärkusmärgid"/>
    <w:rsid w:val="00E42F9F"/>
    <w:rPr>
      <w:vertAlign w:val="superscript"/>
    </w:rPr>
  </w:style>
  <w:style w:type="paragraph" w:styleId="Allmrkusetekst">
    <w:name w:val="footnote text"/>
    <w:aliases w:val="Footnote Text Char,Footnote Text Char Char Char12 Char,Footnote Text Char1 Char Char Char Char12 Char,Footnote Text Char1 Char Char Char12 Char,ALTS FOOTNOTE3 Char,Footnote Text Char13 Char Char2,Footnote Text Char13 Char Char Char"/>
    <w:basedOn w:val="Normaallaad"/>
    <w:link w:val="AllmrkusetekstMrk"/>
    <w:rsid w:val="00E42F9F"/>
  </w:style>
  <w:style w:type="character" w:styleId="Allmrkuseviide">
    <w:name w:val="footnote reference"/>
    <w:aliases w:val="Footnote,Appel note de bas de p,SUPERS,Nota,Footnote symbol"/>
    <w:uiPriority w:val="99"/>
    <w:rsid w:val="00E42F9F"/>
    <w:rPr>
      <w:vertAlign w:val="superscript"/>
    </w:rPr>
  </w:style>
  <w:style w:type="character" w:styleId="Rhutus">
    <w:name w:val="Emphasis"/>
    <w:qFormat/>
    <w:rsid w:val="00E42F9F"/>
    <w:rPr>
      <w:i/>
      <w:iCs/>
    </w:rPr>
  </w:style>
  <w:style w:type="paragraph" w:customStyle="1" w:styleId="Punkt">
    <w:name w:val="Punkt"/>
    <w:basedOn w:val="Normaallaad"/>
    <w:rsid w:val="00E42F9F"/>
    <w:pPr>
      <w:widowControl w:val="0"/>
      <w:numPr>
        <w:numId w:val="3"/>
      </w:numPr>
      <w:autoSpaceDE w:val="0"/>
      <w:ind w:left="0" w:firstLine="0"/>
      <w:jc w:val="both"/>
    </w:pPr>
    <w:rPr>
      <w:sz w:val="28"/>
      <w:szCs w:val="28"/>
    </w:rPr>
  </w:style>
  <w:style w:type="paragraph" w:styleId="Jalus">
    <w:name w:val="footer"/>
    <w:basedOn w:val="Normaallaad"/>
    <w:rsid w:val="00E42F9F"/>
    <w:pPr>
      <w:tabs>
        <w:tab w:val="center" w:pos="4536"/>
        <w:tab w:val="right" w:pos="9072"/>
      </w:tabs>
    </w:pPr>
  </w:style>
  <w:style w:type="character" w:styleId="Kommentaariviide">
    <w:name w:val="annotation reference"/>
    <w:semiHidden/>
    <w:rsid w:val="00E42F9F"/>
    <w:rPr>
      <w:sz w:val="16"/>
      <w:szCs w:val="16"/>
    </w:rPr>
  </w:style>
  <w:style w:type="paragraph" w:styleId="Kommentaaritekst">
    <w:name w:val="annotation text"/>
    <w:basedOn w:val="Normaallaad"/>
    <w:link w:val="KommentaaritekstMrk"/>
    <w:uiPriority w:val="99"/>
    <w:rsid w:val="00E42F9F"/>
    <w:rPr>
      <w:sz w:val="20"/>
      <w:szCs w:val="20"/>
      <w:lang w:val="x-none"/>
    </w:rPr>
  </w:style>
  <w:style w:type="character" w:customStyle="1" w:styleId="AllmrkusetekstMrk">
    <w:name w:val="Allmärkuse tekst Märk"/>
    <w:aliases w:val="Footnote Text Char Märk,Footnote Text Char Char Char12 Char Märk,Footnote Text Char1 Char Char Char Char12 Char Märk,Footnote Text Char1 Char Char Char12 Char Märk,ALTS FOOTNOTE3 Char Märk,Footnote Text Char13 Char Char2 Märk"/>
    <w:link w:val="Allmrkusetekst"/>
    <w:rsid w:val="00E42F9F"/>
    <w:rPr>
      <w:sz w:val="24"/>
      <w:szCs w:val="24"/>
      <w:lang w:val="et-EE" w:eastAsia="ar-SA" w:bidi="ar-SA"/>
    </w:rPr>
  </w:style>
  <w:style w:type="character" w:customStyle="1" w:styleId="Pealkiri3Mrk">
    <w:name w:val="Pealkiri 3 Märk"/>
    <w:link w:val="Pealkiri3"/>
    <w:rsid w:val="00E42F9F"/>
    <w:rPr>
      <w:rFonts w:cs="Arial"/>
      <w:b/>
      <w:bCs/>
      <w:sz w:val="24"/>
      <w:szCs w:val="26"/>
      <w:lang w:val="et-EE" w:eastAsia="ar-SA" w:bidi="ar-SA"/>
    </w:rPr>
  </w:style>
  <w:style w:type="character" w:customStyle="1" w:styleId="Pealkiri4Mrk1">
    <w:name w:val="Pealkiri 4 Märk1"/>
    <w:aliases w:val="Pealkiri 4 Märk Märk2,Pea 2 Märk Märk2,Pealkiri 4 Märk Märk Märk1,Pea 2 Märk Märk Märk1,Pea 2 Märk2"/>
    <w:link w:val="Pealkiri4"/>
    <w:rsid w:val="004D4AF8"/>
    <w:rPr>
      <w:bCs/>
      <w:i/>
      <w:sz w:val="24"/>
      <w:szCs w:val="24"/>
    </w:rPr>
  </w:style>
  <w:style w:type="paragraph" w:customStyle="1" w:styleId="ListDash">
    <w:name w:val="List Dash"/>
    <w:basedOn w:val="Normaallaad"/>
    <w:rsid w:val="00E42F9F"/>
    <w:pPr>
      <w:numPr>
        <w:numId w:val="1"/>
      </w:numPr>
      <w:tabs>
        <w:tab w:val="num" w:pos="283"/>
      </w:tabs>
      <w:suppressAutoHyphens w:val="0"/>
      <w:spacing w:before="120" w:after="120"/>
      <w:ind w:left="283" w:hanging="283"/>
      <w:jc w:val="both"/>
    </w:pPr>
    <w:rPr>
      <w:rFonts w:ascii="SimSun" w:eastAsia="SimSun" w:cs="SimSun"/>
      <w:lang w:eastAsia="en-GB"/>
    </w:rPr>
  </w:style>
  <w:style w:type="paragraph" w:styleId="Jutumullitekst">
    <w:name w:val="Balloon Text"/>
    <w:basedOn w:val="Normaallaad"/>
    <w:semiHidden/>
    <w:rsid w:val="00E42F9F"/>
    <w:rPr>
      <w:rFonts w:ascii="Tahoma" w:hAnsi="Tahoma" w:cs="Tahoma"/>
      <w:sz w:val="16"/>
      <w:szCs w:val="16"/>
    </w:rPr>
  </w:style>
  <w:style w:type="character" w:customStyle="1" w:styleId="Pealkiri1Mrk1">
    <w:name w:val="Pealkiri 1 Märk1"/>
    <w:aliases w:val="Pealkiri 1 Märk Märk"/>
    <w:link w:val="Pealkiri1"/>
    <w:rsid w:val="00FB63D8"/>
    <w:rPr>
      <w:rFonts w:cs="Arial"/>
      <w:b/>
      <w:bCs/>
      <w:kern w:val="1"/>
      <w:sz w:val="24"/>
      <w:szCs w:val="32"/>
      <w:lang w:eastAsia="ar-SA"/>
    </w:rPr>
  </w:style>
  <w:style w:type="character" w:customStyle="1" w:styleId="Pealkiri2Mrk">
    <w:name w:val="Pealkiri 2 Märk"/>
    <w:aliases w:val="Pealkiri 2 Märk1 Märk1,Pealkiri 2 Märk Märk Märk1,Pealkiri 2 Märk2 Märk1,Pealkiri 2 Märk Märk1 Märk1"/>
    <w:link w:val="Pealkiri2"/>
    <w:rsid w:val="00A32D26"/>
    <w:rPr>
      <w:rFonts w:cs="Arial"/>
      <w:b/>
      <w:bCs/>
      <w:sz w:val="24"/>
      <w:szCs w:val="24"/>
      <w:lang w:eastAsia="ar-SA"/>
    </w:rPr>
  </w:style>
  <w:style w:type="character" w:customStyle="1" w:styleId="Pealkiri4MrkMrk1">
    <w:name w:val="Pealkiri 4 Märk Märk1"/>
    <w:aliases w:val="Pea 2 Märk Märk1,Pealkiri 4 Märk Märk Märk,Pea 2 Märk Märk Märk,Pea 2 Märk1"/>
    <w:rsid w:val="00E42F9F"/>
    <w:rPr>
      <w:b/>
      <w:bCs/>
      <w:sz w:val="28"/>
      <w:szCs w:val="28"/>
      <w:lang w:val="et-EE" w:eastAsia="et-EE" w:bidi="ar-SA"/>
    </w:rPr>
  </w:style>
  <w:style w:type="paragraph" w:styleId="Normaallaadveeb">
    <w:name w:val="Normal (Web)"/>
    <w:basedOn w:val="Normaallaad"/>
    <w:uiPriority w:val="99"/>
    <w:rsid w:val="00E42F9F"/>
    <w:pPr>
      <w:suppressAutoHyphens w:val="0"/>
      <w:spacing w:before="100" w:beforeAutospacing="1" w:after="100" w:afterAutospacing="1"/>
    </w:pPr>
    <w:rPr>
      <w:rFonts w:eastAsia="Arial Unicode MS"/>
      <w:lang w:val="en-GB" w:eastAsia="en-US"/>
    </w:rPr>
  </w:style>
  <w:style w:type="character" w:styleId="Hperlink">
    <w:name w:val="Hyperlink"/>
    <w:uiPriority w:val="99"/>
    <w:rsid w:val="00E42F9F"/>
    <w:rPr>
      <w:color w:val="0000FF"/>
      <w:u w:val="single"/>
    </w:rPr>
  </w:style>
  <w:style w:type="paragraph" w:styleId="SK4">
    <w:name w:val="toc 4"/>
    <w:basedOn w:val="Normaallaad"/>
    <w:next w:val="Normaallaad"/>
    <w:autoRedefine/>
    <w:uiPriority w:val="39"/>
    <w:rsid w:val="00E42F9F"/>
    <w:pPr>
      <w:suppressAutoHyphens w:val="0"/>
      <w:ind w:left="720"/>
    </w:pPr>
    <w:rPr>
      <w:sz w:val="18"/>
      <w:szCs w:val="18"/>
      <w:lang w:eastAsia="et-EE"/>
    </w:rPr>
  </w:style>
  <w:style w:type="paragraph" w:styleId="SK2">
    <w:name w:val="toc 2"/>
    <w:basedOn w:val="Normaallaad"/>
    <w:next w:val="Normaallaad"/>
    <w:autoRedefine/>
    <w:uiPriority w:val="39"/>
    <w:rsid w:val="00E42F9F"/>
    <w:pPr>
      <w:suppressAutoHyphens w:val="0"/>
      <w:ind w:left="240"/>
    </w:pPr>
    <w:rPr>
      <w:smallCaps/>
      <w:sz w:val="20"/>
      <w:szCs w:val="20"/>
      <w:lang w:eastAsia="et-EE"/>
    </w:rPr>
  </w:style>
  <w:style w:type="paragraph" w:styleId="SK3">
    <w:name w:val="toc 3"/>
    <w:basedOn w:val="Normaallaad"/>
    <w:next w:val="Normaallaad"/>
    <w:autoRedefine/>
    <w:uiPriority w:val="39"/>
    <w:rsid w:val="00E42F9F"/>
    <w:pPr>
      <w:suppressAutoHyphens w:val="0"/>
      <w:ind w:left="480"/>
    </w:pPr>
    <w:rPr>
      <w:i/>
      <w:iCs/>
      <w:sz w:val="20"/>
      <w:szCs w:val="20"/>
      <w:lang w:eastAsia="et-EE"/>
    </w:rPr>
  </w:style>
  <w:style w:type="paragraph" w:styleId="Kommentaariteema">
    <w:name w:val="annotation subject"/>
    <w:basedOn w:val="Kommentaaritekst"/>
    <w:next w:val="Kommentaaritekst"/>
    <w:semiHidden/>
    <w:rsid w:val="00E42F9F"/>
    <w:pPr>
      <w:suppressAutoHyphens w:val="0"/>
    </w:pPr>
    <w:rPr>
      <w:b/>
      <w:bCs/>
      <w:lang w:eastAsia="et-EE"/>
    </w:rPr>
  </w:style>
  <w:style w:type="paragraph" w:styleId="Pealdis">
    <w:name w:val="caption"/>
    <w:basedOn w:val="Normaallaad"/>
    <w:next w:val="Normaallaad"/>
    <w:qFormat/>
    <w:rsid w:val="001548D2"/>
    <w:pPr>
      <w:spacing w:before="120" w:after="120"/>
    </w:pPr>
    <w:rPr>
      <w:b/>
      <w:bCs/>
      <w:sz w:val="20"/>
      <w:szCs w:val="20"/>
    </w:rPr>
  </w:style>
  <w:style w:type="character" w:styleId="Tugev">
    <w:name w:val="Strong"/>
    <w:qFormat/>
    <w:rsid w:val="00192A8A"/>
    <w:rPr>
      <w:b/>
      <w:bCs/>
    </w:rPr>
  </w:style>
  <w:style w:type="paragraph" w:styleId="SK1">
    <w:name w:val="toc 1"/>
    <w:basedOn w:val="Normaallaad"/>
    <w:next w:val="Normaallaad"/>
    <w:autoRedefine/>
    <w:uiPriority w:val="39"/>
    <w:rsid w:val="004C5FD5"/>
    <w:pPr>
      <w:tabs>
        <w:tab w:val="right" w:leader="dot" w:pos="9336"/>
      </w:tabs>
      <w:spacing w:before="120" w:after="120"/>
    </w:pPr>
    <w:rPr>
      <w:b/>
      <w:kern w:val="26"/>
      <w:sz w:val="22"/>
      <w:szCs w:val="22"/>
    </w:rPr>
  </w:style>
  <w:style w:type="character" w:styleId="Lehekljenumber">
    <w:name w:val="page number"/>
    <w:basedOn w:val="Liguvaikefont"/>
    <w:rsid w:val="0059363F"/>
  </w:style>
  <w:style w:type="paragraph" w:styleId="Pis">
    <w:name w:val="header"/>
    <w:basedOn w:val="Normaallaad"/>
    <w:rsid w:val="00B13046"/>
    <w:pPr>
      <w:tabs>
        <w:tab w:val="center" w:pos="4536"/>
        <w:tab w:val="right" w:pos="9072"/>
      </w:tabs>
    </w:pPr>
  </w:style>
  <w:style w:type="paragraph" w:styleId="Vahedeta">
    <w:name w:val="No Spacing"/>
    <w:qFormat/>
    <w:rsid w:val="00D024E0"/>
    <w:rPr>
      <w:rFonts w:ascii="Calibri" w:eastAsia="Calibri" w:hAnsi="Calibri"/>
      <w:sz w:val="22"/>
      <w:szCs w:val="22"/>
      <w:lang w:eastAsia="en-US"/>
    </w:rPr>
  </w:style>
  <w:style w:type="paragraph" w:styleId="Redaktsioon">
    <w:name w:val="Revision"/>
    <w:hidden/>
    <w:uiPriority w:val="99"/>
    <w:semiHidden/>
    <w:rsid w:val="009E5597"/>
    <w:rPr>
      <w:sz w:val="24"/>
      <w:szCs w:val="24"/>
      <w:lang w:eastAsia="ar-SA"/>
    </w:rPr>
  </w:style>
  <w:style w:type="character" w:customStyle="1" w:styleId="h11">
    <w:name w:val="h11"/>
    <w:rsid w:val="009E5597"/>
    <w:rPr>
      <w:b/>
      <w:bCs/>
      <w:color w:val="555555"/>
      <w:sz w:val="27"/>
      <w:szCs w:val="27"/>
    </w:rPr>
  </w:style>
  <w:style w:type="character" w:styleId="Klastatudhperlink">
    <w:name w:val="FollowedHyperlink"/>
    <w:uiPriority w:val="99"/>
    <w:semiHidden/>
    <w:unhideWhenUsed/>
    <w:rsid w:val="00E61CAC"/>
    <w:rPr>
      <w:color w:val="800080"/>
      <w:u w:val="single"/>
    </w:rPr>
  </w:style>
  <w:style w:type="paragraph" w:customStyle="1" w:styleId="Default">
    <w:name w:val="Default"/>
    <w:rsid w:val="00CE08A6"/>
    <w:pPr>
      <w:autoSpaceDE w:val="0"/>
      <w:autoSpaceDN w:val="0"/>
      <w:adjustRightInd w:val="0"/>
    </w:pPr>
    <w:rPr>
      <w:rFonts w:ascii="EUAlbertina" w:hAnsi="EUAlbertina" w:cs="EUAlbertina"/>
      <w:color w:val="000000"/>
      <w:sz w:val="24"/>
      <w:szCs w:val="24"/>
      <w:lang w:eastAsia="en-US"/>
    </w:rPr>
  </w:style>
  <w:style w:type="character" w:customStyle="1" w:styleId="KommentaaritekstMrk">
    <w:name w:val="Kommentaari tekst Märk"/>
    <w:link w:val="Kommentaaritekst"/>
    <w:uiPriority w:val="99"/>
    <w:rsid w:val="00CE08A6"/>
    <w:rPr>
      <w:lang w:eastAsia="ar-SA"/>
    </w:rPr>
  </w:style>
  <w:style w:type="paragraph" w:styleId="Kehatekst">
    <w:name w:val="Body Text"/>
    <w:basedOn w:val="Normaallaad"/>
    <w:link w:val="KehatekstMrk"/>
    <w:rsid w:val="003B540B"/>
    <w:pPr>
      <w:autoSpaceDN w:val="0"/>
      <w:spacing w:after="120"/>
      <w:textAlignment w:val="baseline"/>
    </w:pPr>
    <w:rPr>
      <w:lang w:val="x-none" w:eastAsia="x-none"/>
    </w:rPr>
  </w:style>
  <w:style w:type="character" w:customStyle="1" w:styleId="KehatekstMrk">
    <w:name w:val="Kehatekst Märk"/>
    <w:link w:val="Kehatekst"/>
    <w:rsid w:val="003B540B"/>
    <w:rPr>
      <w:sz w:val="24"/>
      <w:szCs w:val="24"/>
    </w:rPr>
  </w:style>
  <w:style w:type="paragraph" w:styleId="Loendilik">
    <w:name w:val="List Paragraph"/>
    <w:basedOn w:val="Normaallaad"/>
    <w:uiPriority w:val="34"/>
    <w:qFormat/>
    <w:rsid w:val="003B540B"/>
    <w:pPr>
      <w:ind w:left="720"/>
      <w:contextualSpacing/>
    </w:pPr>
  </w:style>
  <w:style w:type="paragraph" w:styleId="Sisukorrapealkiri">
    <w:name w:val="TOC Heading"/>
    <w:basedOn w:val="Pealkiri1"/>
    <w:next w:val="Normaallaad"/>
    <w:uiPriority w:val="39"/>
    <w:semiHidden/>
    <w:unhideWhenUsed/>
    <w:qFormat/>
    <w:rsid w:val="000A5E7A"/>
    <w:pPr>
      <w:keepLines/>
      <w:suppressAutoHyphens w:val="0"/>
      <w:spacing w:before="480" w:after="0" w:line="276" w:lineRule="auto"/>
      <w:outlineLvl w:val="9"/>
    </w:pPr>
    <w:rPr>
      <w:rFonts w:ascii="Cambria" w:hAnsi="Cambria" w:cs="Times New Roman"/>
      <w:color w:val="365F91"/>
      <w:kern w:val="0"/>
      <w:sz w:val="28"/>
      <w:szCs w:val="28"/>
      <w:lang w:eastAsia="en-US"/>
    </w:rPr>
  </w:style>
  <w:style w:type="character" w:customStyle="1" w:styleId="shorttext">
    <w:name w:val="short_text"/>
    <w:basedOn w:val="Liguvaikefont"/>
    <w:rsid w:val="00453CB1"/>
  </w:style>
  <w:style w:type="character" w:customStyle="1" w:styleId="hps">
    <w:name w:val="hps"/>
    <w:basedOn w:val="Liguvaikefont"/>
    <w:rsid w:val="00453CB1"/>
  </w:style>
  <w:style w:type="character" w:customStyle="1" w:styleId="FootnoteCharacters">
    <w:name w:val="Footnote Characters"/>
    <w:rsid w:val="004A1C3D"/>
    <w:rPr>
      <w:vertAlign w:val="superscript"/>
    </w:rPr>
  </w:style>
  <w:style w:type="table" w:styleId="Kontuurtabel">
    <w:name w:val="Table Grid"/>
    <w:basedOn w:val="Normaaltabel"/>
    <w:uiPriority w:val="59"/>
    <w:rsid w:val="00CC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andegakehatekst">
    <w:name w:val="Body Text Indent"/>
    <w:basedOn w:val="Normaallaad"/>
    <w:link w:val="TaandegakehatekstMrk"/>
    <w:uiPriority w:val="99"/>
    <w:semiHidden/>
    <w:unhideWhenUsed/>
    <w:rsid w:val="005B5369"/>
    <w:pPr>
      <w:spacing w:after="120"/>
      <w:ind w:left="283"/>
    </w:pPr>
  </w:style>
  <w:style w:type="character" w:customStyle="1" w:styleId="TaandegakehatekstMrk">
    <w:name w:val="Taandega kehatekst Märk"/>
    <w:link w:val="Taandegakehatekst"/>
    <w:uiPriority w:val="99"/>
    <w:semiHidden/>
    <w:rsid w:val="005B5369"/>
    <w:rPr>
      <w:sz w:val="24"/>
      <w:szCs w:val="24"/>
      <w:lang w:eastAsia="ar-SA"/>
    </w:rPr>
  </w:style>
  <w:style w:type="character" w:styleId="Reanumber">
    <w:name w:val="line number"/>
    <w:basedOn w:val="Liguvaikefont"/>
    <w:uiPriority w:val="99"/>
    <w:semiHidden/>
    <w:unhideWhenUsed/>
    <w:rsid w:val="00E1338D"/>
  </w:style>
  <w:style w:type="character" w:customStyle="1" w:styleId="st">
    <w:name w:val="st"/>
    <w:rsid w:val="0035027A"/>
  </w:style>
  <w:style w:type="paragraph" w:customStyle="1" w:styleId="Laad1">
    <w:name w:val="Laad1"/>
    <w:basedOn w:val="Allmrkusetekst"/>
    <w:link w:val="Laad1Mrk"/>
    <w:qFormat/>
    <w:rsid w:val="0095163F"/>
    <w:pPr>
      <w:spacing w:before="120" w:after="120" w:line="360" w:lineRule="auto"/>
    </w:pPr>
    <w:rPr>
      <w:sz w:val="18"/>
      <w:szCs w:val="20"/>
    </w:rPr>
  </w:style>
  <w:style w:type="character" w:customStyle="1" w:styleId="Laad1Mrk">
    <w:name w:val="Laad1 Märk"/>
    <w:link w:val="Laad1"/>
    <w:rsid w:val="0095163F"/>
    <w:rPr>
      <w:sz w:val="18"/>
      <w:lang w:eastAsia="ar-SA"/>
    </w:rPr>
  </w:style>
  <w:style w:type="paragraph" w:styleId="Illustratsiooniloend">
    <w:name w:val="table of figures"/>
    <w:basedOn w:val="Normaallaad"/>
    <w:next w:val="Normaallaad"/>
    <w:uiPriority w:val="99"/>
    <w:unhideWhenUsed/>
    <w:rsid w:val="00A45122"/>
  </w:style>
  <w:style w:type="paragraph" w:customStyle="1" w:styleId="Normaallaad1">
    <w:name w:val="Normaallaad1"/>
    <w:basedOn w:val="Normaallaad"/>
    <w:rsid w:val="007626DF"/>
    <w:pPr>
      <w:suppressAutoHyphens w:val="0"/>
      <w:spacing w:before="100" w:beforeAutospacing="1" w:after="100" w:afterAutospacing="1"/>
    </w:pPr>
    <w:rPr>
      <w:lang w:eastAsia="et-EE"/>
    </w:rPr>
  </w:style>
  <w:style w:type="character" w:styleId="Lahendamatamainimine">
    <w:name w:val="Unresolved Mention"/>
    <w:basedOn w:val="Liguvaikefont"/>
    <w:uiPriority w:val="99"/>
    <w:semiHidden/>
    <w:unhideWhenUsed/>
    <w:rsid w:val="00AC6F81"/>
    <w:rPr>
      <w:color w:val="605E5C"/>
      <w:shd w:val="clear" w:color="auto" w:fill="E1DFDD"/>
    </w:rPr>
  </w:style>
  <w:style w:type="character" w:customStyle="1" w:styleId="Pealkiri2Mrk3">
    <w:name w:val="Pealkiri 2 Märk3"/>
    <w:aliases w:val="Pealkiri 2 Märk1 Märk,Pealkiri 2 Märk Märk Märk,Pealkiri 2 Märk Märk2,Pealkiri 2 Märk2 Märk,Pealkiri 2 Märk Märk1 Märk"/>
    <w:rsid w:val="00D67E10"/>
    <w:rPr>
      <w:rFonts w:ascii="Arial" w:hAnsi="Arial" w:cs="Arial"/>
      <w:b/>
      <w:bCs/>
      <w:sz w:val="24"/>
      <w:szCs w:val="24"/>
      <w:u w:val="single"/>
      <w:lang w:val="et-EE" w:eastAsia="ar-SA" w:bidi="ar-SA"/>
    </w:rPr>
  </w:style>
  <w:style w:type="paragraph" w:customStyle="1" w:styleId="2Pealkiri">
    <w:name w:val="2 Pealkiri"/>
    <w:basedOn w:val="Pealkiri2"/>
    <w:rsid w:val="00D67E10"/>
    <w:pPr>
      <w:spacing w:before="360" w:after="240"/>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80926">
      <w:bodyDiv w:val="1"/>
      <w:marLeft w:val="0"/>
      <w:marRight w:val="0"/>
      <w:marTop w:val="0"/>
      <w:marBottom w:val="0"/>
      <w:divBdr>
        <w:top w:val="none" w:sz="0" w:space="0" w:color="auto"/>
        <w:left w:val="none" w:sz="0" w:space="0" w:color="auto"/>
        <w:bottom w:val="none" w:sz="0" w:space="0" w:color="auto"/>
        <w:right w:val="none" w:sz="0" w:space="0" w:color="auto"/>
      </w:divBdr>
    </w:div>
    <w:div w:id="75174116">
      <w:bodyDiv w:val="1"/>
      <w:marLeft w:val="0"/>
      <w:marRight w:val="0"/>
      <w:marTop w:val="0"/>
      <w:marBottom w:val="0"/>
      <w:divBdr>
        <w:top w:val="none" w:sz="0" w:space="0" w:color="auto"/>
        <w:left w:val="none" w:sz="0" w:space="0" w:color="auto"/>
        <w:bottom w:val="none" w:sz="0" w:space="0" w:color="auto"/>
        <w:right w:val="none" w:sz="0" w:space="0" w:color="auto"/>
      </w:divBdr>
    </w:div>
    <w:div w:id="101078835">
      <w:bodyDiv w:val="1"/>
      <w:marLeft w:val="0"/>
      <w:marRight w:val="0"/>
      <w:marTop w:val="0"/>
      <w:marBottom w:val="0"/>
      <w:divBdr>
        <w:top w:val="none" w:sz="0" w:space="0" w:color="auto"/>
        <w:left w:val="none" w:sz="0" w:space="0" w:color="auto"/>
        <w:bottom w:val="none" w:sz="0" w:space="0" w:color="auto"/>
        <w:right w:val="none" w:sz="0" w:space="0" w:color="auto"/>
      </w:divBdr>
    </w:div>
    <w:div w:id="122429744">
      <w:bodyDiv w:val="1"/>
      <w:marLeft w:val="0"/>
      <w:marRight w:val="0"/>
      <w:marTop w:val="0"/>
      <w:marBottom w:val="0"/>
      <w:divBdr>
        <w:top w:val="none" w:sz="0" w:space="0" w:color="auto"/>
        <w:left w:val="none" w:sz="0" w:space="0" w:color="auto"/>
        <w:bottom w:val="none" w:sz="0" w:space="0" w:color="auto"/>
        <w:right w:val="none" w:sz="0" w:space="0" w:color="auto"/>
      </w:divBdr>
    </w:div>
    <w:div w:id="134838918">
      <w:bodyDiv w:val="1"/>
      <w:marLeft w:val="0"/>
      <w:marRight w:val="0"/>
      <w:marTop w:val="0"/>
      <w:marBottom w:val="0"/>
      <w:divBdr>
        <w:top w:val="none" w:sz="0" w:space="0" w:color="auto"/>
        <w:left w:val="none" w:sz="0" w:space="0" w:color="auto"/>
        <w:bottom w:val="none" w:sz="0" w:space="0" w:color="auto"/>
        <w:right w:val="none" w:sz="0" w:space="0" w:color="auto"/>
      </w:divBdr>
    </w:div>
    <w:div w:id="155652223">
      <w:bodyDiv w:val="1"/>
      <w:marLeft w:val="0"/>
      <w:marRight w:val="0"/>
      <w:marTop w:val="0"/>
      <w:marBottom w:val="0"/>
      <w:divBdr>
        <w:top w:val="none" w:sz="0" w:space="0" w:color="auto"/>
        <w:left w:val="none" w:sz="0" w:space="0" w:color="auto"/>
        <w:bottom w:val="none" w:sz="0" w:space="0" w:color="auto"/>
        <w:right w:val="none" w:sz="0" w:space="0" w:color="auto"/>
      </w:divBdr>
    </w:div>
    <w:div w:id="160895183">
      <w:bodyDiv w:val="1"/>
      <w:marLeft w:val="0"/>
      <w:marRight w:val="0"/>
      <w:marTop w:val="0"/>
      <w:marBottom w:val="0"/>
      <w:divBdr>
        <w:top w:val="none" w:sz="0" w:space="0" w:color="auto"/>
        <w:left w:val="none" w:sz="0" w:space="0" w:color="auto"/>
        <w:bottom w:val="none" w:sz="0" w:space="0" w:color="auto"/>
        <w:right w:val="none" w:sz="0" w:space="0" w:color="auto"/>
      </w:divBdr>
    </w:div>
    <w:div w:id="167598001">
      <w:bodyDiv w:val="1"/>
      <w:marLeft w:val="0"/>
      <w:marRight w:val="0"/>
      <w:marTop w:val="0"/>
      <w:marBottom w:val="0"/>
      <w:divBdr>
        <w:top w:val="none" w:sz="0" w:space="0" w:color="auto"/>
        <w:left w:val="none" w:sz="0" w:space="0" w:color="auto"/>
        <w:bottom w:val="none" w:sz="0" w:space="0" w:color="auto"/>
        <w:right w:val="none" w:sz="0" w:space="0" w:color="auto"/>
      </w:divBdr>
    </w:div>
    <w:div w:id="187253815">
      <w:bodyDiv w:val="1"/>
      <w:marLeft w:val="0"/>
      <w:marRight w:val="0"/>
      <w:marTop w:val="0"/>
      <w:marBottom w:val="0"/>
      <w:divBdr>
        <w:top w:val="none" w:sz="0" w:space="0" w:color="auto"/>
        <w:left w:val="none" w:sz="0" w:space="0" w:color="auto"/>
        <w:bottom w:val="none" w:sz="0" w:space="0" w:color="auto"/>
        <w:right w:val="none" w:sz="0" w:space="0" w:color="auto"/>
      </w:divBdr>
    </w:div>
    <w:div w:id="198006472">
      <w:bodyDiv w:val="1"/>
      <w:marLeft w:val="0"/>
      <w:marRight w:val="0"/>
      <w:marTop w:val="0"/>
      <w:marBottom w:val="0"/>
      <w:divBdr>
        <w:top w:val="none" w:sz="0" w:space="0" w:color="auto"/>
        <w:left w:val="none" w:sz="0" w:space="0" w:color="auto"/>
        <w:bottom w:val="none" w:sz="0" w:space="0" w:color="auto"/>
        <w:right w:val="none" w:sz="0" w:space="0" w:color="auto"/>
      </w:divBdr>
    </w:div>
    <w:div w:id="201794763">
      <w:bodyDiv w:val="1"/>
      <w:marLeft w:val="0"/>
      <w:marRight w:val="0"/>
      <w:marTop w:val="0"/>
      <w:marBottom w:val="0"/>
      <w:divBdr>
        <w:top w:val="none" w:sz="0" w:space="0" w:color="auto"/>
        <w:left w:val="none" w:sz="0" w:space="0" w:color="auto"/>
        <w:bottom w:val="none" w:sz="0" w:space="0" w:color="auto"/>
        <w:right w:val="none" w:sz="0" w:space="0" w:color="auto"/>
      </w:divBdr>
    </w:div>
    <w:div w:id="264575443">
      <w:bodyDiv w:val="1"/>
      <w:marLeft w:val="0"/>
      <w:marRight w:val="0"/>
      <w:marTop w:val="0"/>
      <w:marBottom w:val="0"/>
      <w:divBdr>
        <w:top w:val="none" w:sz="0" w:space="0" w:color="auto"/>
        <w:left w:val="none" w:sz="0" w:space="0" w:color="auto"/>
        <w:bottom w:val="none" w:sz="0" w:space="0" w:color="auto"/>
        <w:right w:val="none" w:sz="0" w:space="0" w:color="auto"/>
      </w:divBdr>
    </w:div>
    <w:div w:id="311983380">
      <w:bodyDiv w:val="1"/>
      <w:marLeft w:val="0"/>
      <w:marRight w:val="0"/>
      <w:marTop w:val="0"/>
      <w:marBottom w:val="0"/>
      <w:divBdr>
        <w:top w:val="none" w:sz="0" w:space="0" w:color="auto"/>
        <w:left w:val="none" w:sz="0" w:space="0" w:color="auto"/>
        <w:bottom w:val="none" w:sz="0" w:space="0" w:color="auto"/>
        <w:right w:val="none" w:sz="0" w:space="0" w:color="auto"/>
      </w:divBdr>
    </w:div>
    <w:div w:id="337276110">
      <w:bodyDiv w:val="1"/>
      <w:marLeft w:val="0"/>
      <w:marRight w:val="0"/>
      <w:marTop w:val="0"/>
      <w:marBottom w:val="0"/>
      <w:divBdr>
        <w:top w:val="none" w:sz="0" w:space="0" w:color="auto"/>
        <w:left w:val="none" w:sz="0" w:space="0" w:color="auto"/>
        <w:bottom w:val="none" w:sz="0" w:space="0" w:color="auto"/>
        <w:right w:val="none" w:sz="0" w:space="0" w:color="auto"/>
      </w:divBdr>
    </w:div>
    <w:div w:id="358900933">
      <w:bodyDiv w:val="1"/>
      <w:marLeft w:val="0"/>
      <w:marRight w:val="0"/>
      <w:marTop w:val="0"/>
      <w:marBottom w:val="0"/>
      <w:divBdr>
        <w:top w:val="none" w:sz="0" w:space="0" w:color="auto"/>
        <w:left w:val="none" w:sz="0" w:space="0" w:color="auto"/>
        <w:bottom w:val="none" w:sz="0" w:space="0" w:color="auto"/>
        <w:right w:val="none" w:sz="0" w:space="0" w:color="auto"/>
      </w:divBdr>
    </w:div>
    <w:div w:id="366372955">
      <w:bodyDiv w:val="1"/>
      <w:marLeft w:val="0"/>
      <w:marRight w:val="0"/>
      <w:marTop w:val="0"/>
      <w:marBottom w:val="0"/>
      <w:divBdr>
        <w:top w:val="none" w:sz="0" w:space="0" w:color="auto"/>
        <w:left w:val="none" w:sz="0" w:space="0" w:color="auto"/>
        <w:bottom w:val="none" w:sz="0" w:space="0" w:color="auto"/>
        <w:right w:val="none" w:sz="0" w:space="0" w:color="auto"/>
      </w:divBdr>
    </w:div>
    <w:div w:id="367880911">
      <w:bodyDiv w:val="1"/>
      <w:marLeft w:val="0"/>
      <w:marRight w:val="0"/>
      <w:marTop w:val="0"/>
      <w:marBottom w:val="0"/>
      <w:divBdr>
        <w:top w:val="none" w:sz="0" w:space="0" w:color="auto"/>
        <w:left w:val="none" w:sz="0" w:space="0" w:color="auto"/>
        <w:bottom w:val="none" w:sz="0" w:space="0" w:color="auto"/>
        <w:right w:val="none" w:sz="0" w:space="0" w:color="auto"/>
      </w:divBdr>
    </w:div>
    <w:div w:id="370885811">
      <w:bodyDiv w:val="1"/>
      <w:marLeft w:val="0"/>
      <w:marRight w:val="0"/>
      <w:marTop w:val="0"/>
      <w:marBottom w:val="0"/>
      <w:divBdr>
        <w:top w:val="none" w:sz="0" w:space="0" w:color="auto"/>
        <w:left w:val="none" w:sz="0" w:space="0" w:color="auto"/>
        <w:bottom w:val="none" w:sz="0" w:space="0" w:color="auto"/>
        <w:right w:val="none" w:sz="0" w:space="0" w:color="auto"/>
      </w:divBdr>
    </w:div>
    <w:div w:id="423190688">
      <w:bodyDiv w:val="1"/>
      <w:marLeft w:val="0"/>
      <w:marRight w:val="0"/>
      <w:marTop w:val="0"/>
      <w:marBottom w:val="0"/>
      <w:divBdr>
        <w:top w:val="none" w:sz="0" w:space="0" w:color="auto"/>
        <w:left w:val="none" w:sz="0" w:space="0" w:color="auto"/>
        <w:bottom w:val="none" w:sz="0" w:space="0" w:color="auto"/>
        <w:right w:val="none" w:sz="0" w:space="0" w:color="auto"/>
      </w:divBdr>
      <w:divsChild>
        <w:div w:id="1656566094">
          <w:marLeft w:val="0"/>
          <w:marRight w:val="0"/>
          <w:marTop w:val="0"/>
          <w:marBottom w:val="0"/>
          <w:divBdr>
            <w:top w:val="none" w:sz="0" w:space="0" w:color="auto"/>
            <w:left w:val="none" w:sz="0" w:space="0" w:color="auto"/>
            <w:bottom w:val="none" w:sz="0" w:space="0" w:color="auto"/>
            <w:right w:val="none" w:sz="0" w:space="0" w:color="auto"/>
          </w:divBdr>
          <w:divsChild>
            <w:div w:id="3585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44194">
      <w:bodyDiv w:val="1"/>
      <w:marLeft w:val="0"/>
      <w:marRight w:val="0"/>
      <w:marTop w:val="0"/>
      <w:marBottom w:val="0"/>
      <w:divBdr>
        <w:top w:val="none" w:sz="0" w:space="0" w:color="auto"/>
        <w:left w:val="none" w:sz="0" w:space="0" w:color="auto"/>
        <w:bottom w:val="none" w:sz="0" w:space="0" w:color="auto"/>
        <w:right w:val="none" w:sz="0" w:space="0" w:color="auto"/>
      </w:divBdr>
    </w:div>
    <w:div w:id="473841759">
      <w:bodyDiv w:val="1"/>
      <w:marLeft w:val="0"/>
      <w:marRight w:val="0"/>
      <w:marTop w:val="0"/>
      <w:marBottom w:val="0"/>
      <w:divBdr>
        <w:top w:val="none" w:sz="0" w:space="0" w:color="auto"/>
        <w:left w:val="none" w:sz="0" w:space="0" w:color="auto"/>
        <w:bottom w:val="none" w:sz="0" w:space="0" w:color="auto"/>
        <w:right w:val="none" w:sz="0" w:space="0" w:color="auto"/>
      </w:divBdr>
    </w:div>
    <w:div w:id="513374661">
      <w:bodyDiv w:val="1"/>
      <w:marLeft w:val="0"/>
      <w:marRight w:val="0"/>
      <w:marTop w:val="0"/>
      <w:marBottom w:val="0"/>
      <w:divBdr>
        <w:top w:val="none" w:sz="0" w:space="0" w:color="auto"/>
        <w:left w:val="none" w:sz="0" w:space="0" w:color="auto"/>
        <w:bottom w:val="none" w:sz="0" w:space="0" w:color="auto"/>
        <w:right w:val="none" w:sz="0" w:space="0" w:color="auto"/>
      </w:divBdr>
      <w:divsChild>
        <w:div w:id="1893807349">
          <w:marLeft w:val="0"/>
          <w:marRight w:val="0"/>
          <w:marTop w:val="0"/>
          <w:marBottom w:val="0"/>
          <w:divBdr>
            <w:top w:val="none" w:sz="0" w:space="0" w:color="auto"/>
            <w:left w:val="none" w:sz="0" w:space="0" w:color="auto"/>
            <w:bottom w:val="none" w:sz="0" w:space="0" w:color="auto"/>
            <w:right w:val="none" w:sz="0" w:space="0" w:color="auto"/>
          </w:divBdr>
          <w:divsChild>
            <w:div w:id="1995599249">
              <w:marLeft w:val="0"/>
              <w:marRight w:val="0"/>
              <w:marTop w:val="0"/>
              <w:marBottom w:val="0"/>
              <w:divBdr>
                <w:top w:val="none" w:sz="0" w:space="0" w:color="auto"/>
                <w:left w:val="none" w:sz="0" w:space="0" w:color="auto"/>
                <w:bottom w:val="none" w:sz="0" w:space="0" w:color="auto"/>
                <w:right w:val="none" w:sz="0" w:space="0" w:color="auto"/>
              </w:divBdr>
              <w:divsChild>
                <w:div w:id="549533226">
                  <w:marLeft w:val="0"/>
                  <w:marRight w:val="0"/>
                  <w:marTop w:val="0"/>
                  <w:marBottom w:val="0"/>
                  <w:divBdr>
                    <w:top w:val="none" w:sz="0" w:space="0" w:color="auto"/>
                    <w:left w:val="none" w:sz="0" w:space="0" w:color="auto"/>
                    <w:bottom w:val="none" w:sz="0" w:space="0" w:color="auto"/>
                    <w:right w:val="none" w:sz="0" w:space="0" w:color="auto"/>
                  </w:divBdr>
                  <w:divsChild>
                    <w:div w:id="2024162770">
                      <w:marLeft w:val="0"/>
                      <w:marRight w:val="0"/>
                      <w:marTop w:val="0"/>
                      <w:marBottom w:val="0"/>
                      <w:divBdr>
                        <w:top w:val="none" w:sz="0" w:space="0" w:color="auto"/>
                        <w:left w:val="none" w:sz="0" w:space="0" w:color="auto"/>
                        <w:bottom w:val="none" w:sz="0" w:space="0" w:color="auto"/>
                        <w:right w:val="none" w:sz="0" w:space="0" w:color="auto"/>
                      </w:divBdr>
                      <w:divsChild>
                        <w:div w:id="1617757608">
                          <w:marLeft w:val="0"/>
                          <w:marRight w:val="0"/>
                          <w:marTop w:val="0"/>
                          <w:marBottom w:val="0"/>
                          <w:divBdr>
                            <w:top w:val="none" w:sz="0" w:space="0" w:color="auto"/>
                            <w:left w:val="none" w:sz="0" w:space="0" w:color="auto"/>
                            <w:bottom w:val="none" w:sz="0" w:space="0" w:color="auto"/>
                            <w:right w:val="none" w:sz="0" w:space="0" w:color="auto"/>
                          </w:divBdr>
                          <w:divsChild>
                            <w:div w:id="973831383">
                              <w:marLeft w:val="0"/>
                              <w:marRight w:val="0"/>
                              <w:marTop w:val="0"/>
                              <w:marBottom w:val="0"/>
                              <w:divBdr>
                                <w:top w:val="none" w:sz="0" w:space="0" w:color="auto"/>
                                <w:left w:val="none" w:sz="0" w:space="0" w:color="auto"/>
                                <w:bottom w:val="none" w:sz="0" w:space="0" w:color="auto"/>
                                <w:right w:val="none" w:sz="0" w:space="0" w:color="auto"/>
                              </w:divBdr>
                              <w:divsChild>
                                <w:div w:id="1685983498">
                                  <w:marLeft w:val="0"/>
                                  <w:marRight w:val="0"/>
                                  <w:marTop w:val="0"/>
                                  <w:marBottom w:val="0"/>
                                  <w:divBdr>
                                    <w:top w:val="none" w:sz="0" w:space="0" w:color="auto"/>
                                    <w:left w:val="none" w:sz="0" w:space="0" w:color="auto"/>
                                    <w:bottom w:val="none" w:sz="0" w:space="0" w:color="auto"/>
                                    <w:right w:val="none" w:sz="0" w:space="0" w:color="auto"/>
                                  </w:divBdr>
                                  <w:divsChild>
                                    <w:div w:id="3373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329497">
      <w:bodyDiv w:val="1"/>
      <w:marLeft w:val="0"/>
      <w:marRight w:val="0"/>
      <w:marTop w:val="0"/>
      <w:marBottom w:val="0"/>
      <w:divBdr>
        <w:top w:val="none" w:sz="0" w:space="0" w:color="auto"/>
        <w:left w:val="none" w:sz="0" w:space="0" w:color="auto"/>
        <w:bottom w:val="none" w:sz="0" w:space="0" w:color="auto"/>
        <w:right w:val="none" w:sz="0" w:space="0" w:color="auto"/>
      </w:divBdr>
      <w:divsChild>
        <w:div w:id="1927494140">
          <w:marLeft w:val="0"/>
          <w:marRight w:val="0"/>
          <w:marTop w:val="0"/>
          <w:marBottom w:val="0"/>
          <w:divBdr>
            <w:top w:val="none" w:sz="0" w:space="0" w:color="auto"/>
            <w:left w:val="none" w:sz="0" w:space="0" w:color="auto"/>
            <w:bottom w:val="none" w:sz="0" w:space="0" w:color="auto"/>
            <w:right w:val="none" w:sz="0" w:space="0" w:color="auto"/>
          </w:divBdr>
          <w:divsChild>
            <w:div w:id="1784810239">
              <w:marLeft w:val="0"/>
              <w:marRight w:val="0"/>
              <w:marTop w:val="0"/>
              <w:marBottom w:val="0"/>
              <w:divBdr>
                <w:top w:val="none" w:sz="0" w:space="0" w:color="auto"/>
                <w:left w:val="none" w:sz="0" w:space="0" w:color="auto"/>
                <w:bottom w:val="none" w:sz="0" w:space="0" w:color="auto"/>
                <w:right w:val="none" w:sz="0" w:space="0" w:color="auto"/>
              </w:divBdr>
              <w:divsChild>
                <w:div w:id="7962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05043">
      <w:bodyDiv w:val="1"/>
      <w:marLeft w:val="0"/>
      <w:marRight w:val="0"/>
      <w:marTop w:val="0"/>
      <w:marBottom w:val="0"/>
      <w:divBdr>
        <w:top w:val="none" w:sz="0" w:space="0" w:color="auto"/>
        <w:left w:val="none" w:sz="0" w:space="0" w:color="auto"/>
        <w:bottom w:val="none" w:sz="0" w:space="0" w:color="auto"/>
        <w:right w:val="none" w:sz="0" w:space="0" w:color="auto"/>
      </w:divBdr>
      <w:divsChild>
        <w:div w:id="985162853">
          <w:marLeft w:val="0"/>
          <w:marRight w:val="0"/>
          <w:marTop w:val="0"/>
          <w:marBottom w:val="0"/>
          <w:divBdr>
            <w:top w:val="none" w:sz="0" w:space="0" w:color="auto"/>
            <w:left w:val="none" w:sz="0" w:space="0" w:color="auto"/>
            <w:bottom w:val="none" w:sz="0" w:space="0" w:color="auto"/>
            <w:right w:val="none" w:sz="0" w:space="0" w:color="auto"/>
          </w:divBdr>
          <w:divsChild>
            <w:div w:id="250043787">
              <w:marLeft w:val="0"/>
              <w:marRight w:val="0"/>
              <w:marTop w:val="0"/>
              <w:marBottom w:val="0"/>
              <w:divBdr>
                <w:top w:val="none" w:sz="0" w:space="0" w:color="auto"/>
                <w:left w:val="none" w:sz="0" w:space="0" w:color="auto"/>
                <w:bottom w:val="none" w:sz="0" w:space="0" w:color="auto"/>
                <w:right w:val="none" w:sz="0" w:space="0" w:color="auto"/>
              </w:divBdr>
              <w:divsChild>
                <w:div w:id="1747998216">
                  <w:marLeft w:val="0"/>
                  <w:marRight w:val="0"/>
                  <w:marTop w:val="0"/>
                  <w:marBottom w:val="0"/>
                  <w:divBdr>
                    <w:top w:val="none" w:sz="0" w:space="0" w:color="auto"/>
                    <w:left w:val="none" w:sz="0" w:space="0" w:color="auto"/>
                    <w:bottom w:val="none" w:sz="0" w:space="0" w:color="auto"/>
                    <w:right w:val="none" w:sz="0" w:space="0" w:color="auto"/>
                  </w:divBdr>
                  <w:divsChild>
                    <w:div w:id="1519664145">
                      <w:marLeft w:val="0"/>
                      <w:marRight w:val="0"/>
                      <w:marTop w:val="0"/>
                      <w:marBottom w:val="0"/>
                      <w:divBdr>
                        <w:top w:val="none" w:sz="0" w:space="0" w:color="auto"/>
                        <w:left w:val="none" w:sz="0" w:space="0" w:color="auto"/>
                        <w:bottom w:val="none" w:sz="0" w:space="0" w:color="auto"/>
                        <w:right w:val="none" w:sz="0" w:space="0" w:color="auto"/>
                      </w:divBdr>
                      <w:divsChild>
                        <w:div w:id="1205144195">
                          <w:marLeft w:val="0"/>
                          <w:marRight w:val="0"/>
                          <w:marTop w:val="0"/>
                          <w:marBottom w:val="0"/>
                          <w:divBdr>
                            <w:top w:val="none" w:sz="0" w:space="0" w:color="auto"/>
                            <w:left w:val="none" w:sz="0" w:space="0" w:color="auto"/>
                            <w:bottom w:val="none" w:sz="0" w:space="0" w:color="auto"/>
                            <w:right w:val="none" w:sz="0" w:space="0" w:color="auto"/>
                          </w:divBdr>
                          <w:divsChild>
                            <w:div w:id="1384910887">
                              <w:marLeft w:val="0"/>
                              <w:marRight w:val="0"/>
                              <w:marTop w:val="0"/>
                              <w:marBottom w:val="0"/>
                              <w:divBdr>
                                <w:top w:val="none" w:sz="0" w:space="0" w:color="auto"/>
                                <w:left w:val="none" w:sz="0" w:space="0" w:color="auto"/>
                                <w:bottom w:val="none" w:sz="0" w:space="0" w:color="auto"/>
                                <w:right w:val="none" w:sz="0" w:space="0" w:color="auto"/>
                              </w:divBdr>
                              <w:divsChild>
                                <w:div w:id="521361770">
                                  <w:marLeft w:val="0"/>
                                  <w:marRight w:val="0"/>
                                  <w:marTop w:val="0"/>
                                  <w:marBottom w:val="0"/>
                                  <w:divBdr>
                                    <w:top w:val="single" w:sz="6" w:space="0" w:color="F5F5F5"/>
                                    <w:left w:val="single" w:sz="6" w:space="0" w:color="F5F5F5"/>
                                    <w:bottom w:val="single" w:sz="6" w:space="0" w:color="F5F5F5"/>
                                    <w:right w:val="single" w:sz="6" w:space="0" w:color="F5F5F5"/>
                                  </w:divBdr>
                                  <w:divsChild>
                                    <w:div w:id="584656959">
                                      <w:marLeft w:val="0"/>
                                      <w:marRight w:val="0"/>
                                      <w:marTop w:val="0"/>
                                      <w:marBottom w:val="0"/>
                                      <w:divBdr>
                                        <w:top w:val="none" w:sz="0" w:space="0" w:color="auto"/>
                                        <w:left w:val="none" w:sz="0" w:space="0" w:color="auto"/>
                                        <w:bottom w:val="none" w:sz="0" w:space="0" w:color="auto"/>
                                        <w:right w:val="none" w:sz="0" w:space="0" w:color="auto"/>
                                      </w:divBdr>
                                      <w:divsChild>
                                        <w:div w:id="77694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0549038">
      <w:bodyDiv w:val="1"/>
      <w:marLeft w:val="0"/>
      <w:marRight w:val="0"/>
      <w:marTop w:val="0"/>
      <w:marBottom w:val="0"/>
      <w:divBdr>
        <w:top w:val="none" w:sz="0" w:space="0" w:color="auto"/>
        <w:left w:val="none" w:sz="0" w:space="0" w:color="auto"/>
        <w:bottom w:val="none" w:sz="0" w:space="0" w:color="auto"/>
        <w:right w:val="none" w:sz="0" w:space="0" w:color="auto"/>
      </w:divBdr>
    </w:div>
    <w:div w:id="803889912">
      <w:bodyDiv w:val="1"/>
      <w:marLeft w:val="0"/>
      <w:marRight w:val="0"/>
      <w:marTop w:val="0"/>
      <w:marBottom w:val="0"/>
      <w:divBdr>
        <w:top w:val="none" w:sz="0" w:space="0" w:color="auto"/>
        <w:left w:val="none" w:sz="0" w:space="0" w:color="auto"/>
        <w:bottom w:val="none" w:sz="0" w:space="0" w:color="auto"/>
        <w:right w:val="none" w:sz="0" w:space="0" w:color="auto"/>
      </w:divBdr>
    </w:div>
    <w:div w:id="809174894">
      <w:bodyDiv w:val="1"/>
      <w:marLeft w:val="0"/>
      <w:marRight w:val="0"/>
      <w:marTop w:val="0"/>
      <w:marBottom w:val="0"/>
      <w:divBdr>
        <w:top w:val="none" w:sz="0" w:space="0" w:color="auto"/>
        <w:left w:val="none" w:sz="0" w:space="0" w:color="auto"/>
        <w:bottom w:val="none" w:sz="0" w:space="0" w:color="auto"/>
        <w:right w:val="none" w:sz="0" w:space="0" w:color="auto"/>
      </w:divBdr>
    </w:div>
    <w:div w:id="811098674">
      <w:bodyDiv w:val="1"/>
      <w:marLeft w:val="0"/>
      <w:marRight w:val="0"/>
      <w:marTop w:val="0"/>
      <w:marBottom w:val="0"/>
      <w:divBdr>
        <w:top w:val="none" w:sz="0" w:space="0" w:color="auto"/>
        <w:left w:val="none" w:sz="0" w:space="0" w:color="auto"/>
        <w:bottom w:val="none" w:sz="0" w:space="0" w:color="auto"/>
        <w:right w:val="none" w:sz="0" w:space="0" w:color="auto"/>
      </w:divBdr>
    </w:div>
    <w:div w:id="824400657">
      <w:bodyDiv w:val="1"/>
      <w:marLeft w:val="0"/>
      <w:marRight w:val="0"/>
      <w:marTop w:val="0"/>
      <w:marBottom w:val="0"/>
      <w:divBdr>
        <w:top w:val="none" w:sz="0" w:space="0" w:color="auto"/>
        <w:left w:val="none" w:sz="0" w:space="0" w:color="auto"/>
        <w:bottom w:val="none" w:sz="0" w:space="0" w:color="auto"/>
        <w:right w:val="none" w:sz="0" w:space="0" w:color="auto"/>
      </w:divBdr>
    </w:div>
    <w:div w:id="880439703">
      <w:bodyDiv w:val="1"/>
      <w:marLeft w:val="0"/>
      <w:marRight w:val="0"/>
      <w:marTop w:val="0"/>
      <w:marBottom w:val="0"/>
      <w:divBdr>
        <w:top w:val="none" w:sz="0" w:space="0" w:color="auto"/>
        <w:left w:val="none" w:sz="0" w:space="0" w:color="auto"/>
        <w:bottom w:val="none" w:sz="0" w:space="0" w:color="auto"/>
        <w:right w:val="none" w:sz="0" w:space="0" w:color="auto"/>
      </w:divBdr>
    </w:div>
    <w:div w:id="902758924">
      <w:bodyDiv w:val="1"/>
      <w:marLeft w:val="0"/>
      <w:marRight w:val="0"/>
      <w:marTop w:val="0"/>
      <w:marBottom w:val="0"/>
      <w:divBdr>
        <w:top w:val="none" w:sz="0" w:space="0" w:color="auto"/>
        <w:left w:val="none" w:sz="0" w:space="0" w:color="auto"/>
        <w:bottom w:val="none" w:sz="0" w:space="0" w:color="auto"/>
        <w:right w:val="none" w:sz="0" w:space="0" w:color="auto"/>
      </w:divBdr>
    </w:div>
    <w:div w:id="925457833">
      <w:bodyDiv w:val="1"/>
      <w:marLeft w:val="0"/>
      <w:marRight w:val="0"/>
      <w:marTop w:val="0"/>
      <w:marBottom w:val="0"/>
      <w:divBdr>
        <w:top w:val="none" w:sz="0" w:space="0" w:color="auto"/>
        <w:left w:val="none" w:sz="0" w:space="0" w:color="auto"/>
        <w:bottom w:val="none" w:sz="0" w:space="0" w:color="auto"/>
        <w:right w:val="none" w:sz="0" w:space="0" w:color="auto"/>
      </w:divBdr>
    </w:div>
    <w:div w:id="970673686">
      <w:bodyDiv w:val="1"/>
      <w:marLeft w:val="0"/>
      <w:marRight w:val="0"/>
      <w:marTop w:val="0"/>
      <w:marBottom w:val="0"/>
      <w:divBdr>
        <w:top w:val="none" w:sz="0" w:space="0" w:color="auto"/>
        <w:left w:val="none" w:sz="0" w:space="0" w:color="auto"/>
        <w:bottom w:val="none" w:sz="0" w:space="0" w:color="auto"/>
        <w:right w:val="none" w:sz="0" w:space="0" w:color="auto"/>
      </w:divBdr>
    </w:div>
    <w:div w:id="978922950">
      <w:bodyDiv w:val="1"/>
      <w:marLeft w:val="0"/>
      <w:marRight w:val="0"/>
      <w:marTop w:val="0"/>
      <w:marBottom w:val="0"/>
      <w:divBdr>
        <w:top w:val="none" w:sz="0" w:space="0" w:color="auto"/>
        <w:left w:val="none" w:sz="0" w:space="0" w:color="auto"/>
        <w:bottom w:val="none" w:sz="0" w:space="0" w:color="auto"/>
        <w:right w:val="none" w:sz="0" w:space="0" w:color="auto"/>
      </w:divBdr>
    </w:div>
    <w:div w:id="986663481">
      <w:bodyDiv w:val="1"/>
      <w:marLeft w:val="0"/>
      <w:marRight w:val="0"/>
      <w:marTop w:val="0"/>
      <w:marBottom w:val="0"/>
      <w:divBdr>
        <w:top w:val="none" w:sz="0" w:space="0" w:color="auto"/>
        <w:left w:val="none" w:sz="0" w:space="0" w:color="auto"/>
        <w:bottom w:val="none" w:sz="0" w:space="0" w:color="auto"/>
        <w:right w:val="none" w:sz="0" w:space="0" w:color="auto"/>
      </w:divBdr>
    </w:div>
    <w:div w:id="1036194517">
      <w:bodyDiv w:val="1"/>
      <w:marLeft w:val="0"/>
      <w:marRight w:val="0"/>
      <w:marTop w:val="0"/>
      <w:marBottom w:val="0"/>
      <w:divBdr>
        <w:top w:val="none" w:sz="0" w:space="0" w:color="auto"/>
        <w:left w:val="none" w:sz="0" w:space="0" w:color="auto"/>
        <w:bottom w:val="none" w:sz="0" w:space="0" w:color="auto"/>
        <w:right w:val="none" w:sz="0" w:space="0" w:color="auto"/>
      </w:divBdr>
    </w:div>
    <w:div w:id="1042284950">
      <w:bodyDiv w:val="1"/>
      <w:marLeft w:val="0"/>
      <w:marRight w:val="0"/>
      <w:marTop w:val="0"/>
      <w:marBottom w:val="0"/>
      <w:divBdr>
        <w:top w:val="none" w:sz="0" w:space="0" w:color="auto"/>
        <w:left w:val="none" w:sz="0" w:space="0" w:color="auto"/>
        <w:bottom w:val="none" w:sz="0" w:space="0" w:color="auto"/>
        <w:right w:val="none" w:sz="0" w:space="0" w:color="auto"/>
      </w:divBdr>
    </w:div>
    <w:div w:id="1096168851">
      <w:bodyDiv w:val="1"/>
      <w:marLeft w:val="0"/>
      <w:marRight w:val="0"/>
      <w:marTop w:val="0"/>
      <w:marBottom w:val="0"/>
      <w:divBdr>
        <w:top w:val="none" w:sz="0" w:space="0" w:color="auto"/>
        <w:left w:val="none" w:sz="0" w:space="0" w:color="auto"/>
        <w:bottom w:val="none" w:sz="0" w:space="0" w:color="auto"/>
        <w:right w:val="none" w:sz="0" w:space="0" w:color="auto"/>
      </w:divBdr>
    </w:div>
    <w:div w:id="1123773011">
      <w:bodyDiv w:val="1"/>
      <w:marLeft w:val="0"/>
      <w:marRight w:val="0"/>
      <w:marTop w:val="0"/>
      <w:marBottom w:val="0"/>
      <w:divBdr>
        <w:top w:val="none" w:sz="0" w:space="0" w:color="auto"/>
        <w:left w:val="none" w:sz="0" w:space="0" w:color="auto"/>
        <w:bottom w:val="none" w:sz="0" w:space="0" w:color="auto"/>
        <w:right w:val="none" w:sz="0" w:space="0" w:color="auto"/>
      </w:divBdr>
    </w:div>
    <w:div w:id="1153133777">
      <w:bodyDiv w:val="1"/>
      <w:marLeft w:val="0"/>
      <w:marRight w:val="0"/>
      <w:marTop w:val="0"/>
      <w:marBottom w:val="0"/>
      <w:divBdr>
        <w:top w:val="none" w:sz="0" w:space="0" w:color="auto"/>
        <w:left w:val="none" w:sz="0" w:space="0" w:color="auto"/>
        <w:bottom w:val="none" w:sz="0" w:space="0" w:color="auto"/>
        <w:right w:val="none" w:sz="0" w:space="0" w:color="auto"/>
      </w:divBdr>
    </w:div>
    <w:div w:id="1154758989">
      <w:bodyDiv w:val="1"/>
      <w:marLeft w:val="0"/>
      <w:marRight w:val="0"/>
      <w:marTop w:val="0"/>
      <w:marBottom w:val="0"/>
      <w:divBdr>
        <w:top w:val="none" w:sz="0" w:space="0" w:color="auto"/>
        <w:left w:val="none" w:sz="0" w:space="0" w:color="auto"/>
        <w:bottom w:val="none" w:sz="0" w:space="0" w:color="auto"/>
        <w:right w:val="none" w:sz="0" w:space="0" w:color="auto"/>
      </w:divBdr>
    </w:div>
    <w:div w:id="1218668290">
      <w:bodyDiv w:val="1"/>
      <w:marLeft w:val="0"/>
      <w:marRight w:val="0"/>
      <w:marTop w:val="0"/>
      <w:marBottom w:val="0"/>
      <w:divBdr>
        <w:top w:val="none" w:sz="0" w:space="0" w:color="auto"/>
        <w:left w:val="none" w:sz="0" w:space="0" w:color="auto"/>
        <w:bottom w:val="none" w:sz="0" w:space="0" w:color="auto"/>
        <w:right w:val="none" w:sz="0" w:space="0" w:color="auto"/>
      </w:divBdr>
    </w:div>
    <w:div w:id="1221132507">
      <w:bodyDiv w:val="1"/>
      <w:marLeft w:val="0"/>
      <w:marRight w:val="0"/>
      <w:marTop w:val="0"/>
      <w:marBottom w:val="0"/>
      <w:divBdr>
        <w:top w:val="none" w:sz="0" w:space="0" w:color="auto"/>
        <w:left w:val="none" w:sz="0" w:space="0" w:color="auto"/>
        <w:bottom w:val="none" w:sz="0" w:space="0" w:color="auto"/>
        <w:right w:val="none" w:sz="0" w:space="0" w:color="auto"/>
      </w:divBdr>
    </w:div>
    <w:div w:id="1238787705">
      <w:bodyDiv w:val="1"/>
      <w:marLeft w:val="0"/>
      <w:marRight w:val="0"/>
      <w:marTop w:val="0"/>
      <w:marBottom w:val="0"/>
      <w:divBdr>
        <w:top w:val="none" w:sz="0" w:space="0" w:color="auto"/>
        <w:left w:val="none" w:sz="0" w:space="0" w:color="auto"/>
        <w:bottom w:val="none" w:sz="0" w:space="0" w:color="auto"/>
        <w:right w:val="none" w:sz="0" w:space="0" w:color="auto"/>
      </w:divBdr>
    </w:div>
    <w:div w:id="1240679750">
      <w:bodyDiv w:val="1"/>
      <w:marLeft w:val="0"/>
      <w:marRight w:val="0"/>
      <w:marTop w:val="0"/>
      <w:marBottom w:val="0"/>
      <w:divBdr>
        <w:top w:val="none" w:sz="0" w:space="0" w:color="auto"/>
        <w:left w:val="none" w:sz="0" w:space="0" w:color="auto"/>
        <w:bottom w:val="none" w:sz="0" w:space="0" w:color="auto"/>
        <w:right w:val="none" w:sz="0" w:space="0" w:color="auto"/>
      </w:divBdr>
    </w:div>
    <w:div w:id="1297181954">
      <w:bodyDiv w:val="1"/>
      <w:marLeft w:val="0"/>
      <w:marRight w:val="0"/>
      <w:marTop w:val="0"/>
      <w:marBottom w:val="0"/>
      <w:divBdr>
        <w:top w:val="none" w:sz="0" w:space="0" w:color="auto"/>
        <w:left w:val="none" w:sz="0" w:space="0" w:color="auto"/>
        <w:bottom w:val="none" w:sz="0" w:space="0" w:color="auto"/>
        <w:right w:val="none" w:sz="0" w:space="0" w:color="auto"/>
      </w:divBdr>
    </w:div>
    <w:div w:id="1369140526">
      <w:bodyDiv w:val="1"/>
      <w:marLeft w:val="0"/>
      <w:marRight w:val="0"/>
      <w:marTop w:val="0"/>
      <w:marBottom w:val="0"/>
      <w:divBdr>
        <w:top w:val="none" w:sz="0" w:space="0" w:color="auto"/>
        <w:left w:val="none" w:sz="0" w:space="0" w:color="auto"/>
        <w:bottom w:val="none" w:sz="0" w:space="0" w:color="auto"/>
        <w:right w:val="none" w:sz="0" w:space="0" w:color="auto"/>
      </w:divBdr>
    </w:div>
    <w:div w:id="1373916081">
      <w:bodyDiv w:val="1"/>
      <w:marLeft w:val="0"/>
      <w:marRight w:val="0"/>
      <w:marTop w:val="0"/>
      <w:marBottom w:val="0"/>
      <w:divBdr>
        <w:top w:val="none" w:sz="0" w:space="0" w:color="auto"/>
        <w:left w:val="none" w:sz="0" w:space="0" w:color="auto"/>
        <w:bottom w:val="none" w:sz="0" w:space="0" w:color="auto"/>
        <w:right w:val="none" w:sz="0" w:space="0" w:color="auto"/>
      </w:divBdr>
      <w:divsChild>
        <w:div w:id="1817330605">
          <w:marLeft w:val="2"/>
          <w:marRight w:val="2"/>
          <w:marTop w:val="150"/>
          <w:marBottom w:val="150"/>
          <w:divBdr>
            <w:top w:val="none" w:sz="0" w:space="0" w:color="auto"/>
            <w:left w:val="none" w:sz="0" w:space="0" w:color="auto"/>
            <w:bottom w:val="none" w:sz="0" w:space="0" w:color="auto"/>
            <w:right w:val="none" w:sz="0" w:space="0" w:color="auto"/>
          </w:divBdr>
        </w:div>
      </w:divsChild>
    </w:div>
    <w:div w:id="1387140616">
      <w:bodyDiv w:val="1"/>
      <w:marLeft w:val="0"/>
      <w:marRight w:val="0"/>
      <w:marTop w:val="0"/>
      <w:marBottom w:val="0"/>
      <w:divBdr>
        <w:top w:val="none" w:sz="0" w:space="0" w:color="auto"/>
        <w:left w:val="none" w:sz="0" w:space="0" w:color="auto"/>
        <w:bottom w:val="none" w:sz="0" w:space="0" w:color="auto"/>
        <w:right w:val="none" w:sz="0" w:space="0" w:color="auto"/>
      </w:divBdr>
    </w:div>
    <w:div w:id="1408185482">
      <w:bodyDiv w:val="1"/>
      <w:marLeft w:val="0"/>
      <w:marRight w:val="0"/>
      <w:marTop w:val="0"/>
      <w:marBottom w:val="0"/>
      <w:divBdr>
        <w:top w:val="none" w:sz="0" w:space="0" w:color="auto"/>
        <w:left w:val="none" w:sz="0" w:space="0" w:color="auto"/>
        <w:bottom w:val="none" w:sz="0" w:space="0" w:color="auto"/>
        <w:right w:val="none" w:sz="0" w:space="0" w:color="auto"/>
      </w:divBdr>
    </w:div>
    <w:div w:id="1421103737">
      <w:bodyDiv w:val="1"/>
      <w:marLeft w:val="0"/>
      <w:marRight w:val="0"/>
      <w:marTop w:val="0"/>
      <w:marBottom w:val="0"/>
      <w:divBdr>
        <w:top w:val="none" w:sz="0" w:space="0" w:color="auto"/>
        <w:left w:val="none" w:sz="0" w:space="0" w:color="auto"/>
        <w:bottom w:val="none" w:sz="0" w:space="0" w:color="auto"/>
        <w:right w:val="none" w:sz="0" w:space="0" w:color="auto"/>
      </w:divBdr>
    </w:div>
    <w:div w:id="1447694133">
      <w:bodyDiv w:val="1"/>
      <w:marLeft w:val="0"/>
      <w:marRight w:val="0"/>
      <w:marTop w:val="0"/>
      <w:marBottom w:val="0"/>
      <w:divBdr>
        <w:top w:val="none" w:sz="0" w:space="0" w:color="auto"/>
        <w:left w:val="none" w:sz="0" w:space="0" w:color="auto"/>
        <w:bottom w:val="none" w:sz="0" w:space="0" w:color="auto"/>
        <w:right w:val="none" w:sz="0" w:space="0" w:color="auto"/>
      </w:divBdr>
      <w:divsChild>
        <w:div w:id="153592001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1452162257">
      <w:bodyDiv w:val="1"/>
      <w:marLeft w:val="0"/>
      <w:marRight w:val="0"/>
      <w:marTop w:val="0"/>
      <w:marBottom w:val="0"/>
      <w:divBdr>
        <w:top w:val="none" w:sz="0" w:space="0" w:color="auto"/>
        <w:left w:val="none" w:sz="0" w:space="0" w:color="auto"/>
        <w:bottom w:val="none" w:sz="0" w:space="0" w:color="auto"/>
        <w:right w:val="none" w:sz="0" w:space="0" w:color="auto"/>
      </w:divBdr>
    </w:div>
    <w:div w:id="1474441270">
      <w:bodyDiv w:val="1"/>
      <w:marLeft w:val="0"/>
      <w:marRight w:val="0"/>
      <w:marTop w:val="0"/>
      <w:marBottom w:val="0"/>
      <w:divBdr>
        <w:top w:val="none" w:sz="0" w:space="0" w:color="auto"/>
        <w:left w:val="none" w:sz="0" w:space="0" w:color="auto"/>
        <w:bottom w:val="none" w:sz="0" w:space="0" w:color="auto"/>
        <w:right w:val="none" w:sz="0" w:space="0" w:color="auto"/>
      </w:divBdr>
    </w:div>
    <w:div w:id="1475023802">
      <w:bodyDiv w:val="1"/>
      <w:marLeft w:val="0"/>
      <w:marRight w:val="0"/>
      <w:marTop w:val="0"/>
      <w:marBottom w:val="0"/>
      <w:divBdr>
        <w:top w:val="none" w:sz="0" w:space="0" w:color="auto"/>
        <w:left w:val="none" w:sz="0" w:space="0" w:color="auto"/>
        <w:bottom w:val="none" w:sz="0" w:space="0" w:color="auto"/>
        <w:right w:val="none" w:sz="0" w:space="0" w:color="auto"/>
      </w:divBdr>
    </w:div>
    <w:div w:id="1476948672">
      <w:bodyDiv w:val="1"/>
      <w:marLeft w:val="0"/>
      <w:marRight w:val="0"/>
      <w:marTop w:val="0"/>
      <w:marBottom w:val="0"/>
      <w:divBdr>
        <w:top w:val="none" w:sz="0" w:space="0" w:color="auto"/>
        <w:left w:val="none" w:sz="0" w:space="0" w:color="auto"/>
        <w:bottom w:val="none" w:sz="0" w:space="0" w:color="auto"/>
        <w:right w:val="none" w:sz="0" w:space="0" w:color="auto"/>
      </w:divBdr>
    </w:div>
    <w:div w:id="1500000198">
      <w:bodyDiv w:val="1"/>
      <w:marLeft w:val="0"/>
      <w:marRight w:val="0"/>
      <w:marTop w:val="0"/>
      <w:marBottom w:val="0"/>
      <w:divBdr>
        <w:top w:val="none" w:sz="0" w:space="0" w:color="auto"/>
        <w:left w:val="none" w:sz="0" w:space="0" w:color="auto"/>
        <w:bottom w:val="none" w:sz="0" w:space="0" w:color="auto"/>
        <w:right w:val="none" w:sz="0" w:space="0" w:color="auto"/>
      </w:divBdr>
      <w:divsChild>
        <w:div w:id="1890140267">
          <w:marLeft w:val="0"/>
          <w:marRight w:val="0"/>
          <w:marTop w:val="0"/>
          <w:marBottom w:val="0"/>
          <w:divBdr>
            <w:top w:val="none" w:sz="0" w:space="0" w:color="auto"/>
            <w:left w:val="none" w:sz="0" w:space="0" w:color="auto"/>
            <w:bottom w:val="none" w:sz="0" w:space="0" w:color="auto"/>
            <w:right w:val="none" w:sz="0" w:space="0" w:color="auto"/>
          </w:divBdr>
          <w:divsChild>
            <w:div w:id="1994408307">
              <w:marLeft w:val="0"/>
              <w:marRight w:val="0"/>
              <w:marTop w:val="0"/>
              <w:marBottom w:val="0"/>
              <w:divBdr>
                <w:top w:val="none" w:sz="0" w:space="0" w:color="auto"/>
                <w:left w:val="none" w:sz="0" w:space="0" w:color="auto"/>
                <w:bottom w:val="none" w:sz="0" w:space="0" w:color="auto"/>
                <w:right w:val="none" w:sz="0" w:space="0" w:color="auto"/>
              </w:divBdr>
              <w:divsChild>
                <w:div w:id="960460328">
                  <w:marLeft w:val="0"/>
                  <w:marRight w:val="0"/>
                  <w:marTop w:val="0"/>
                  <w:marBottom w:val="0"/>
                  <w:divBdr>
                    <w:top w:val="none" w:sz="0" w:space="0" w:color="auto"/>
                    <w:left w:val="none" w:sz="0" w:space="0" w:color="auto"/>
                    <w:bottom w:val="none" w:sz="0" w:space="0" w:color="auto"/>
                    <w:right w:val="none" w:sz="0" w:space="0" w:color="auto"/>
                  </w:divBdr>
                  <w:divsChild>
                    <w:div w:id="1251088197">
                      <w:marLeft w:val="0"/>
                      <w:marRight w:val="0"/>
                      <w:marTop w:val="0"/>
                      <w:marBottom w:val="0"/>
                      <w:divBdr>
                        <w:top w:val="none" w:sz="0" w:space="0" w:color="auto"/>
                        <w:left w:val="none" w:sz="0" w:space="0" w:color="auto"/>
                        <w:bottom w:val="none" w:sz="0" w:space="0" w:color="auto"/>
                        <w:right w:val="none" w:sz="0" w:space="0" w:color="auto"/>
                      </w:divBdr>
                      <w:divsChild>
                        <w:div w:id="508325918">
                          <w:marLeft w:val="0"/>
                          <w:marRight w:val="0"/>
                          <w:marTop w:val="0"/>
                          <w:marBottom w:val="0"/>
                          <w:divBdr>
                            <w:top w:val="none" w:sz="0" w:space="0" w:color="auto"/>
                            <w:left w:val="none" w:sz="0" w:space="0" w:color="auto"/>
                            <w:bottom w:val="none" w:sz="0" w:space="0" w:color="auto"/>
                            <w:right w:val="none" w:sz="0" w:space="0" w:color="auto"/>
                          </w:divBdr>
                          <w:divsChild>
                            <w:div w:id="536086573">
                              <w:marLeft w:val="0"/>
                              <w:marRight w:val="0"/>
                              <w:marTop w:val="0"/>
                              <w:marBottom w:val="0"/>
                              <w:divBdr>
                                <w:top w:val="none" w:sz="0" w:space="0" w:color="auto"/>
                                <w:left w:val="none" w:sz="0" w:space="0" w:color="auto"/>
                                <w:bottom w:val="none" w:sz="0" w:space="0" w:color="auto"/>
                                <w:right w:val="none" w:sz="0" w:space="0" w:color="auto"/>
                              </w:divBdr>
                              <w:divsChild>
                                <w:div w:id="1191993041">
                                  <w:marLeft w:val="0"/>
                                  <w:marRight w:val="0"/>
                                  <w:marTop w:val="0"/>
                                  <w:marBottom w:val="0"/>
                                  <w:divBdr>
                                    <w:top w:val="none" w:sz="0" w:space="0" w:color="auto"/>
                                    <w:left w:val="none" w:sz="0" w:space="0" w:color="auto"/>
                                    <w:bottom w:val="none" w:sz="0" w:space="0" w:color="auto"/>
                                    <w:right w:val="none" w:sz="0" w:space="0" w:color="auto"/>
                                  </w:divBdr>
                                  <w:divsChild>
                                    <w:div w:id="11798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947125">
      <w:bodyDiv w:val="1"/>
      <w:marLeft w:val="0"/>
      <w:marRight w:val="0"/>
      <w:marTop w:val="0"/>
      <w:marBottom w:val="0"/>
      <w:divBdr>
        <w:top w:val="none" w:sz="0" w:space="0" w:color="auto"/>
        <w:left w:val="none" w:sz="0" w:space="0" w:color="auto"/>
        <w:bottom w:val="none" w:sz="0" w:space="0" w:color="auto"/>
        <w:right w:val="none" w:sz="0" w:space="0" w:color="auto"/>
      </w:divBdr>
    </w:div>
    <w:div w:id="1568999541">
      <w:bodyDiv w:val="1"/>
      <w:marLeft w:val="0"/>
      <w:marRight w:val="0"/>
      <w:marTop w:val="0"/>
      <w:marBottom w:val="0"/>
      <w:divBdr>
        <w:top w:val="none" w:sz="0" w:space="0" w:color="auto"/>
        <w:left w:val="none" w:sz="0" w:space="0" w:color="auto"/>
        <w:bottom w:val="none" w:sz="0" w:space="0" w:color="auto"/>
        <w:right w:val="none" w:sz="0" w:space="0" w:color="auto"/>
      </w:divBdr>
    </w:div>
    <w:div w:id="1601765948">
      <w:bodyDiv w:val="1"/>
      <w:marLeft w:val="0"/>
      <w:marRight w:val="0"/>
      <w:marTop w:val="0"/>
      <w:marBottom w:val="0"/>
      <w:divBdr>
        <w:top w:val="none" w:sz="0" w:space="0" w:color="auto"/>
        <w:left w:val="none" w:sz="0" w:space="0" w:color="auto"/>
        <w:bottom w:val="none" w:sz="0" w:space="0" w:color="auto"/>
        <w:right w:val="none" w:sz="0" w:space="0" w:color="auto"/>
      </w:divBdr>
    </w:div>
    <w:div w:id="1703902356">
      <w:bodyDiv w:val="1"/>
      <w:marLeft w:val="0"/>
      <w:marRight w:val="0"/>
      <w:marTop w:val="0"/>
      <w:marBottom w:val="0"/>
      <w:divBdr>
        <w:top w:val="none" w:sz="0" w:space="0" w:color="auto"/>
        <w:left w:val="none" w:sz="0" w:space="0" w:color="auto"/>
        <w:bottom w:val="none" w:sz="0" w:space="0" w:color="auto"/>
        <w:right w:val="none" w:sz="0" w:space="0" w:color="auto"/>
      </w:divBdr>
      <w:divsChild>
        <w:div w:id="1689939734">
          <w:marLeft w:val="0"/>
          <w:marRight w:val="0"/>
          <w:marTop w:val="0"/>
          <w:marBottom w:val="0"/>
          <w:divBdr>
            <w:top w:val="none" w:sz="0" w:space="0" w:color="auto"/>
            <w:left w:val="none" w:sz="0" w:space="0" w:color="auto"/>
            <w:bottom w:val="none" w:sz="0" w:space="0" w:color="auto"/>
            <w:right w:val="none" w:sz="0" w:space="0" w:color="auto"/>
          </w:divBdr>
          <w:divsChild>
            <w:div w:id="885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84305">
      <w:bodyDiv w:val="1"/>
      <w:marLeft w:val="0"/>
      <w:marRight w:val="0"/>
      <w:marTop w:val="0"/>
      <w:marBottom w:val="0"/>
      <w:divBdr>
        <w:top w:val="none" w:sz="0" w:space="0" w:color="auto"/>
        <w:left w:val="none" w:sz="0" w:space="0" w:color="auto"/>
        <w:bottom w:val="none" w:sz="0" w:space="0" w:color="auto"/>
        <w:right w:val="none" w:sz="0" w:space="0" w:color="auto"/>
      </w:divBdr>
    </w:div>
    <w:div w:id="1800761041">
      <w:bodyDiv w:val="1"/>
      <w:marLeft w:val="0"/>
      <w:marRight w:val="0"/>
      <w:marTop w:val="0"/>
      <w:marBottom w:val="0"/>
      <w:divBdr>
        <w:top w:val="none" w:sz="0" w:space="0" w:color="auto"/>
        <w:left w:val="none" w:sz="0" w:space="0" w:color="auto"/>
        <w:bottom w:val="none" w:sz="0" w:space="0" w:color="auto"/>
        <w:right w:val="none" w:sz="0" w:space="0" w:color="auto"/>
      </w:divBdr>
      <w:divsChild>
        <w:div w:id="215359006">
          <w:marLeft w:val="0"/>
          <w:marRight w:val="0"/>
          <w:marTop w:val="0"/>
          <w:marBottom w:val="0"/>
          <w:divBdr>
            <w:top w:val="none" w:sz="0" w:space="0" w:color="auto"/>
            <w:left w:val="none" w:sz="0" w:space="0" w:color="auto"/>
            <w:bottom w:val="none" w:sz="0" w:space="0" w:color="auto"/>
            <w:right w:val="none" w:sz="0" w:space="0" w:color="auto"/>
          </w:divBdr>
          <w:divsChild>
            <w:div w:id="2078741299">
              <w:marLeft w:val="0"/>
              <w:marRight w:val="0"/>
              <w:marTop w:val="0"/>
              <w:marBottom w:val="0"/>
              <w:divBdr>
                <w:top w:val="none" w:sz="0" w:space="0" w:color="auto"/>
                <w:left w:val="none" w:sz="0" w:space="0" w:color="auto"/>
                <w:bottom w:val="none" w:sz="0" w:space="0" w:color="auto"/>
                <w:right w:val="none" w:sz="0" w:space="0" w:color="auto"/>
              </w:divBdr>
              <w:divsChild>
                <w:div w:id="1086415772">
                  <w:marLeft w:val="0"/>
                  <w:marRight w:val="0"/>
                  <w:marTop w:val="0"/>
                  <w:marBottom w:val="0"/>
                  <w:divBdr>
                    <w:top w:val="none" w:sz="0" w:space="0" w:color="auto"/>
                    <w:left w:val="none" w:sz="0" w:space="0" w:color="auto"/>
                    <w:bottom w:val="none" w:sz="0" w:space="0" w:color="auto"/>
                    <w:right w:val="none" w:sz="0" w:space="0" w:color="auto"/>
                  </w:divBdr>
                  <w:divsChild>
                    <w:div w:id="7627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488949">
      <w:bodyDiv w:val="1"/>
      <w:marLeft w:val="0"/>
      <w:marRight w:val="0"/>
      <w:marTop w:val="0"/>
      <w:marBottom w:val="0"/>
      <w:divBdr>
        <w:top w:val="none" w:sz="0" w:space="0" w:color="auto"/>
        <w:left w:val="none" w:sz="0" w:space="0" w:color="auto"/>
        <w:bottom w:val="none" w:sz="0" w:space="0" w:color="auto"/>
        <w:right w:val="none" w:sz="0" w:space="0" w:color="auto"/>
      </w:divBdr>
    </w:div>
    <w:div w:id="1842041489">
      <w:bodyDiv w:val="1"/>
      <w:marLeft w:val="0"/>
      <w:marRight w:val="0"/>
      <w:marTop w:val="0"/>
      <w:marBottom w:val="0"/>
      <w:divBdr>
        <w:top w:val="none" w:sz="0" w:space="0" w:color="auto"/>
        <w:left w:val="none" w:sz="0" w:space="0" w:color="auto"/>
        <w:bottom w:val="none" w:sz="0" w:space="0" w:color="auto"/>
        <w:right w:val="none" w:sz="0" w:space="0" w:color="auto"/>
      </w:divBdr>
      <w:divsChild>
        <w:div w:id="153255184">
          <w:marLeft w:val="0"/>
          <w:marRight w:val="0"/>
          <w:marTop w:val="0"/>
          <w:marBottom w:val="0"/>
          <w:divBdr>
            <w:top w:val="none" w:sz="0" w:space="0" w:color="auto"/>
            <w:left w:val="none" w:sz="0" w:space="0" w:color="auto"/>
            <w:bottom w:val="none" w:sz="0" w:space="0" w:color="auto"/>
            <w:right w:val="none" w:sz="0" w:space="0" w:color="auto"/>
          </w:divBdr>
          <w:divsChild>
            <w:div w:id="1112241918">
              <w:marLeft w:val="0"/>
              <w:marRight w:val="0"/>
              <w:marTop w:val="0"/>
              <w:marBottom w:val="0"/>
              <w:divBdr>
                <w:top w:val="none" w:sz="0" w:space="0" w:color="auto"/>
                <w:left w:val="none" w:sz="0" w:space="0" w:color="auto"/>
                <w:bottom w:val="none" w:sz="0" w:space="0" w:color="auto"/>
                <w:right w:val="none" w:sz="0" w:space="0" w:color="auto"/>
              </w:divBdr>
              <w:divsChild>
                <w:div w:id="923302005">
                  <w:marLeft w:val="0"/>
                  <w:marRight w:val="0"/>
                  <w:marTop w:val="0"/>
                  <w:marBottom w:val="0"/>
                  <w:divBdr>
                    <w:top w:val="none" w:sz="0" w:space="0" w:color="auto"/>
                    <w:left w:val="none" w:sz="0" w:space="0" w:color="auto"/>
                    <w:bottom w:val="none" w:sz="0" w:space="0" w:color="auto"/>
                    <w:right w:val="none" w:sz="0" w:space="0" w:color="auto"/>
                  </w:divBdr>
                  <w:divsChild>
                    <w:div w:id="227306572">
                      <w:marLeft w:val="0"/>
                      <w:marRight w:val="0"/>
                      <w:marTop w:val="0"/>
                      <w:marBottom w:val="0"/>
                      <w:divBdr>
                        <w:top w:val="none" w:sz="0" w:space="0" w:color="auto"/>
                        <w:left w:val="none" w:sz="0" w:space="0" w:color="auto"/>
                        <w:bottom w:val="none" w:sz="0" w:space="0" w:color="auto"/>
                        <w:right w:val="none" w:sz="0" w:space="0" w:color="auto"/>
                      </w:divBdr>
                      <w:divsChild>
                        <w:div w:id="195433557">
                          <w:marLeft w:val="-450"/>
                          <w:marRight w:val="0"/>
                          <w:marTop w:val="0"/>
                          <w:marBottom w:val="0"/>
                          <w:divBdr>
                            <w:top w:val="none" w:sz="0" w:space="0" w:color="auto"/>
                            <w:left w:val="none" w:sz="0" w:space="0" w:color="auto"/>
                            <w:bottom w:val="none" w:sz="0" w:space="0" w:color="auto"/>
                            <w:right w:val="none" w:sz="0" w:space="0" w:color="auto"/>
                          </w:divBdr>
                          <w:divsChild>
                            <w:div w:id="473521169">
                              <w:marLeft w:val="450"/>
                              <w:marRight w:val="0"/>
                              <w:marTop w:val="0"/>
                              <w:marBottom w:val="0"/>
                              <w:divBdr>
                                <w:top w:val="none" w:sz="0" w:space="0" w:color="auto"/>
                                <w:left w:val="none" w:sz="0" w:space="0" w:color="auto"/>
                                <w:bottom w:val="none" w:sz="0" w:space="0" w:color="auto"/>
                                <w:right w:val="none" w:sz="0" w:space="0" w:color="auto"/>
                              </w:divBdr>
                              <w:divsChild>
                                <w:div w:id="2115249575">
                                  <w:marLeft w:val="0"/>
                                  <w:marRight w:val="0"/>
                                  <w:marTop w:val="0"/>
                                  <w:marBottom w:val="0"/>
                                  <w:divBdr>
                                    <w:top w:val="none" w:sz="0" w:space="0" w:color="auto"/>
                                    <w:left w:val="none" w:sz="0" w:space="0" w:color="auto"/>
                                    <w:bottom w:val="none" w:sz="0" w:space="0" w:color="auto"/>
                                    <w:right w:val="none" w:sz="0" w:space="0" w:color="auto"/>
                                  </w:divBdr>
                                  <w:divsChild>
                                    <w:div w:id="1782408633">
                                      <w:marLeft w:val="0"/>
                                      <w:marRight w:val="0"/>
                                      <w:marTop w:val="0"/>
                                      <w:marBottom w:val="0"/>
                                      <w:divBdr>
                                        <w:top w:val="none" w:sz="0" w:space="0" w:color="auto"/>
                                        <w:left w:val="none" w:sz="0" w:space="0" w:color="auto"/>
                                        <w:bottom w:val="none" w:sz="0" w:space="0" w:color="auto"/>
                                        <w:right w:val="none" w:sz="0" w:space="0" w:color="auto"/>
                                      </w:divBdr>
                                      <w:divsChild>
                                        <w:div w:id="138115520">
                                          <w:marLeft w:val="0"/>
                                          <w:marRight w:val="0"/>
                                          <w:marTop w:val="0"/>
                                          <w:marBottom w:val="0"/>
                                          <w:divBdr>
                                            <w:top w:val="none" w:sz="0" w:space="0" w:color="auto"/>
                                            <w:left w:val="none" w:sz="0" w:space="0" w:color="auto"/>
                                            <w:bottom w:val="none" w:sz="0" w:space="0" w:color="auto"/>
                                            <w:right w:val="none" w:sz="0" w:space="0" w:color="auto"/>
                                          </w:divBdr>
                                          <w:divsChild>
                                            <w:div w:id="1087582195">
                                              <w:marLeft w:val="0"/>
                                              <w:marRight w:val="0"/>
                                              <w:marTop w:val="0"/>
                                              <w:marBottom w:val="0"/>
                                              <w:divBdr>
                                                <w:top w:val="none" w:sz="0" w:space="0" w:color="auto"/>
                                                <w:left w:val="none" w:sz="0" w:space="0" w:color="auto"/>
                                                <w:bottom w:val="none" w:sz="0" w:space="0" w:color="auto"/>
                                                <w:right w:val="none" w:sz="0" w:space="0" w:color="auto"/>
                                              </w:divBdr>
                                              <w:divsChild>
                                                <w:div w:id="977808052">
                                                  <w:marLeft w:val="0"/>
                                                  <w:marRight w:val="0"/>
                                                  <w:marTop w:val="0"/>
                                                  <w:marBottom w:val="0"/>
                                                  <w:divBdr>
                                                    <w:top w:val="none" w:sz="0" w:space="0" w:color="auto"/>
                                                    <w:left w:val="none" w:sz="0" w:space="0" w:color="auto"/>
                                                    <w:bottom w:val="none" w:sz="0" w:space="0" w:color="auto"/>
                                                    <w:right w:val="none" w:sz="0" w:space="0" w:color="auto"/>
                                                  </w:divBdr>
                                                  <w:divsChild>
                                                    <w:div w:id="2142458317">
                                                      <w:marLeft w:val="0"/>
                                                      <w:marRight w:val="0"/>
                                                      <w:marTop w:val="0"/>
                                                      <w:marBottom w:val="0"/>
                                                      <w:divBdr>
                                                        <w:top w:val="none" w:sz="0" w:space="0" w:color="auto"/>
                                                        <w:left w:val="none" w:sz="0" w:space="0" w:color="auto"/>
                                                        <w:bottom w:val="none" w:sz="0" w:space="0" w:color="auto"/>
                                                        <w:right w:val="none" w:sz="0" w:space="0" w:color="auto"/>
                                                      </w:divBdr>
                                                      <w:divsChild>
                                                        <w:div w:id="392430035">
                                                          <w:marLeft w:val="0"/>
                                                          <w:marRight w:val="0"/>
                                                          <w:marTop w:val="0"/>
                                                          <w:marBottom w:val="0"/>
                                                          <w:divBdr>
                                                            <w:top w:val="none" w:sz="0" w:space="0" w:color="auto"/>
                                                            <w:left w:val="none" w:sz="0" w:space="0" w:color="auto"/>
                                                            <w:bottom w:val="none" w:sz="0" w:space="0" w:color="auto"/>
                                                            <w:right w:val="none" w:sz="0" w:space="0" w:color="auto"/>
                                                          </w:divBdr>
                                                          <w:divsChild>
                                                            <w:div w:id="1036733372">
                                                              <w:marLeft w:val="0"/>
                                                              <w:marRight w:val="0"/>
                                                              <w:marTop w:val="0"/>
                                                              <w:marBottom w:val="0"/>
                                                              <w:divBdr>
                                                                <w:top w:val="none" w:sz="0" w:space="0" w:color="auto"/>
                                                                <w:left w:val="none" w:sz="0" w:space="0" w:color="auto"/>
                                                                <w:bottom w:val="none" w:sz="0" w:space="0" w:color="auto"/>
                                                                <w:right w:val="none" w:sz="0" w:space="0" w:color="auto"/>
                                                              </w:divBdr>
                                                              <w:divsChild>
                                                                <w:div w:id="745683904">
                                                                  <w:marLeft w:val="0"/>
                                                                  <w:marRight w:val="0"/>
                                                                  <w:marTop w:val="0"/>
                                                                  <w:marBottom w:val="0"/>
                                                                  <w:divBdr>
                                                                    <w:top w:val="none" w:sz="0" w:space="0" w:color="auto"/>
                                                                    <w:left w:val="none" w:sz="0" w:space="0" w:color="auto"/>
                                                                    <w:bottom w:val="none" w:sz="0" w:space="0" w:color="auto"/>
                                                                    <w:right w:val="none" w:sz="0" w:space="0" w:color="auto"/>
                                                                  </w:divBdr>
                                                                  <w:divsChild>
                                                                    <w:div w:id="472141620">
                                                                      <w:marLeft w:val="0"/>
                                                                      <w:marRight w:val="0"/>
                                                                      <w:marTop w:val="0"/>
                                                                      <w:marBottom w:val="0"/>
                                                                      <w:divBdr>
                                                                        <w:top w:val="none" w:sz="0" w:space="0" w:color="auto"/>
                                                                        <w:left w:val="none" w:sz="0" w:space="0" w:color="auto"/>
                                                                        <w:bottom w:val="none" w:sz="0" w:space="0" w:color="auto"/>
                                                                        <w:right w:val="none" w:sz="0" w:space="0" w:color="auto"/>
                                                                      </w:divBdr>
                                                                      <w:divsChild>
                                                                        <w:div w:id="167538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231268">
      <w:bodyDiv w:val="1"/>
      <w:marLeft w:val="0"/>
      <w:marRight w:val="0"/>
      <w:marTop w:val="0"/>
      <w:marBottom w:val="0"/>
      <w:divBdr>
        <w:top w:val="none" w:sz="0" w:space="0" w:color="auto"/>
        <w:left w:val="none" w:sz="0" w:space="0" w:color="auto"/>
        <w:bottom w:val="none" w:sz="0" w:space="0" w:color="auto"/>
        <w:right w:val="none" w:sz="0" w:space="0" w:color="auto"/>
      </w:divBdr>
      <w:divsChild>
        <w:div w:id="388111961">
          <w:marLeft w:val="0"/>
          <w:marRight w:val="0"/>
          <w:marTop w:val="0"/>
          <w:marBottom w:val="0"/>
          <w:divBdr>
            <w:top w:val="none" w:sz="0" w:space="0" w:color="auto"/>
            <w:left w:val="none" w:sz="0" w:space="0" w:color="auto"/>
            <w:bottom w:val="none" w:sz="0" w:space="0" w:color="auto"/>
            <w:right w:val="none" w:sz="0" w:space="0" w:color="auto"/>
          </w:divBdr>
          <w:divsChild>
            <w:div w:id="110758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59728">
      <w:bodyDiv w:val="1"/>
      <w:marLeft w:val="0"/>
      <w:marRight w:val="0"/>
      <w:marTop w:val="0"/>
      <w:marBottom w:val="0"/>
      <w:divBdr>
        <w:top w:val="none" w:sz="0" w:space="0" w:color="auto"/>
        <w:left w:val="none" w:sz="0" w:space="0" w:color="auto"/>
        <w:bottom w:val="none" w:sz="0" w:space="0" w:color="auto"/>
        <w:right w:val="none" w:sz="0" w:space="0" w:color="auto"/>
      </w:divBdr>
      <w:divsChild>
        <w:div w:id="1935086075">
          <w:marLeft w:val="0"/>
          <w:marRight w:val="0"/>
          <w:marTop w:val="0"/>
          <w:marBottom w:val="0"/>
          <w:divBdr>
            <w:top w:val="none" w:sz="0" w:space="0" w:color="auto"/>
            <w:left w:val="none" w:sz="0" w:space="0" w:color="auto"/>
            <w:bottom w:val="none" w:sz="0" w:space="0" w:color="auto"/>
            <w:right w:val="none" w:sz="0" w:space="0" w:color="auto"/>
          </w:divBdr>
          <w:divsChild>
            <w:div w:id="71437546">
              <w:marLeft w:val="0"/>
              <w:marRight w:val="0"/>
              <w:marTop w:val="0"/>
              <w:marBottom w:val="0"/>
              <w:divBdr>
                <w:top w:val="none" w:sz="0" w:space="0" w:color="auto"/>
                <w:left w:val="none" w:sz="0" w:space="0" w:color="auto"/>
                <w:bottom w:val="none" w:sz="0" w:space="0" w:color="auto"/>
                <w:right w:val="none" w:sz="0" w:space="0" w:color="auto"/>
              </w:divBdr>
              <w:divsChild>
                <w:div w:id="2106265771">
                  <w:marLeft w:val="0"/>
                  <w:marRight w:val="0"/>
                  <w:marTop w:val="0"/>
                  <w:marBottom w:val="0"/>
                  <w:divBdr>
                    <w:top w:val="none" w:sz="0" w:space="0" w:color="auto"/>
                    <w:left w:val="none" w:sz="0" w:space="0" w:color="auto"/>
                    <w:bottom w:val="none" w:sz="0" w:space="0" w:color="auto"/>
                    <w:right w:val="none" w:sz="0" w:space="0" w:color="auto"/>
                  </w:divBdr>
                  <w:divsChild>
                    <w:div w:id="766075657">
                      <w:marLeft w:val="0"/>
                      <w:marRight w:val="0"/>
                      <w:marTop w:val="0"/>
                      <w:marBottom w:val="0"/>
                      <w:divBdr>
                        <w:top w:val="none" w:sz="0" w:space="0" w:color="auto"/>
                        <w:left w:val="none" w:sz="0" w:space="0" w:color="auto"/>
                        <w:bottom w:val="none" w:sz="0" w:space="0" w:color="auto"/>
                        <w:right w:val="none" w:sz="0" w:space="0" w:color="auto"/>
                      </w:divBdr>
                      <w:divsChild>
                        <w:div w:id="17971358">
                          <w:marLeft w:val="0"/>
                          <w:marRight w:val="0"/>
                          <w:marTop w:val="0"/>
                          <w:marBottom w:val="0"/>
                          <w:divBdr>
                            <w:top w:val="none" w:sz="0" w:space="0" w:color="auto"/>
                            <w:left w:val="none" w:sz="0" w:space="0" w:color="auto"/>
                            <w:bottom w:val="none" w:sz="0" w:space="0" w:color="auto"/>
                            <w:right w:val="none" w:sz="0" w:space="0" w:color="auto"/>
                          </w:divBdr>
                          <w:divsChild>
                            <w:div w:id="795952426">
                              <w:marLeft w:val="0"/>
                              <w:marRight w:val="0"/>
                              <w:marTop w:val="0"/>
                              <w:marBottom w:val="0"/>
                              <w:divBdr>
                                <w:top w:val="none" w:sz="0" w:space="0" w:color="auto"/>
                                <w:left w:val="none" w:sz="0" w:space="0" w:color="auto"/>
                                <w:bottom w:val="none" w:sz="0" w:space="0" w:color="auto"/>
                                <w:right w:val="none" w:sz="0" w:space="0" w:color="auto"/>
                              </w:divBdr>
                              <w:divsChild>
                                <w:div w:id="351107589">
                                  <w:marLeft w:val="0"/>
                                  <w:marRight w:val="0"/>
                                  <w:marTop w:val="0"/>
                                  <w:marBottom w:val="0"/>
                                  <w:divBdr>
                                    <w:top w:val="none" w:sz="0" w:space="0" w:color="auto"/>
                                    <w:left w:val="none" w:sz="0" w:space="0" w:color="auto"/>
                                    <w:bottom w:val="none" w:sz="0" w:space="0" w:color="auto"/>
                                    <w:right w:val="none" w:sz="0" w:space="0" w:color="auto"/>
                                  </w:divBdr>
                                  <w:divsChild>
                                    <w:div w:id="8434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896371">
      <w:bodyDiv w:val="1"/>
      <w:marLeft w:val="0"/>
      <w:marRight w:val="0"/>
      <w:marTop w:val="0"/>
      <w:marBottom w:val="0"/>
      <w:divBdr>
        <w:top w:val="none" w:sz="0" w:space="0" w:color="auto"/>
        <w:left w:val="none" w:sz="0" w:space="0" w:color="auto"/>
        <w:bottom w:val="none" w:sz="0" w:space="0" w:color="auto"/>
        <w:right w:val="none" w:sz="0" w:space="0" w:color="auto"/>
      </w:divBdr>
    </w:div>
    <w:div w:id="1864248020">
      <w:bodyDiv w:val="1"/>
      <w:marLeft w:val="0"/>
      <w:marRight w:val="0"/>
      <w:marTop w:val="0"/>
      <w:marBottom w:val="0"/>
      <w:divBdr>
        <w:top w:val="none" w:sz="0" w:space="0" w:color="auto"/>
        <w:left w:val="none" w:sz="0" w:space="0" w:color="auto"/>
        <w:bottom w:val="none" w:sz="0" w:space="0" w:color="auto"/>
        <w:right w:val="none" w:sz="0" w:space="0" w:color="auto"/>
      </w:divBdr>
      <w:divsChild>
        <w:div w:id="442305883">
          <w:marLeft w:val="0"/>
          <w:marRight w:val="0"/>
          <w:marTop w:val="0"/>
          <w:marBottom w:val="0"/>
          <w:divBdr>
            <w:top w:val="none" w:sz="0" w:space="0" w:color="auto"/>
            <w:left w:val="none" w:sz="0" w:space="0" w:color="auto"/>
            <w:bottom w:val="none" w:sz="0" w:space="0" w:color="auto"/>
            <w:right w:val="none" w:sz="0" w:space="0" w:color="auto"/>
          </w:divBdr>
          <w:divsChild>
            <w:div w:id="149369206">
              <w:marLeft w:val="0"/>
              <w:marRight w:val="0"/>
              <w:marTop w:val="100"/>
              <w:marBottom w:val="100"/>
              <w:divBdr>
                <w:top w:val="none" w:sz="0" w:space="0" w:color="auto"/>
                <w:left w:val="none" w:sz="0" w:space="0" w:color="auto"/>
                <w:bottom w:val="none" w:sz="0" w:space="0" w:color="auto"/>
                <w:right w:val="none" w:sz="0" w:space="0" w:color="auto"/>
              </w:divBdr>
              <w:divsChild>
                <w:div w:id="127819799">
                  <w:marLeft w:val="0"/>
                  <w:marRight w:val="0"/>
                  <w:marTop w:val="450"/>
                  <w:marBottom w:val="0"/>
                  <w:divBdr>
                    <w:top w:val="none" w:sz="0" w:space="0" w:color="auto"/>
                    <w:left w:val="none" w:sz="0" w:space="0" w:color="auto"/>
                    <w:bottom w:val="none" w:sz="0" w:space="0" w:color="auto"/>
                    <w:right w:val="none" w:sz="0" w:space="0" w:color="auto"/>
                  </w:divBdr>
                  <w:divsChild>
                    <w:div w:id="1538928416">
                      <w:marLeft w:val="0"/>
                      <w:marRight w:val="0"/>
                      <w:marTop w:val="0"/>
                      <w:marBottom w:val="0"/>
                      <w:divBdr>
                        <w:top w:val="none" w:sz="0" w:space="0" w:color="auto"/>
                        <w:left w:val="none" w:sz="0" w:space="0" w:color="auto"/>
                        <w:bottom w:val="none" w:sz="0" w:space="0" w:color="auto"/>
                        <w:right w:val="none" w:sz="0" w:space="0" w:color="auto"/>
                      </w:divBdr>
                      <w:divsChild>
                        <w:div w:id="1875384901">
                          <w:marLeft w:val="0"/>
                          <w:marRight w:val="0"/>
                          <w:marTop w:val="0"/>
                          <w:marBottom w:val="0"/>
                          <w:divBdr>
                            <w:top w:val="none" w:sz="0" w:space="0" w:color="auto"/>
                            <w:left w:val="none" w:sz="0" w:space="0" w:color="auto"/>
                            <w:bottom w:val="none" w:sz="0" w:space="0" w:color="auto"/>
                            <w:right w:val="none" w:sz="0" w:space="0" w:color="auto"/>
                          </w:divBdr>
                          <w:divsChild>
                            <w:div w:id="1015571973">
                              <w:marLeft w:val="0"/>
                              <w:marRight w:val="0"/>
                              <w:marTop w:val="0"/>
                              <w:marBottom w:val="0"/>
                              <w:divBdr>
                                <w:top w:val="none" w:sz="0" w:space="0" w:color="auto"/>
                                <w:left w:val="single" w:sz="6" w:space="0" w:color="E1E1E1"/>
                                <w:bottom w:val="none" w:sz="0" w:space="0" w:color="auto"/>
                                <w:right w:val="single" w:sz="6" w:space="0" w:color="E1E1E1"/>
                              </w:divBdr>
                              <w:divsChild>
                                <w:div w:id="1520504861">
                                  <w:marLeft w:val="0"/>
                                  <w:marRight w:val="0"/>
                                  <w:marTop w:val="0"/>
                                  <w:marBottom w:val="0"/>
                                  <w:divBdr>
                                    <w:top w:val="none" w:sz="0" w:space="0" w:color="auto"/>
                                    <w:left w:val="none" w:sz="0" w:space="0" w:color="auto"/>
                                    <w:bottom w:val="none" w:sz="0" w:space="0" w:color="auto"/>
                                    <w:right w:val="none" w:sz="0" w:space="0" w:color="auto"/>
                                  </w:divBdr>
                                  <w:divsChild>
                                    <w:div w:id="1333608735">
                                      <w:marLeft w:val="0"/>
                                      <w:marRight w:val="0"/>
                                      <w:marTop w:val="0"/>
                                      <w:marBottom w:val="0"/>
                                      <w:divBdr>
                                        <w:top w:val="none" w:sz="0" w:space="0" w:color="auto"/>
                                        <w:left w:val="none" w:sz="0" w:space="0" w:color="auto"/>
                                        <w:bottom w:val="none" w:sz="0" w:space="0" w:color="auto"/>
                                        <w:right w:val="none" w:sz="0" w:space="0" w:color="auto"/>
                                      </w:divBdr>
                                      <w:divsChild>
                                        <w:div w:id="1480923857">
                                          <w:marLeft w:val="300"/>
                                          <w:marRight w:val="0"/>
                                          <w:marTop w:val="0"/>
                                          <w:marBottom w:val="75"/>
                                          <w:divBdr>
                                            <w:top w:val="none" w:sz="0" w:space="0" w:color="auto"/>
                                            <w:left w:val="none" w:sz="0" w:space="0" w:color="auto"/>
                                            <w:bottom w:val="none" w:sz="0" w:space="0" w:color="auto"/>
                                            <w:right w:val="none" w:sz="0" w:space="0" w:color="auto"/>
                                          </w:divBdr>
                                          <w:divsChild>
                                            <w:div w:id="16443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9102120">
      <w:bodyDiv w:val="1"/>
      <w:marLeft w:val="0"/>
      <w:marRight w:val="0"/>
      <w:marTop w:val="0"/>
      <w:marBottom w:val="0"/>
      <w:divBdr>
        <w:top w:val="none" w:sz="0" w:space="0" w:color="auto"/>
        <w:left w:val="none" w:sz="0" w:space="0" w:color="auto"/>
        <w:bottom w:val="none" w:sz="0" w:space="0" w:color="auto"/>
        <w:right w:val="none" w:sz="0" w:space="0" w:color="auto"/>
      </w:divBdr>
    </w:div>
    <w:div w:id="1889225938">
      <w:bodyDiv w:val="1"/>
      <w:marLeft w:val="0"/>
      <w:marRight w:val="0"/>
      <w:marTop w:val="0"/>
      <w:marBottom w:val="0"/>
      <w:divBdr>
        <w:top w:val="none" w:sz="0" w:space="0" w:color="auto"/>
        <w:left w:val="none" w:sz="0" w:space="0" w:color="auto"/>
        <w:bottom w:val="none" w:sz="0" w:space="0" w:color="auto"/>
        <w:right w:val="none" w:sz="0" w:space="0" w:color="auto"/>
      </w:divBdr>
    </w:div>
    <w:div w:id="1914311057">
      <w:bodyDiv w:val="1"/>
      <w:marLeft w:val="0"/>
      <w:marRight w:val="0"/>
      <w:marTop w:val="0"/>
      <w:marBottom w:val="0"/>
      <w:divBdr>
        <w:top w:val="none" w:sz="0" w:space="0" w:color="auto"/>
        <w:left w:val="none" w:sz="0" w:space="0" w:color="auto"/>
        <w:bottom w:val="none" w:sz="0" w:space="0" w:color="auto"/>
        <w:right w:val="none" w:sz="0" w:space="0" w:color="auto"/>
      </w:divBdr>
    </w:div>
    <w:div w:id="1939099699">
      <w:bodyDiv w:val="1"/>
      <w:marLeft w:val="0"/>
      <w:marRight w:val="0"/>
      <w:marTop w:val="0"/>
      <w:marBottom w:val="0"/>
      <w:divBdr>
        <w:top w:val="none" w:sz="0" w:space="0" w:color="auto"/>
        <w:left w:val="none" w:sz="0" w:space="0" w:color="auto"/>
        <w:bottom w:val="none" w:sz="0" w:space="0" w:color="auto"/>
        <w:right w:val="none" w:sz="0" w:space="0" w:color="auto"/>
      </w:divBdr>
    </w:div>
    <w:div w:id="1952591326">
      <w:bodyDiv w:val="1"/>
      <w:marLeft w:val="0"/>
      <w:marRight w:val="0"/>
      <w:marTop w:val="0"/>
      <w:marBottom w:val="0"/>
      <w:divBdr>
        <w:top w:val="none" w:sz="0" w:space="0" w:color="auto"/>
        <w:left w:val="none" w:sz="0" w:space="0" w:color="auto"/>
        <w:bottom w:val="none" w:sz="0" w:space="0" w:color="auto"/>
        <w:right w:val="none" w:sz="0" w:space="0" w:color="auto"/>
      </w:divBdr>
    </w:div>
    <w:div w:id="1975475973">
      <w:bodyDiv w:val="1"/>
      <w:marLeft w:val="0"/>
      <w:marRight w:val="0"/>
      <w:marTop w:val="0"/>
      <w:marBottom w:val="0"/>
      <w:divBdr>
        <w:top w:val="none" w:sz="0" w:space="0" w:color="auto"/>
        <w:left w:val="none" w:sz="0" w:space="0" w:color="auto"/>
        <w:bottom w:val="none" w:sz="0" w:space="0" w:color="auto"/>
        <w:right w:val="none" w:sz="0" w:space="0" w:color="auto"/>
      </w:divBdr>
    </w:div>
    <w:div w:id="1994409067">
      <w:bodyDiv w:val="1"/>
      <w:marLeft w:val="0"/>
      <w:marRight w:val="0"/>
      <w:marTop w:val="0"/>
      <w:marBottom w:val="0"/>
      <w:divBdr>
        <w:top w:val="none" w:sz="0" w:space="0" w:color="auto"/>
        <w:left w:val="none" w:sz="0" w:space="0" w:color="auto"/>
        <w:bottom w:val="none" w:sz="0" w:space="0" w:color="auto"/>
        <w:right w:val="none" w:sz="0" w:space="0" w:color="auto"/>
      </w:divBdr>
    </w:div>
    <w:div w:id="2002728705">
      <w:bodyDiv w:val="1"/>
      <w:marLeft w:val="0"/>
      <w:marRight w:val="0"/>
      <w:marTop w:val="0"/>
      <w:marBottom w:val="0"/>
      <w:divBdr>
        <w:top w:val="none" w:sz="0" w:space="0" w:color="auto"/>
        <w:left w:val="none" w:sz="0" w:space="0" w:color="auto"/>
        <w:bottom w:val="none" w:sz="0" w:space="0" w:color="auto"/>
        <w:right w:val="none" w:sz="0" w:space="0" w:color="auto"/>
      </w:divBdr>
    </w:div>
    <w:div w:id="2021466380">
      <w:bodyDiv w:val="1"/>
      <w:marLeft w:val="0"/>
      <w:marRight w:val="0"/>
      <w:marTop w:val="0"/>
      <w:marBottom w:val="0"/>
      <w:divBdr>
        <w:top w:val="none" w:sz="0" w:space="0" w:color="auto"/>
        <w:left w:val="none" w:sz="0" w:space="0" w:color="auto"/>
        <w:bottom w:val="none" w:sz="0" w:space="0" w:color="auto"/>
        <w:right w:val="none" w:sz="0" w:space="0" w:color="auto"/>
      </w:divBdr>
      <w:divsChild>
        <w:div w:id="1039162661">
          <w:marLeft w:val="0"/>
          <w:marRight w:val="0"/>
          <w:marTop w:val="0"/>
          <w:marBottom w:val="0"/>
          <w:divBdr>
            <w:top w:val="none" w:sz="0" w:space="0" w:color="auto"/>
            <w:left w:val="none" w:sz="0" w:space="0" w:color="auto"/>
            <w:bottom w:val="none" w:sz="0" w:space="0" w:color="auto"/>
            <w:right w:val="none" w:sz="0" w:space="0" w:color="auto"/>
          </w:divBdr>
          <w:divsChild>
            <w:div w:id="1789204637">
              <w:marLeft w:val="0"/>
              <w:marRight w:val="0"/>
              <w:marTop w:val="0"/>
              <w:marBottom w:val="0"/>
              <w:divBdr>
                <w:top w:val="none" w:sz="0" w:space="0" w:color="auto"/>
                <w:left w:val="none" w:sz="0" w:space="0" w:color="auto"/>
                <w:bottom w:val="none" w:sz="0" w:space="0" w:color="auto"/>
                <w:right w:val="none" w:sz="0" w:space="0" w:color="auto"/>
              </w:divBdr>
              <w:divsChild>
                <w:div w:id="1326544657">
                  <w:marLeft w:val="0"/>
                  <w:marRight w:val="0"/>
                  <w:marTop w:val="0"/>
                  <w:marBottom w:val="0"/>
                  <w:divBdr>
                    <w:top w:val="none" w:sz="0" w:space="0" w:color="auto"/>
                    <w:left w:val="none" w:sz="0" w:space="0" w:color="auto"/>
                    <w:bottom w:val="none" w:sz="0" w:space="0" w:color="auto"/>
                    <w:right w:val="none" w:sz="0" w:space="0" w:color="auto"/>
                  </w:divBdr>
                  <w:divsChild>
                    <w:div w:id="160111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08278">
      <w:bodyDiv w:val="1"/>
      <w:marLeft w:val="0"/>
      <w:marRight w:val="0"/>
      <w:marTop w:val="0"/>
      <w:marBottom w:val="0"/>
      <w:divBdr>
        <w:top w:val="none" w:sz="0" w:space="0" w:color="auto"/>
        <w:left w:val="none" w:sz="0" w:space="0" w:color="auto"/>
        <w:bottom w:val="none" w:sz="0" w:space="0" w:color="auto"/>
        <w:right w:val="none" w:sz="0" w:space="0" w:color="auto"/>
      </w:divBdr>
    </w:div>
    <w:div w:id="2028826677">
      <w:bodyDiv w:val="1"/>
      <w:marLeft w:val="0"/>
      <w:marRight w:val="0"/>
      <w:marTop w:val="0"/>
      <w:marBottom w:val="0"/>
      <w:divBdr>
        <w:top w:val="none" w:sz="0" w:space="0" w:color="auto"/>
        <w:left w:val="none" w:sz="0" w:space="0" w:color="auto"/>
        <w:bottom w:val="none" w:sz="0" w:space="0" w:color="auto"/>
        <w:right w:val="none" w:sz="0" w:space="0" w:color="auto"/>
      </w:divBdr>
    </w:div>
    <w:div w:id="2042703711">
      <w:bodyDiv w:val="1"/>
      <w:marLeft w:val="0"/>
      <w:marRight w:val="0"/>
      <w:marTop w:val="0"/>
      <w:marBottom w:val="0"/>
      <w:divBdr>
        <w:top w:val="none" w:sz="0" w:space="0" w:color="auto"/>
        <w:left w:val="none" w:sz="0" w:space="0" w:color="auto"/>
        <w:bottom w:val="none" w:sz="0" w:space="0" w:color="auto"/>
        <w:right w:val="none" w:sz="0" w:space="0" w:color="auto"/>
      </w:divBdr>
    </w:div>
    <w:div w:id="2050494069">
      <w:bodyDiv w:val="1"/>
      <w:marLeft w:val="0"/>
      <w:marRight w:val="0"/>
      <w:marTop w:val="0"/>
      <w:marBottom w:val="0"/>
      <w:divBdr>
        <w:top w:val="none" w:sz="0" w:space="0" w:color="auto"/>
        <w:left w:val="none" w:sz="0" w:space="0" w:color="auto"/>
        <w:bottom w:val="none" w:sz="0" w:space="0" w:color="auto"/>
        <w:right w:val="none" w:sz="0" w:space="0" w:color="auto"/>
      </w:divBdr>
    </w:div>
    <w:div w:id="2061635443">
      <w:bodyDiv w:val="1"/>
      <w:marLeft w:val="0"/>
      <w:marRight w:val="0"/>
      <w:marTop w:val="0"/>
      <w:marBottom w:val="0"/>
      <w:divBdr>
        <w:top w:val="none" w:sz="0" w:space="0" w:color="auto"/>
        <w:left w:val="none" w:sz="0" w:space="0" w:color="auto"/>
        <w:bottom w:val="none" w:sz="0" w:space="0" w:color="auto"/>
        <w:right w:val="none" w:sz="0" w:space="0" w:color="auto"/>
      </w:divBdr>
    </w:div>
    <w:div w:id="2073312216">
      <w:bodyDiv w:val="1"/>
      <w:marLeft w:val="0"/>
      <w:marRight w:val="0"/>
      <w:marTop w:val="0"/>
      <w:marBottom w:val="0"/>
      <w:divBdr>
        <w:top w:val="none" w:sz="0" w:space="0" w:color="auto"/>
        <w:left w:val="none" w:sz="0" w:space="0" w:color="auto"/>
        <w:bottom w:val="none" w:sz="0" w:space="0" w:color="auto"/>
        <w:right w:val="none" w:sz="0" w:space="0" w:color="auto"/>
      </w:divBdr>
    </w:div>
    <w:div w:id="211073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vallaste.ee/sona.ASP?Type=UserId&amp;otsing=1754%20" TargetMode="External"/><Relationship Id="rId13" Type="http://schemas.openxmlformats.org/officeDocument/2006/relationships/hyperlink" Target="https://berec.europa.eu/eng/document_register/subject_matter/berec/download/0/1100-glossary-of-terms-in-relation-to-the-ber_0.pdf" TargetMode="External"/><Relationship Id="rId18" Type="http://schemas.openxmlformats.org/officeDocument/2006/relationships/hyperlink" Target="https://eur-lex.europa.eu/legal-content/ET/TXT/PDF/?uri=CELEX:02002L0021-20091219&amp;from=EN" TargetMode="External"/><Relationship Id="rId26" Type="http://schemas.openxmlformats.org/officeDocument/2006/relationships/hyperlink" Target="https://www.telia.ee/images/documents/tt/est/tt_kaablikanali_rent.pdf" TargetMode="External"/><Relationship Id="rId39" Type="http://schemas.openxmlformats.org/officeDocument/2006/relationships/hyperlink" Target="https://berec.europa.eu/eng/document_register/subject_matter/berec/regulatory_best_practices/common_approaches_positions/1127-revised-berec-common-position-on-best-practice-in-remedies-on-the-market-for-wholesale-physical-network-infrastructure-access-including-shared-or-fully-unbundled-access-at-a-fixed-location-imposed-as-a-consequence-of-a-position-of-significant-market-power-in-the-relevant-market" TargetMode="External"/><Relationship Id="rId3" Type="http://schemas.openxmlformats.org/officeDocument/2006/relationships/hyperlink" Target="https://www.ttja.ee/sites/default/files/content-editors/Sideturg/II/lisa_1._t3a_turu_analuus_mte_maaramine_ja_kohustused_veebi.pdf" TargetMode="External"/><Relationship Id="rId21" Type="http://schemas.openxmlformats.org/officeDocument/2006/relationships/hyperlink" Target="https://www.ttja.ee/sites/default/files/content-editors/Sideturg/II/lisa_1._t3a_turu_analuus_mte_maaramine_ja_kohustused_veebi.pdf" TargetMode="External"/><Relationship Id="rId34" Type="http://schemas.openxmlformats.org/officeDocument/2006/relationships/hyperlink" Target="http://eur-lex.europa.eu/legal-content/EN-ET/TXT/?uri=CELEX:32002L0019&amp;from=EN" TargetMode="External"/><Relationship Id="rId42" Type="http://schemas.openxmlformats.org/officeDocument/2006/relationships/hyperlink" Target="https://www.telia.ee/images/documents/juhendid/est/telia_kaablikanalisatsiooni_kasutamise_tingimused.pdf" TargetMode="External"/><Relationship Id="rId47" Type="http://schemas.openxmlformats.org/officeDocument/2006/relationships/hyperlink" Target="https://www.ttja.ee/sites/default/files/content-editors/Sideturg/II/lisa_1._t3a_turu_analuus_mte_maaramine_ja_kohustused_veebi.pdf" TargetMode="External"/><Relationship Id="rId7" Type="http://schemas.openxmlformats.org/officeDocument/2006/relationships/hyperlink" Target="http://www.vallaste.ee/sona.ASP?Type=UserId&amp;otsing=1148%20" TargetMode="External"/><Relationship Id="rId12" Type="http://schemas.openxmlformats.org/officeDocument/2006/relationships/hyperlink" Target="https://berec.europa.eu/eng/document_register/subject_matter/berec/download/0/1100-glossary-of-terms-in-relation-to-the-ber_0.pdf" TargetMode="External"/><Relationship Id="rId17" Type="http://schemas.openxmlformats.org/officeDocument/2006/relationships/hyperlink" Target="https://www.telia.ee/images/documents/juhendid/est/telia_kaablikanalisatsiooni_kasutamise_tingimused.pdf" TargetMode="External"/><Relationship Id="rId25" Type="http://schemas.openxmlformats.org/officeDocument/2006/relationships/hyperlink" Target="https://www.telia.ee/images/documents/sideettevotjale/Optiline_juurdep%C3%A4%C3%A4suliin.pdf" TargetMode="External"/><Relationship Id="rId33" Type="http://schemas.openxmlformats.org/officeDocument/2006/relationships/hyperlink" Target="https://www.telia.ee/images/documents/tt/est/tt_optiline_juurdaasuliin_alates10032017.pdf" TargetMode="External"/><Relationship Id="rId38" Type="http://schemas.openxmlformats.org/officeDocument/2006/relationships/hyperlink" Target="http://eur-lex.europa.eu/legal-content/EN-ET/TXT/?uri=CELEX:32002L0019&amp;from=EN" TargetMode="External"/><Relationship Id="rId46" Type="http://schemas.openxmlformats.org/officeDocument/2006/relationships/hyperlink" Target="http://www.wik.org/fileadmin/Studien/2015/Competition_and_investment_superfast_broadband.pdf" TargetMode="External"/><Relationship Id="rId2" Type="http://schemas.openxmlformats.org/officeDocument/2006/relationships/hyperlink" Target="http://eur-lex.europa.eu/legal-content/EN/TXT/?uri=CELEX:32014H0710" TargetMode="External"/><Relationship Id="rId16" Type="http://schemas.openxmlformats.org/officeDocument/2006/relationships/hyperlink" Target="https://community.fs.com/blog/abc-of-pon-understanding-olt-onu-ont-and-odn.html" TargetMode="External"/><Relationship Id="rId20" Type="http://schemas.openxmlformats.org/officeDocument/2006/relationships/hyperlink" Target="https://berec.europa.eu/eng/document_register/subject_matter/berec/regulatory_best_practices/common_approaches_positions/1127-revised-berec-common-position-on-best-practice-in-remedies-on-the-market-for-wholesale-physical-network-infrastructure-access-including-shared-or-fully-unbundled-access-at-a-fixed-location-imposed-as-a-consequence-of-a-position-of-significant-market-power-in-the-relevant-market" TargetMode="External"/><Relationship Id="rId29" Type="http://schemas.openxmlformats.org/officeDocument/2006/relationships/hyperlink" Target="https://www.europacable.eu/wp-content/uploads/2017/07/Europacable_Introduction_to_Telecommunication_Cables_20_March_2013.pdf" TargetMode="External"/><Relationship Id="rId41" Type="http://schemas.openxmlformats.org/officeDocument/2006/relationships/hyperlink" Target="https://www.ttja.ee/sites/default/files/content-editors/Sideturg/II/lisa_1._t3a_turu_analuus_mte_maaramine_ja_kohustused_veebi.pdf" TargetMode="External"/><Relationship Id="rId1" Type="http://schemas.openxmlformats.org/officeDocument/2006/relationships/hyperlink" Target="http://eur-lex.europa.eu/legal-content/EN/TXT/PDF/?uri=CELEX:52002XC0711(02)&amp;from=EN" TargetMode="External"/><Relationship Id="rId6" Type="http://schemas.openxmlformats.org/officeDocument/2006/relationships/hyperlink" Target="http://eur-lex.europa.eu/legal-content/en/TXT/?uri=CELEX%3A52016SC0300" TargetMode="External"/><Relationship Id="rId11" Type="http://schemas.openxmlformats.org/officeDocument/2006/relationships/hyperlink" Target="https://berec.europa.eu/eng/document_register/subject_matter/berec/download/0/1100-glossary-of-terms-in-relation-to-the-ber_0.pdf" TargetMode="External"/><Relationship Id="rId24" Type="http://schemas.openxmlformats.org/officeDocument/2006/relationships/hyperlink" Target="https://www.telia.ee/images/documents/sideettevotjale/Vaskkaabli_ressurss.pdf" TargetMode="External"/><Relationship Id="rId32" Type="http://schemas.openxmlformats.org/officeDocument/2006/relationships/hyperlink" Target="https://www.telia.ee/images/documents/eeskirjad/vaskkaablipaari_rendi_eeskiri.pdf" TargetMode="External"/><Relationship Id="rId37" Type="http://schemas.openxmlformats.org/officeDocument/2006/relationships/hyperlink" Target="https://www.ttja.ee/sites/default/files/content-editors/Sideturg/II/lisa_1._t3a_turu_analuus_mte_maaramine_ja_kohustused_veebi.pdf" TargetMode="External"/><Relationship Id="rId40" Type="http://schemas.openxmlformats.org/officeDocument/2006/relationships/hyperlink" Target="https://www.ttja.ee/sites/default/files/content-editors/Sideturg/II/lisa_1._t3a_turu_analuus_mte_maaramine_ja_kohustused_veebi.pdf" TargetMode="External"/><Relationship Id="rId45" Type="http://schemas.openxmlformats.org/officeDocument/2006/relationships/hyperlink" Target="https://berec.europa.eu/eng/document_register/subject_matter/berec/download/0/8907-berec-report-regulatory-accounting-in-pr_0.pdf" TargetMode="External"/><Relationship Id="rId5" Type="http://schemas.openxmlformats.org/officeDocument/2006/relationships/hyperlink" Target="https://www.ttja.ee/sites/default/files/content-editors/Sideteenused/mobiilse_interneti_andmesidekiirused_eestis_09.2019.pdf" TargetMode="External"/><Relationship Id="rId15" Type="http://schemas.openxmlformats.org/officeDocument/2006/relationships/hyperlink" Target="https://berec.europa.eu/eng/document_register/subject_matter/berec/download/0/1100-glossary-of-terms-in-relation-to-the-ber_0.pdf" TargetMode="External"/><Relationship Id="rId23" Type="http://schemas.openxmlformats.org/officeDocument/2006/relationships/hyperlink" Target="https://www.telia.ee/images/documents/sideettevotjale/Kaablikanalisatsiooni_ava_rent.pdf" TargetMode="External"/><Relationship Id="rId28" Type="http://schemas.openxmlformats.org/officeDocument/2006/relationships/hyperlink" Target="https://www.slo.lv/upload/catalog/telekomunikacijas/draka.vara.telekomunikaciju.tiklu.kabeli.en.pdf" TargetMode="External"/><Relationship Id="rId36" Type="http://schemas.openxmlformats.org/officeDocument/2006/relationships/hyperlink" Target="https://www.ttja.ee/sites/default/files/content-editors/Sideturg/II/lisa_1._t3a_turu_analuus_mte_maaramine_ja_kohustused_veebi.pdf" TargetMode="External"/><Relationship Id="rId10" Type="http://schemas.openxmlformats.org/officeDocument/2006/relationships/hyperlink" Target="https://berec.europa.eu/eng/document_register/subject_matter/berec/download/0/1100-glossary-of-terms-in-relation-to-the-ber_0.pdf" TargetMode="External"/><Relationship Id="rId19" Type="http://schemas.openxmlformats.org/officeDocument/2006/relationships/hyperlink" Target="https://berec.europa.eu/" TargetMode="External"/><Relationship Id="rId31" Type="http://schemas.openxmlformats.org/officeDocument/2006/relationships/hyperlink" Target="https://www.ttja.ee/sites/default/files/content-editors/Sideturg/II/lisa_1._t3a_turu_analuus_mte_maaramine_ja_kohustused_veebi.pdf" TargetMode="External"/><Relationship Id="rId44" Type="http://schemas.openxmlformats.org/officeDocument/2006/relationships/hyperlink" Target="http://eur-lex.europa.eu/legal-content/ET/TXT/?uri=CELEX:32013H0466" TargetMode="External"/><Relationship Id="rId4" Type="http://schemas.openxmlformats.org/officeDocument/2006/relationships/hyperlink" Target="https://www.huawei.com/us/static/HW-278064.pdf" TargetMode="External"/><Relationship Id="rId9" Type="http://schemas.openxmlformats.org/officeDocument/2006/relationships/hyperlink" Target="http://www.vallaste.ee" TargetMode="External"/><Relationship Id="rId14" Type="http://schemas.openxmlformats.org/officeDocument/2006/relationships/hyperlink" Target="https://berec.europa.eu/eng/document_register/subject_matter/berec/download/0/1100-glossary-of-terms-in-relation-to-the-ber_0.pdf" TargetMode="External"/><Relationship Id="rId22" Type="http://schemas.openxmlformats.org/officeDocument/2006/relationships/hyperlink" Target="https://www.ttja.ee/sites/default/files/content-editors/Sideturg/II/lisa_1._t3a_turu_analuus_mte_maaramine_ja_kohustused_veebi.pdf" TargetMode="External"/><Relationship Id="rId27" Type="http://schemas.openxmlformats.org/officeDocument/2006/relationships/hyperlink" Target="https://www.telia.ee/images/documents/juhendid/est/telia_kaablikanalisatsiooni_kasutamise_tingimused.pdf" TargetMode="External"/><Relationship Id="rId30" Type="http://schemas.openxmlformats.org/officeDocument/2006/relationships/hyperlink" Target="https://www.ttja.ee/sites/default/files/content-editors/Sideturg/II/lisa_1._t3a_turu_analuus_mte_maaramine_ja_kohustused_veebi.pdf" TargetMode="External"/><Relationship Id="rId35" Type="http://schemas.openxmlformats.org/officeDocument/2006/relationships/hyperlink" Target="https://berec.europa.eu/eng/document_register/subject_matter/berec/regulatory_best_practices/common_approaches_positions/1127-revised-berec-common-position-on-best-practice-in-remedies-on-the-market-for-wholesale-physical-network-infrastructure-access-including-shared-or-fully-unbundled-access-at-a-fixed-location-imposed-as-a-consequence-of-a-position-of-significant-market-power-in-the-relevant-market" TargetMode="External"/><Relationship Id="rId43" Type="http://schemas.openxmlformats.org/officeDocument/2006/relationships/hyperlink" Target="http://eur-lex.europa.eu/legal-content/ET/TXT/?uri=CELEX:32013H046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ts.local\dfs$\ttja_osak\Sideosakond\Sideturu%20valdkond\MTE\MTE%20V%20ring\T3a-T3b\Anal&#252;&#252;s\Andm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ts.local\dfs$\ttja_osak\Sideosakond\Sideturu%20valdkond\MTE\MTE%20V%20ring\T3a-T3b\T3b\Andm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ts.local\dfs$\ttja_osak\Sideosakond\Sideturu%20valdkond\MTE\MTE%20V%20ring\T3a-T3b\Anal&#252;&#252;s\Andmed%20(telet).xlsb.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Jaeteenused!$A$54</c:f>
              <c:strCache>
                <c:ptCount val="1"/>
                <c:pt idx="0">
                  <c:v>Kokku</c:v>
                </c:pt>
              </c:strCache>
            </c:strRef>
          </c:tx>
          <c:spPr>
            <a:solidFill>
              <a:schemeClr val="accent1"/>
            </a:solidFill>
            <a:ln>
              <a:noFill/>
            </a:ln>
            <a:effectLst/>
          </c:spPr>
          <c:invertIfNegative val="0"/>
          <c:cat>
            <c:strRef>
              <c:f>Jaeteenused!$B$49:$Q$49</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 I pa 2019</c:v>
                </c:pt>
              </c:strCache>
            </c:strRef>
          </c:cat>
          <c:val>
            <c:numRef>
              <c:f>Jaeteenused!$B$54:$Q$54</c:f>
              <c:numCache>
                <c:formatCode>General</c:formatCode>
                <c:ptCount val="16"/>
                <c:pt idx="0">
                  <c:v>138.983</c:v>
                </c:pt>
                <c:pt idx="1">
                  <c:v>179.172</c:v>
                </c:pt>
                <c:pt idx="2">
                  <c:v>225.5</c:v>
                </c:pt>
                <c:pt idx="3">
                  <c:v>277.73115000000001</c:v>
                </c:pt>
                <c:pt idx="4">
                  <c:v>316.48099999999999</c:v>
                </c:pt>
                <c:pt idx="5">
                  <c:v>338.46600000000001</c:v>
                </c:pt>
                <c:pt idx="6">
                  <c:v>347.88299999999998</c:v>
                </c:pt>
                <c:pt idx="7">
                  <c:v>348.976</c:v>
                </c:pt>
                <c:pt idx="8">
                  <c:v>349.50700000000001</c:v>
                </c:pt>
                <c:pt idx="9">
                  <c:v>360.94800000000004</c:v>
                </c:pt>
                <c:pt idx="10">
                  <c:v>370.57900000000001</c:v>
                </c:pt>
                <c:pt idx="11">
                  <c:v>384.12900000000002</c:v>
                </c:pt>
                <c:pt idx="12">
                  <c:v>396.59499999999997</c:v>
                </c:pt>
                <c:pt idx="13">
                  <c:v>410.27999999999992</c:v>
                </c:pt>
                <c:pt idx="14">
                  <c:v>421.64</c:v>
                </c:pt>
                <c:pt idx="15">
                  <c:v>423.63299999999998</c:v>
                </c:pt>
              </c:numCache>
            </c:numRef>
          </c:val>
          <c:extLst>
            <c:ext xmlns:c16="http://schemas.microsoft.com/office/drawing/2014/chart" uri="{C3380CC4-5D6E-409C-BE32-E72D297353CC}">
              <c16:uniqueId val="{00000000-BA1B-4A51-B27C-7051B2BD2394}"/>
            </c:ext>
          </c:extLst>
        </c:ser>
        <c:dLbls>
          <c:showLegendKey val="0"/>
          <c:showVal val="0"/>
          <c:showCatName val="0"/>
          <c:showSerName val="0"/>
          <c:showPercent val="0"/>
          <c:showBubbleSize val="0"/>
        </c:dLbls>
        <c:gapWidth val="219"/>
        <c:overlap val="-27"/>
        <c:axId val="611389256"/>
        <c:axId val="611387944"/>
      </c:barChart>
      <c:catAx>
        <c:axId val="611389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11387944"/>
        <c:crosses val="autoZero"/>
        <c:auto val="1"/>
        <c:lblAlgn val="ctr"/>
        <c:lblOffset val="100"/>
        <c:noMultiLvlLbl val="0"/>
      </c:catAx>
      <c:valAx>
        <c:axId val="611387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11389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Jaeteenused!$A$34</c:f>
              <c:strCache>
                <c:ptCount val="1"/>
                <c:pt idx="0">
                  <c:v>Mob lairiba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Jaeteenused!$B$28:$O$28</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 I pa 2019</c:v>
                </c:pt>
              </c:strCache>
            </c:strRef>
          </c:cat>
          <c:val>
            <c:numRef>
              <c:f>Jaeteenused!$B$34:$O$34</c:f>
              <c:numCache>
                <c:formatCode>General</c:formatCode>
                <c:ptCount val="14"/>
                <c:pt idx="3" formatCode="0">
                  <c:v>22</c:v>
                </c:pt>
                <c:pt idx="4" formatCode="0">
                  <c:v>69.927000000000007</c:v>
                </c:pt>
                <c:pt idx="5" formatCode="0">
                  <c:v>143.57900000000001</c:v>
                </c:pt>
                <c:pt idx="6" formatCode="0">
                  <c:v>209.35599999999999</c:v>
                </c:pt>
                <c:pt idx="7" formatCode="0">
                  <c:v>224.36999999999998</c:v>
                </c:pt>
                <c:pt idx="8" formatCode="0">
                  <c:v>241.988</c:v>
                </c:pt>
                <c:pt idx="9" formatCode="0">
                  <c:v>225</c:v>
                </c:pt>
                <c:pt idx="10" formatCode="0">
                  <c:v>230.01900000000001</c:v>
                </c:pt>
                <c:pt idx="11" formatCode="0">
                  <c:v>231.953</c:v>
                </c:pt>
                <c:pt idx="12" formatCode="0">
                  <c:v>237.11700000000002</c:v>
                </c:pt>
                <c:pt idx="13" formatCode="0">
                  <c:v>246.14700000000002</c:v>
                </c:pt>
              </c:numCache>
            </c:numRef>
          </c:val>
          <c:extLst>
            <c:ext xmlns:c16="http://schemas.microsoft.com/office/drawing/2014/chart" uri="{C3380CC4-5D6E-409C-BE32-E72D297353CC}">
              <c16:uniqueId val="{00000000-FA19-40E4-825D-BB90E2B88D67}"/>
            </c:ext>
          </c:extLst>
        </c:ser>
        <c:ser>
          <c:idx val="2"/>
          <c:order val="1"/>
          <c:tx>
            <c:strRef>
              <c:f>Jaeteenused!$A$36</c:f>
              <c:strCache>
                <c:ptCount val="1"/>
                <c:pt idx="0">
                  <c:v>Fix andmeside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Jaeteenused!$B$28:$O$28</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 I pa 2019</c:v>
                </c:pt>
              </c:strCache>
            </c:strRef>
          </c:cat>
          <c:val>
            <c:numRef>
              <c:f>Jaeteenused!$B$36:$O$36</c:f>
              <c:numCache>
                <c:formatCode>0</c:formatCode>
                <c:ptCount val="14"/>
                <c:pt idx="0">
                  <c:v>228.14000000000001</c:v>
                </c:pt>
                <c:pt idx="1">
                  <c:v>277.73099999999999</c:v>
                </c:pt>
                <c:pt idx="2">
                  <c:v>316.44499999999999</c:v>
                </c:pt>
                <c:pt idx="3">
                  <c:v>338.84499999999997</c:v>
                </c:pt>
                <c:pt idx="4">
                  <c:v>347.88299999999998</c:v>
                </c:pt>
                <c:pt idx="5">
                  <c:v>348.94600000000003</c:v>
                </c:pt>
                <c:pt idx="6">
                  <c:v>363.74799999999993</c:v>
                </c:pt>
                <c:pt idx="7">
                  <c:v>374.35700000000003</c:v>
                </c:pt>
                <c:pt idx="8">
                  <c:v>381.245</c:v>
                </c:pt>
                <c:pt idx="9">
                  <c:v>384.12900000000002</c:v>
                </c:pt>
                <c:pt idx="10">
                  <c:v>384.80000000000007</c:v>
                </c:pt>
                <c:pt idx="11">
                  <c:v>392.488</c:v>
                </c:pt>
                <c:pt idx="12">
                  <c:v>397.589</c:v>
                </c:pt>
                <c:pt idx="13">
                  <c:v>396.78400000000005</c:v>
                </c:pt>
              </c:numCache>
            </c:numRef>
          </c:val>
          <c:extLst>
            <c:ext xmlns:c16="http://schemas.microsoft.com/office/drawing/2014/chart" uri="{C3380CC4-5D6E-409C-BE32-E72D297353CC}">
              <c16:uniqueId val="{00000001-FA19-40E4-825D-BB90E2B88D67}"/>
            </c:ext>
          </c:extLst>
        </c:ser>
        <c:dLbls>
          <c:showLegendKey val="0"/>
          <c:showVal val="0"/>
          <c:showCatName val="0"/>
          <c:showSerName val="0"/>
          <c:showPercent val="0"/>
          <c:showBubbleSize val="0"/>
        </c:dLbls>
        <c:gapWidth val="219"/>
        <c:overlap val="-27"/>
        <c:axId val="422905840"/>
        <c:axId val="422906496"/>
      </c:barChart>
      <c:catAx>
        <c:axId val="422905840"/>
        <c:scaling>
          <c:orientation val="minMax"/>
        </c:scaling>
        <c:delete val="0"/>
        <c:axPos val="b"/>
        <c:numFmt formatCode="#.##0;\-#.##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t-EE"/>
          </a:p>
        </c:txPr>
        <c:crossAx val="422906496"/>
        <c:crosses val="autoZero"/>
        <c:auto val="1"/>
        <c:lblAlgn val="ctr"/>
        <c:lblOffset val="100"/>
        <c:noMultiLvlLbl val="0"/>
      </c:catAx>
      <c:valAx>
        <c:axId val="42290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2290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3"/>
          <c:order val="3"/>
          <c:tx>
            <c:strRef>
              <c:f>Lõppkasutajad!$C$135</c:f>
              <c:strCache>
                <c:ptCount val="1"/>
                <c:pt idx="0">
                  <c:v>Kokku kasutada antud kliendiliine</c:v>
                </c:pt>
              </c:strCache>
            </c:strRef>
          </c:tx>
          <c:spPr>
            <a:solidFill>
              <a:schemeClr val="accent4"/>
            </a:solidFill>
            <a:ln>
              <a:noFill/>
            </a:ln>
            <a:effectLst/>
          </c:spPr>
          <c:dLbls>
            <c:dLbl>
              <c:idx val="0"/>
              <c:layout>
                <c:manualLayout>
                  <c:x val="3.888888888888889E-2"/>
                  <c:y val="-0.430555555555555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EA-4F90-857D-AE97E359398C}"/>
                </c:ext>
              </c:extLst>
            </c:dLbl>
            <c:dLbl>
              <c:idx val="1"/>
              <c:layout>
                <c:manualLayout>
                  <c:x val="1.9444444444444445E-2"/>
                  <c:y val="-0.34722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EA-4F90-857D-AE97E359398C}"/>
                </c:ext>
              </c:extLst>
            </c:dLbl>
            <c:dLbl>
              <c:idx val="2"/>
              <c:layout>
                <c:manualLayout>
                  <c:x val="2.7777777777777779E-3"/>
                  <c:y val="-0.305555555555555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EA-4F90-857D-AE97E359398C}"/>
                </c:ext>
              </c:extLst>
            </c:dLbl>
            <c:dLbl>
              <c:idx val="3"/>
              <c:layout>
                <c:manualLayout>
                  <c:x val="-2.7777777777777779E-3"/>
                  <c:y val="-0.28240740740740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EA-4F90-857D-AE97E359398C}"/>
                </c:ext>
              </c:extLst>
            </c:dLbl>
            <c:dLbl>
              <c:idx val="4"/>
              <c:layout>
                <c:manualLayout>
                  <c:x val="0"/>
                  <c:y val="-0.226851851851851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EA-4F90-857D-AE97E359398C}"/>
                </c:ext>
              </c:extLst>
            </c:dLbl>
            <c:dLbl>
              <c:idx val="5"/>
              <c:layout>
                <c:manualLayout>
                  <c:x val="-2.7777777777777779E-3"/>
                  <c:y val="-0.203703703703703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EA-4F90-857D-AE97E359398C}"/>
                </c:ext>
              </c:extLst>
            </c:dLbl>
            <c:dLbl>
              <c:idx val="6"/>
              <c:layout>
                <c:manualLayout>
                  <c:x val="5.5555555555554534E-3"/>
                  <c:y val="-0.15740740740740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EA-4F90-857D-AE97E359398C}"/>
                </c:ext>
              </c:extLst>
            </c:dLbl>
            <c:dLbl>
              <c:idx val="7"/>
              <c:layout>
                <c:manualLayout>
                  <c:x val="-1.6666666666666666E-2"/>
                  <c:y val="-0.12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EA-4F90-857D-AE97E35939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Lõppkasutajad!$D$131:$K$131</c:f>
              <c:strCache>
                <c:ptCount val="8"/>
                <c:pt idx="0">
                  <c:v>2012</c:v>
                </c:pt>
                <c:pt idx="1">
                  <c:v>2013</c:v>
                </c:pt>
                <c:pt idx="2">
                  <c:v>2014</c:v>
                </c:pt>
                <c:pt idx="3">
                  <c:v>2015</c:v>
                </c:pt>
                <c:pt idx="4">
                  <c:v>2016</c:v>
                </c:pt>
                <c:pt idx="5">
                  <c:v>2017</c:v>
                </c:pt>
                <c:pt idx="6">
                  <c:v>2018</c:v>
                </c:pt>
                <c:pt idx="7">
                  <c:v>I pa 2019</c:v>
                </c:pt>
              </c:strCache>
            </c:strRef>
          </c:cat>
          <c:val>
            <c:numRef>
              <c:f>Lõppkasutajad!$D$135:$K$135</c:f>
              <c:numCache>
                <c:formatCode>#,##0</c:formatCode>
                <c:ptCount val="8"/>
                <c:pt idx="0">
                  <c:v>5898</c:v>
                </c:pt>
                <c:pt idx="1">
                  <c:v>5008</c:v>
                </c:pt>
                <c:pt idx="2">
                  <c:v>4227</c:v>
                </c:pt>
                <c:pt idx="3">
                  <c:v>3809</c:v>
                </c:pt>
                <c:pt idx="4">
                  <c:v>3405</c:v>
                </c:pt>
                <c:pt idx="5">
                  <c:v>2474</c:v>
                </c:pt>
                <c:pt idx="6">
                  <c:v>1164</c:v>
                </c:pt>
                <c:pt idx="7">
                  <c:v>754</c:v>
                </c:pt>
              </c:numCache>
            </c:numRef>
          </c:val>
          <c:extLst>
            <c:ext xmlns:c16="http://schemas.microsoft.com/office/drawing/2014/chart" uri="{C3380CC4-5D6E-409C-BE32-E72D297353CC}">
              <c16:uniqueId val="{00000008-96EA-4F90-857D-AE97E359398C}"/>
            </c:ext>
          </c:extLst>
        </c:ser>
        <c:dLbls>
          <c:showLegendKey val="0"/>
          <c:showVal val="0"/>
          <c:showCatName val="0"/>
          <c:showSerName val="0"/>
          <c:showPercent val="0"/>
          <c:showBubbleSize val="0"/>
        </c:dLbls>
        <c:axId val="546029008"/>
        <c:axId val="546022448"/>
        <c:extLst>
          <c:ext xmlns:c15="http://schemas.microsoft.com/office/drawing/2012/chart" uri="{02D57815-91ED-43cb-92C2-25804820EDAC}">
            <c15:filteredAreaSeries>
              <c15:ser>
                <c:idx val="0"/>
                <c:order val="0"/>
                <c:tx>
                  <c:strRef>
                    <c:extLst>
                      <c:ext uri="{02D57815-91ED-43cb-92C2-25804820EDAC}">
                        <c15:formulaRef>
                          <c15:sqref>Lõppkasutajad!$C$132</c15:sqref>
                        </c15:formulaRef>
                      </c:ext>
                    </c:extLst>
                    <c:strCache>
                      <c:ptCount val="1"/>
                      <c:pt idx="0">
                        <c:v>Telia poolt kasutada antud kliendiliinid</c:v>
                      </c:pt>
                    </c:strCache>
                  </c:strRef>
                </c:tx>
                <c:spPr>
                  <a:solidFill>
                    <a:schemeClr val="accent1"/>
                  </a:solidFill>
                  <a:ln>
                    <a:noFill/>
                  </a:ln>
                  <a:effectLst/>
                </c:spPr>
                <c:cat>
                  <c:strRef>
                    <c:extLst>
                      <c:ext uri="{02D57815-91ED-43cb-92C2-25804820EDAC}">
                        <c15:formulaRef>
                          <c15:sqref>Lõppkasutajad!$D$131:$K$131</c15:sqref>
                        </c15:formulaRef>
                      </c:ext>
                    </c:extLst>
                    <c:strCache>
                      <c:ptCount val="8"/>
                      <c:pt idx="0">
                        <c:v>2012</c:v>
                      </c:pt>
                      <c:pt idx="1">
                        <c:v>2013</c:v>
                      </c:pt>
                      <c:pt idx="2">
                        <c:v>2014</c:v>
                      </c:pt>
                      <c:pt idx="3">
                        <c:v>2015</c:v>
                      </c:pt>
                      <c:pt idx="4">
                        <c:v>2016</c:v>
                      </c:pt>
                      <c:pt idx="5">
                        <c:v>2017</c:v>
                      </c:pt>
                      <c:pt idx="6">
                        <c:v>2018</c:v>
                      </c:pt>
                      <c:pt idx="7">
                        <c:v>I pa 2019</c:v>
                      </c:pt>
                    </c:strCache>
                  </c:strRef>
                </c:cat>
                <c:val>
                  <c:numRef>
                    <c:extLst>
                      <c:ext uri="{02D57815-91ED-43cb-92C2-25804820EDAC}">
                        <c15:formulaRef>
                          <c15:sqref>Lõppkasutajad!$D$132:$K$132</c15:sqref>
                        </c15:formulaRef>
                      </c:ext>
                    </c:extLst>
                    <c:numCache>
                      <c:formatCode>#,##0</c:formatCode>
                      <c:ptCount val="8"/>
                      <c:pt idx="0" formatCode="General">
                        <c:v>5821</c:v>
                      </c:pt>
                      <c:pt idx="1">
                        <c:v>4851</c:v>
                      </c:pt>
                      <c:pt idx="2">
                        <c:v>4041</c:v>
                      </c:pt>
                      <c:pt idx="3">
                        <c:v>3564</c:v>
                      </c:pt>
                      <c:pt idx="4" formatCode="General">
                        <c:v>3037</c:v>
                      </c:pt>
                      <c:pt idx="5">
                        <c:v>2465</c:v>
                      </c:pt>
                      <c:pt idx="6" formatCode="General">
                        <c:v>1155</c:v>
                      </c:pt>
                      <c:pt idx="7">
                        <c:v>745</c:v>
                      </c:pt>
                    </c:numCache>
                  </c:numRef>
                </c:val>
                <c:extLst>
                  <c:ext xmlns:c16="http://schemas.microsoft.com/office/drawing/2014/chart" uri="{C3380CC4-5D6E-409C-BE32-E72D297353CC}">
                    <c16:uniqueId val="{00000009-96EA-4F90-857D-AE97E359398C}"/>
                  </c:ext>
                </c:extLst>
              </c15:ser>
            </c15:filteredAreaSeries>
            <c15:filteredAreaSeries>
              <c15:ser>
                <c:idx val="1"/>
                <c:order val="1"/>
                <c:tx>
                  <c:strRef>
                    <c:extLst xmlns:c15="http://schemas.microsoft.com/office/drawing/2012/chart">
                      <c:ext xmlns:c15="http://schemas.microsoft.com/office/drawing/2012/chart" uri="{02D57815-91ED-43cb-92C2-25804820EDAC}">
                        <c15:formulaRef>
                          <c15:sqref>Lõppkasutajad!$C$133</c15:sqref>
                        </c15:formulaRef>
                      </c:ext>
                    </c:extLst>
                    <c:strCache>
                      <c:ptCount val="1"/>
                      <c:pt idx="0">
                        <c:v>Eleksi poolt kasutada antud kliendiliinid</c:v>
                      </c:pt>
                    </c:strCache>
                  </c:strRef>
                </c:tx>
                <c:spPr>
                  <a:solidFill>
                    <a:schemeClr val="accent2"/>
                  </a:solidFill>
                  <a:ln>
                    <a:noFill/>
                  </a:ln>
                  <a:effectLst/>
                </c:spPr>
                <c:cat>
                  <c:strRef>
                    <c:extLst xmlns:c15="http://schemas.microsoft.com/office/drawing/2012/chart">
                      <c:ext xmlns:c15="http://schemas.microsoft.com/office/drawing/2012/chart" uri="{02D57815-91ED-43cb-92C2-25804820EDAC}">
                        <c15:formulaRef>
                          <c15:sqref>Lõppkasutajad!$D$131:$K$131</c15:sqref>
                        </c15:formulaRef>
                      </c:ext>
                    </c:extLst>
                    <c:strCache>
                      <c:ptCount val="8"/>
                      <c:pt idx="0">
                        <c:v>2012</c:v>
                      </c:pt>
                      <c:pt idx="1">
                        <c:v>2013</c:v>
                      </c:pt>
                      <c:pt idx="2">
                        <c:v>2014</c:v>
                      </c:pt>
                      <c:pt idx="3">
                        <c:v>2015</c:v>
                      </c:pt>
                      <c:pt idx="4">
                        <c:v>2016</c:v>
                      </c:pt>
                      <c:pt idx="5">
                        <c:v>2017</c:v>
                      </c:pt>
                      <c:pt idx="6">
                        <c:v>2018</c:v>
                      </c:pt>
                      <c:pt idx="7">
                        <c:v>I pa 2019</c:v>
                      </c:pt>
                    </c:strCache>
                  </c:strRef>
                </c:cat>
                <c:val>
                  <c:numRef>
                    <c:extLst xmlns:c15="http://schemas.microsoft.com/office/drawing/2012/chart">
                      <c:ext xmlns:c15="http://schemas.microsoft.com/office/drawing/2012/chart" uri="{02D57815-91ED-43cb-92C2-25804820EDAC}">
                        <c15:formulaRef>
                          <c15:sqref>Lõppkasutajad!$D$133:$K$133</c15:sqref>
                        </c15:formulaRef>
                      </c:ext>
                    </c:extLst>
                    <c:numCache>
                      <c:formatCode>General</c:formatCode>
                      <c:ptCount val="8"/>
                      <c:pt idx="0">
                        <c:v>77</c:v>
                      </c:pt>
                      <c:pt idx="1">
                        <c:v>150</c:v>
                      </c:pt>
                      <c:pt idx="2">
                        <c:v>181</c:v>
                      </c:pt>
                      <c:pt idx="3">
                        <c:v>247</c:v>
                      </c:pt>
                      <c:pt idx="4">
                        <c:v>250</c:v>
                      </c:pt>
                    </c:numCache>
                  </c:numRef>
                </c:val>
                <c:extLst xmlns:c15="http://schemas.microsoft.com/office/drawing/2012/chart">
                  <c:ext xmlns:c16="http://schemas.microsoft.com/office/drawing/2014/chart" uri="{C3380CC4-5D6E-409C-BE32-E72D297353CC}">
                    <c16:uniqueId val="{0000000A-96EA-4F90-857D-AE97E359398C}"/>
                  </c:ext>
                </c:extLst>
              </c15:ser>
            </c15:filteredAreaSeries>
            <c15:filteredAreaSeries>
              <c15:ser>
                <c:idx val="2"/>
                <c:order val="2"/>
                <c:tx>
                  <c:strRef>
                    <c:extLst xmlns:c15="http://schemas.microsoft.com/office/drawing/2012/chart">
                      <c:ext xmlns:c15="http://schemas.microsoft.com/office/drawing/2012/chart" uri="{02D57815-91ED-43cb-92C2-25804820EDAC}">
                        <c15:formulaRef>
                          <c15:sqref>Lõppkasutajad!$C$134</c15:sqref>
                        </c15:formulaRef>
                      </c:ext>
                    </c:extLst>
                    <c:strCache>
                      <c:ptCount val="1"/>
                      <c:pt idx="0">
                        <c:v>Elisa poolt kasutada antud kliendiliinid</c:v>
                      </c:pt>
                    </c:strCache>
                  </c:strRef>
                </c:tx>
                <c:spPr>
                  <a:solidFill>
                    <a:schemeClr val="accent3"/>
                  </a:solidFill>
                  <a:ln>
                    <a:noFill/>
                  </a:ln>
                  <a:effectLst/>
                </c:spPr>
                <c:cat>
                  <c:strRef>
                    <c:extLst xmlns:c15="http://schemas.microsoft.com/office/drawing/2012/chart">
                      <c:ext xmlns:c15="http://schemas.microsoft.com/office/drawing/2012/chart" uri="{02D57815-91ED-43cb-92C2-25804820EDAC}">
                        <c15:formulaRef>
                          <c15:sqref>Lõppkasutajad!$D$131:$K$131</c15:sqref>
                        </c15:formulaRef>
                      </c:ext>
                    </c:extLst>
                    <c:strCache>
                      <c:ptCount val="8"/>
                      <c:pt idx="0">
                        <c:v>2012</c:v>
                      </c:pt>
                      <c:pt idx="1">
                        <c:v>2013</c:v>
                      </c:pt>
                      <c:pt idx="2">
                        <c:v>2014</c:v>
                      </c:pt>
                      <c:pt idx="3">
                        <c:v>2015</c:v>
                      </c:pt>
                      <c:pt idx="4">
                        <c:v>2016</c:v>
                      </c:pt>
                      <c:pt idx="5">
                        <c:v>2017</c:v>
                      </c:pt>
                      <c:pt idx="6">
                        <c:v>2018</c:v>
                      </c:pt>
                      <c:pt idx="7">
                        <c:v>I pa 2019</c:v>
                      </c:pt>
                    </c:strCache>
                  </c:strRef>
                </c:cat>
                <c:val>
                  <c:numRef>
                    <c:extLst xmlns:c15="http://schemas.microsoft.com/office/drawing/2012/chart">
                      <c:ext xmlns:c15="http://schemas.microsoft.com/office/drawing/2012/chart" uri="{02D57815-91ED-43cb-92C2-25804820EDAC}">
                        <c15:formulaRef>
                          <c15:sqref>Lõppkasutajad!$D$134:$K$134</c15:sqref>
                        </c15:formulaRef>
                      </c:ext>
                    </c:extLst>
                    <c:numCache>
                      <c:formatCode>General</c:formatCode>
                      <c:ptCount val="8"/>
                      <c:pt idx="0">
                        <c:v>0</c:v>
                      </c:pt>
                      <c:pt idx="1">
                        <c:v>7</c:v>
                      </c:pt>
                      <c:pt idx="2">
                        <c:v>5</c:v>
                      </c:pt>
                      <c:pt idx="3">
                        <c:v>4</c:v>
                      </c:pt>
                      <c:pt idx="4">
                        <c:v>9</c:v>
                      </c:pt>
                      <c:pt idx="5">
                        <c:v>9</c:v>
                      </c:pt>
                      <c:pt idx="6">
                        <c:v>9</c:v>
                      </c:pt>
                      <c:pt idx="7">
                        <c:v>9</c:v>
                      </c:pt>
                    </c:numCache>
                  </c:numRef>
                </c:val>
                <c:extLst xmlns:c15="http://schemas.microsoft.com/office/drawing/2012/chart">
                  <c:ext xmlns:c16="http://schemas.microsoft.com/office/drawing/2014/chart" uri="{C3380CC4-5D6E-409C-BE32-E72D297353CC}">
                    <c16:uniqueId val="{0000000B-96EA-4F90-857D-AE97E359398C}"/>
                  </c:ext>
                </c:extLst>
              </c15:ser>
            </c15:filteredAreaSeries>
          </c:ext>
        </c:extLst>
      </c:areaChart>
      <c:catAx>
        <c:axId val="546029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46022448"/>
        <c:crosses val="autoZero"/>
        <c:auto val="1"/>
        <c:lblAlgn val="ctr"/>
        <c:lblOffset val="100"/>
        <c:noMultiLvlLbl val="0"/>
      </c:catAx>
      <c:valAx>
        <c:axId val="546022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4602900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3116F-DF57-47B5-9ADC-D30890AAF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108</Pages>
  <Words>33136</Words>
  <Characters>261781</Characters>
  <Application>Microsoft Office Word</Application>
  <DocSecurity>0</DocSecurity>
  <Lines>2181</Lines>
  <Paragraphs>588</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2</vt:lpstr>
      <vt:lpstr>2</vt:lpstr>
    </vt:vector>
  </TitlesOfParts>
  <Company>Sideamet</Company>
  <LinksUpToDate>false</LinksUpToDate>
  <CharactersWithSpaces>294329</CharactersWithSpaces>
  <SharedDoc>false</SharedDoc>
  <HLinks>
    <vt:vector size="624" baseType="variant">
      <vt:variant>
        <vt:i4>8323188</vt:i4>
      </vt:variant>
      <vt:variant>
        <vt:i4>576</vt:i4>
      </vt:variant>
      <vt:variant>
        <vt:i4>0</vt:i4>
      </vt:variant>
      <vt:variant>
        <vt:i4>5</vt:i4>
      </vt:variant>
      <vt:variant>
        <vt:lpwstr>http://www.telekom.ee/</vt:lpwstr>
      </vt:variant>
      <vt:variant>
        <vt:lpwstr/>
      </vt:variant>
      <vt:variant>
        <vt:i4>1835057</vt:i4>
      </vt:variant>
      <vt:variant>
        <vt:i4>500</vt:i4>
      </vt:variant>
      <vt:variant>
        <vt:i4>0</vt:i4>
      </vt:variant>
      <vt:variant>
        <vt:i4>5</vt:i4>
      </vt:variant>
      <vt:variant>
        <vt:lpwstr/>
      </vt:variant>
      <vt:variant>
        <vt:lpwstr>_Toc453158377</vt:lpwstr>
      </vt:variant>
      <vt:variant>
        <vt:i4>1835057</vt:i4>
      </vt:variant>
      <vt:variant>
        <vt:i4>494</vt:i4>
      </vt:variant>
      <vt:variant>
        <vt:i4>0</vt:i4>
      </vt:variant>
      <vt:variant>
        <vt:i4>5</vt:i4>
      </vt:variant>
      <vt:variant>
        <vt:lpwstr/>
      </vt:variant>
      <vt:variant>
        <vt:lpwstr>_Toc453158376</vt:lpwstr>
      </vt:variant>
      <vt:variant>
        <vt:i4>1835057</vt:i4>
      </vt:variant>
      <vt:variant>
        <vt:i4>488</vt:i4>
      </vt:variant>
      <vt:variant>
        <vt:i4>0</vt:i4>
      </vt:variant>
      <vt:variant>
        <vt:i4>5</vt:i4>
      </vt:variant>
      <vt:variant>
        <vt:lpwstr/>
      </vt:variant>
      <vt:variant>
        <vt:lpwstr>_Toc453158375</vt:lpwstr>
      </vt:variant>
      <vt:variant>
        <vt:i4>1835057</vt:i4>
      </vt:variant>
      <vt:variant>
        <vt:i4>482</vt:i4>
      </vt:variant>
      <vt:variant>
        <vt:i4>0</vt:i4>
      </vt:variant>
      <vt:variant>
        <vt:i4>5</vt:i4>
      </vt:variant>
      <vt:variant>
        <vt:lpwstr/>
      </vt:variant>
      <vt:variant>
        <vt:lpwstr>_Toc453158374</vt:lpwstr>
      </vt:variant>
      <vt:variant>
        <vt:i4>1835057</vt:i4>
      </vt:variant>
      <vt:variant>
        <vt:i4>476</vt:i4>
      </vt:variant>
      <vt:variant>
        <vt:i4>0</vt:i4>
      </vt:variant>
      <vt:variant>
        <vt:i4>5</vt:i4>
      </vt:variant>
      <vt:variant>
        <vt:lpwstr/>
      </vt:variant>
      <vt:variant>
        <vt:lpwstr>_Toc453158373</vt:lpwstr>
      </vt:variant>
      <vt:variant>
        <vt:i4>1835057</vt:i4>
      </vt:variant>
      <vt:variant>
        <vt:i4>470</vt:i4>
      </vt:variant>
      <vt:variant>
        <vt:i4>0</vt:i4>
      </vt:variant>
      <vt:variant>
        <vt:i4>5</vt:i4>
      </vt:variant>
      <vt:variant>
        <vt:lpwstr/>
      </vt:variant>
      <vt:variant>
        <vt:lpwstr>_Toc453158372</vt:lpwstr>
      </vt:variant>
      <vt:variant>
        <vt:i4>1835057</vt:i4>
      </vt:variant>
      <vt:variant>
        <vt:i4>464</vt:i4>
      </vt:variant>
      <vt:variant>
        <vt:i4>0</vt:i4>
      </vt:variant>
      <vt:variant>
        <vt:i4>5</vt:i4>
      </vt:variant>
      <vt:variant>
        <vt:lpwstr/>
      </vt:variant>
      <vt:variant>
        <vt:lpwstr>_Toc453158371</vt:lpwstr>
      </vt:variant>
      <vt:variant>
        <vt:i4>1835057</vt:i4>
      </vt:variant>
      <vt:variant>
        <vt:i4>458</vt:i4>
      </vt:variant>
      <vt:variant>
        <vt:i4>0</vt:i4>
      </vt:variant>
      <vt:variant>
        <vt:i4>5</vt:i4>
      </vt:variant>
      <vt:variant>
        <vt:lpwstr/>
      </vt:variant>
      <vt:variant>
        <vt:lpwstr>_Toc453158370</vt:lpwstr>
      </vt:variant>
      <vt:variant>
        <vt:i4>1900593</vt:i4>
      </vt:variant>
      <vt:variant>
        <vt:i4>452</vt:i4>
      </vt:variant>
      <vt:variant>
        <vt:i4>0</vt:i4>
      </vt:variant>
      <vt:variant>
        <vt:i4>5</vt:i4>
      </vt:variant>
      <vt:variant>
        <vt:lpwstr/>
      </vt:variant>
      <vt:variant>
        <vt:lpwstr>_Toc453158369</vt:lpwstr>
      </vt:variant>
      <vt:variant>
        <vt:i4>1900593</vt:i4>
      </vt:variant>
      <vt:variant>
        <vt:i4>446</vt:i4>
      </vt:variant>
      <vt:variant>
        <vt:i4>0</vt:i4>
      </vt:variant>
      <vt:variant>
        <vt:i4>5</vt:i4>
      </vt:variant>
      <vt:variant>
        <vt:lpwstr/>
      </vt:variant>
      <vt:variant>
        <vt:lpwstr>_Toc453158368</vt:lpwstr>
      </vt:variant>
      <vt:variant>
        <vt:i4>1900593</vt:i4>
      </vt:variant>
      <vt:variant>
        <vt:i4>440</vt:i4>
      </vt:variant>
      <vt:variant>
        <vt:i4>0</vt:i4>
      </vt:variant>
      <vt:variant>
        <vt:i4>5</vt:i4>
      </vt:variant>
      <vt:variant>
        <vt:lpwstr/>
      </vt:variant>
      <vt:variant>
        <vt:lpwstr>_Toc453158367</vt:lpwstr>
      </vt:variant>
      <vt:variant>
        <vt:i4>1900593</vt:i4>
      </vt:variant>
      <vt:variant>
        <vt:i4>434</vt:i4>
      </vt:variant>
      <vt:variant>
        <vt:i4>0</vt:i4>
      </vt:variant>
      <vt:variant>
        <vt:i4>5</vt:i4>
      </vt:variant>
      <vt:variant>
        <vt:lpwstr/>
      </vt:variant>
      <vt:variant>
        <vt:lpwstr>_Toc453158366</vt:lpwstr>
      </vt:variant>
      <vt:variant>
        <vt:i4>1900593</vt:i4>
      </vt:variant>
      <vt:variant>
        <vt:i4>428</vt:i4>
      </vt:variant>
      <vt:variant>
        <vt:i4>0</vt:i4>
      </vt:variant>
      <vt:variant>
        <vt:i4>5</vt:i4>
      </vt:variant>
      <vt:variant>
        <vt:lpwstr/>
      </vt:variant>
      <vt:variant>
        <vt:lpwstr>_Toc453158365</vt:lpwstr>
      </vt:variant>
      <vt:variant>
        <vt:i4>1900593</vt:i4>
      </vt:variant>
      <vt:variant>
        <vt:i4>422</vt:i4>
      </vt:variant>
      <vt:variant>
        <vt:i4>0</vt:i4>
      </vt:variant>
      <vt:variant>
        <vt:i4>5</vt:i4>
      </vt:variant>
      <vt:variant>
        <vt:lpwstr/>
      </vt:variant>
      <vt:variant>
        <vt:lpwstr>_Toc453158364</vt:lpwstr>
      </vt:variant>
      <vt:variant>
        <vt:i4>1900593</vt:i4>
      </vt:variant>
      <vt:variant>
        <vt:i4>416</vt:i4>
      </vt:variant>
      <vt:variant>
        <vt:i4>0</vt:i4>
      </vt:variant>
      <vt:variant>
        <vt:i4>5</vt:i4>
      </vt:variant>
      <vt:variant>
        <vt:lpwstr/>
      </vt:variant>
      <vt:variant>
        <vt:lpwstr>_Toc453158363</vt:lpwstr>
      </vt:variant>
      <vt:variant>
        <vt:i4>1900593</vt:i4>
      </vt:variant>
      <vt:variant>
        <vt:i4>410</vt:i4>
      </vt:variant>
      <vt:variant>
        <vt:i4>0</vt:i4>
      </vt:variant>
      <vt:variant>
        <vt:i4>5</vt:i4>
      </vt:variant>
      <vt:variant>
        <vt:lpwstr/>
      </vt:variant>
      <vt:variant>
        <vt:lpwstr>_Toc453158362</vt:lpwstr>
      </vt:variant>
      <vt:variant>
        <vt:i4>1900593</vt:i4>
      </vt:variant>
      <vt:variant>
        <vt:i4>404</vt:i4>
      </vt:variant>
      <vt:variant>
        <vt:i4>0</vt:i4>
      </vt:variant>
      <vt:variant>
        <vt:i4>5</vt:i4>
      </vt:variant>
      <vt:variant>
        <vt:lpwstr/>
      </vt:variant>
      <vt:variant>
        <vt:lpwstr>_Toc453158361</vt:lpwstr>
      </vt:variant>
      <vt:variant>
        <vt:i4>1900593</vt:i4>
      </vt:variant>
      <vt:variant>
        <vt:i4>398</vt:i4>
      </vt:variant>
      <vt:variant>
        <vt:i4>0</vt:i4>
      </vt:variant>
      <vt:variant>
        <vt:i4>5</vt:i4>
      </vt:variant>
      <vt:variant>
        <vt:lpwstr/>
      </vt:variant>
      <vt:variant>
        <vt:lpwstr>_Toc453158360</vt:lpwstr>
      </vt:variant>
      <vt:variant>
        <vt:i4>1966129</vt:i4>
      </vt:variant>
      <vt:variant>
        <vt:i4>392</vt:i4>
      </vt:variant>
      <vt:variant>
        <vt:i4>0</vt:i4>
      </vt:variant>
      <vt:variant>
        <vt:i4>5</vt:i4>
      </vt:variant>
      <vt:variant>
        <vt:lpwstr/>
      </vt:variant>
      <vt:variant>
        <vt:lpwstr>_Toc453158359</vt:lpwstr>
      </vt:variant>
      <vt:variant>
        <vt:i4>1966129</vt:i4>
      </vt:variant>
      <vt:variant>
        <vt:i4>386</vt:i4>
      </vt:variant>
      <vt:variant>
        <vt:i4>0</vt:i4>
      </vt:variant>
      <vt:variant>
        <vt:i4>5</vt:i4>
      </vt:variant>
      <vt:variant>
        <vt:lpwstr/>
      </vt:variant>
      <vt:variant>
        <vt:lpwstr>_Toc453158358</vt:lpwstr>
      </vt:variant>
      <vt:variant>
        <vt:i4>1966129</vt:i4>
      </vt:variant>
      <vt:variant>
        <vt:i4>380</vt:i4>
      </vt:variant>
      <vt:variant>
        <vt:i4>0</vt:i4>
      </vt:variant>
      <vt:variant>
        <vt:i4>5</vt:i4>
      </vt:variant>
      <vt:variant>
        <vt:lpwstr/>
      </vt:variant>
      <vt:variant>
        <vt:lpwstr>_Toc453158357</vt:lpwstr>
      </vt:variant>
      <vt:variant>
        <vt:i4>1966129</vt:i4>
      </vt:variant>
      <vt:variant>
        <vt:i4>374</vt:i4>
      </vt:variant>
      <vt:variant>
        <vt:i4>0</vt:i4>
      </vt:variant>
      <vt:variant>
        <vt:i4>5</vt:i4>
      </vt:variant>
      <vt:variant>
        <vt:lpwstr/>
      </vt:variant>
      <vt:variant>
        <vt:lpwstr>_Toc453158356</vt:lpwstr>
      </vt:variant>
      <vt:variant>
        <vt:i4>1966129</vt:i4>
      </vt:variant>
      <vt:variant>
        <vt:i4>368</vt:i4>
      </vt:variant>
      <vt:variant>
        <vt:i4>0</vt:i4>
      </vt:variant>
      <vt:variant>
        <vt:i4>5</vt:i4>
      </vt:variant>
      <vt:variant>
        <vt:lpwstr/>
      </vt:variant>
      <vt:variant>
        <vt:lpwstr>_Toc453158355</vt:lpwstr>
      </vt:variant>
      <vt:variant>
        <vt:i4>1966129</vt:i4>
      </vt:variant>
      <vt:variant>
        <vt:i4>362</vt:i4>
      </vt:variant>
      <vt:variant>
        <vt:i4>0</vt:i4>
      </vt:variant>
      <vt:variant>
        <vt:i4>5</vt:i4>
      </vt:variant>
      <vt:variant>
        <vt:lpwstr/>
      </vt:variant>
      <vt:variant>
        <vt:lpwstr>_Toc453158354</vt:lpwstr>
      </vt:variant>
      <vt:variant>
        <vt:i4>1966129</vt:i4>
      </vt:variant>
      <vt:variant>
        <vt:i4>356</vt:i4>
      </vt:variant>
      <vt:variant>
        <vt:i4>0</vt:i4>
      </vt:variant>
      <vt:variant>
        <vt:i4>5</vt:i4>
      </vt:variant>
      <vt:variant>
        <vt:lpwstr/>
      </vt:variant>
      <vt:variant>
        <vt:lpwstr>_Toc453158353</vt:lpwstr>
      </vt:variant>
      <vt:variant>
        <vt:i4>1966129</vt:i4>
      </vt:variant>
      <vt:variant>
        <vt:i4>350</vt:i4>
      </vt:variant>
      <vt:variant>
        <vt:i4>0</vt:i4>
      </vt:variant>
      <vt:variant>
        <vt:i4>5</vt:i4>
      </vt:variant>
      <vt:variant>
        <vt:lpwstr/>
      </vt:variant>
      <vt:variant>
        <vt:lpwstr>_Toc453158352</vt:lpwstr>
      </vt:variant>
      <vt:variant>
        <vt:i4>1966129</vt:i4>
      </vt:variant>
      <vt:variant>
        <vt:i4>344</vt:i4>
      </vt:variant>
      <vt:variant>
        <vt:i4>0</vt:i4>
      </vt:variant>
      <vt:variant>
        <vt:i4>5</vt:i4>
      </vt:variant>
      <vt:variant>
        <vt:lpwstr/>
      </vt:variant>
      <vt:variant>
        <vt:lpwstr>_Toc453158351</vt:lpwstr>
      </vt:variant>
      <vt:variant>
        <vt:i4>1966129</vt:i4>
      </vt:variant>
      <vt:variant>
        <vt:i4>338</vt:i4>
      </vt:variant>
      <vt:variant>
        <vt:i4>0</vt:i4>
      </vt:variant>
      <vt:variant>
        <vt:i4>5</vt:i4>
      </vt:variant>
      <vt:variant>
        <vt:lpwstr/>
      </vt:variant>
      <vt:variant>
        <vt:lpwstr>_Toc453158350</vt:lpwstr>
      </vt:variant>
      <vt:variant>
        <vt:i4>2031665</vt:i4>
      </vt:variant>
      <vt:variant>
        <vt:i4>332</vt:i4>
      </vt:variant>
      <vt:variant>
        <vt:i4>0</vt:i4>
      </vt:variant>
      <vt:variant>
        <vt:i4>5</vt:i4>
      </vt:variant>
      <vt:variant>
        <vt:lpwstr/>
      </vt:variant>
      <vt:variant>
        <vt:lpwstr>_Toc453158349</vt:lpwstr>
      </vt:variant>
      <vt:variant>
        <vt:i4>2031665</vt:i4>
      </vt:variant>
      <vt:variant>
        <vt:i4>326</vt:i4>
      </vt:variant>
      <vt:variant>
        <vt:i4>0</vt:i4>
      </vt:variant>
      <vt:variant>
        <vt:i4>5</vt:i4>
      </vt:variant>
      <vt:variant>
        <vt:lpwstr/>
      </vt:variant>
      <vt:variant>
        <vt:lpwstr>_Toc453158348</vt:lpwstr>
      </vt:variant>
      <vt:variant>
        <vt:i4>2031665</vt:i4>
      </vt:variant>
      <vt:variant>
        <vt:i4>320</vt:i4>
      </vt:variant>
      <vt:variant>
        <vt:i4>0</vt:i4>
      </vt:variant>
      <vt:variant>
        <vt:i4>5</vt:i4>
      </vt:variant>
      <vt:variant>
        <vt:lpwstr/>
      </vt:variant>
      <vt:variant>
        <vt:lpwstr>_Toc453158347</vt:lpwstr>
      </vt:variant>
      <vt:variant>
        <vt:i4>2031665</vt:i4>
      </vt:variant>
      <vt:variant>
        <vt:i4>314</vt:i4>
      </vt:variant>
      <vt:variant>
        <vt:i4>0</vt:i4>
      </vt:variant>
      <vt:variant>
        <vt:i4>5</vt:i4>
      </vt:variant>
      <vt:variant>
        <vt:lpwstr/>
      </vt:variant>
      <vt:variant>
        <vt:lpwstr>_Toc453158346</vt:lpwstr>
      </vt:variant>
      <vt:variant>
        <vt:i4>2031665</vt:i4>
      </vt:variant>
      <vt:variant>
        <vt:i4>308</vt:i4>
      </vt:variant>
      <vt:variant>
        <vt:i4>0</vt:i4>
      </vt:variant>
      <vt:variant>
        <vt:i4>5</vt:i4>
      </vt:variant>
      <vt:variant>
        <vt:lpwstr/>
      </vt:variant>
      <vt:variant>
        <vt:lpwstr>_Toc453158345</vt:lpwstr>
      </vt:variant>
      <vt:variant>
        <vt:i4>2031665</vt:i4>
      </vt:variant>
      <vt:variant>
        <vt:i4>302</vt:i4>
      </vt:variant>
      <vt:variant>
        <vt:i4>0</vt:i4>
      </vt:variant>
      <vt:variant>
        <vt:i4>5</vt:i4>
      </vt:variant>
      <vt:variant>
        <vt:lpwstr/>
      </vt:variant>
      <vt:variant>
        <vt:lpwstr>_Toc453158344</vt:lpwstr>
      </vt:variant>
      <vt:variant>
        <vt:i4>2031665</vt:i4>
      </vt:variant>
      <vt:variant>
        <vt:i4>296</vt:i4>
      </vt:variant>
      <vt:variant>
        <vt:i4>0</vt:i4>
      </vt:variant>
      <vt:variant>
        <vt:i4>5</vt:i4>
      </vt:variant>
      <vt:variant>
        <vt:lpwstr/>
      </vt:variant>
      <vt:variant>
        <vt:lpwstr>_Toc453158343</vt:lpwstr>
      </vt:variant>
      <vt:variant>
        <vt:i4>2031665</vt:i4>
      </vt:variant>
      <vt:variant>
        <vt:i4>290</vt:i4>
      </vt:variant>
      <vt:variant>
        <vt:i4>0</vt:i4>
      </vt:variant>
      <vt:variant>
        <vt:i4>5</vt:i4>
      </vt:variant>
      <vt:variant>
        <vt:lpwstr/>
      </vt:variant>
      <vt:variant>
        <vt:lpwstr>_Toc453158342</vt:lpwstr>
      </vt:variant>
      <vt:variant>
        <vt:i4>2031665</vt:i4>
      </vt:variant>
      <vt:variant>
        <vt:i4>284</vt:i4>
      </vt:variant>
      <vt:variant>
        <vt:i4>0</vt:i4>
      </vt:variant>
      <vt:variant>
        <vt:i4>5</vt:i4>
      </vt:variant>
      <vt:variant>
        <vt:lpwstr/>
      </vt:variant>
      <vt:variant>
        <vt:lpwstr>_Toc453158341</vt:lpwstr>
      </vt:variant>
      <vt:variant>
        <vt:i4>2031665</vt:i4>
      </vt:variant>
      <vt:variant>
        <vt:i4>278</vt:i4>
      </vt:variant>
      <vt:variant>
        <vt:i4>0</vt:i4>
      </vt:variant>
      <vt:variant>
        <vt:i4>5</vt:i4>
      </vt:variant>
      <vt:variant>
        <vt:lpwstr/>
      </vt:variant>
      <vt:variant>
        <vt:lpwstr>_Toc453158340</vt:lpwstr>
      </vt:variant>
      <vt:variant>
        <vt:i4>1572913</vt:i4>
      </vt:variant>
      <vt:variant>
        <vt:i4>272</vt:i4>
      </vt:variant>
      <vt:variant>
        <vt:i4>0</vt:i4>
      </vt:variant>
      <vt:variant>
        <vt:i4>5</vt:i4>
      </vt:variant>
      <vt:variant>
        <vt:lpwstr/>
      </vt:variant>
      <vt:variant>
        <vt:lpwstr>_Toc453158339</vt:lpwstr>
      </vt:variant>
      <vt:variant>
        <vt:i4>1572913</vt:i4>
      </vt:variant>
      <vt:variant>
        <vt:i4>266</vt:i4>
      </vt:variant>
      <vt:variant>
        <vt:i4>0</vt:i4>
      </vt:variant>
      <vt:variant>
        <vt:i4>5</vt:i4>
      </vt:variant>
      <vt:variant>
        <vt:lpwstr/>
      </vt:variant>
      <vt:variant>
        <vt:lpwstr>_Toc453158338</vt:lpwstr>
      </vt:variant>
      <vt:variant>
        <vt:i4>1572913</vt:i4>
      </vt:variant>
      <vt:variant>
        <vt:i4>260</vt:i4>
      </vt:variant>
      <vt:variant>
        <vt:i4>0</vt:i4>
      </vt:variant>
      <vt:variant>
        <vt:i4>5</vt:i4>
      </vt:variant>
      <vt:variant>
        <vt:lpwstr/>
      </vt:variant>
      <vt:variant>
        <vt:lpwstr>_Toc453158337</vt:lpwstr>
      </vt:variant>
      <vt:variant>
        <vt:i4>1572913</vt:i4>
      </vt:variant>
      <vt:variant>
        <vt:i4>254</vt:i4>
      </vt:variant>
      <vt:variant>
        <vt:i4>0</vt:i4>
      </vt:variant>
      <vt:variant>
        <vt:i4>5</vt:i4>
      </vt:variant>
      <vt:variant>
        <vt:lpwstr/>
      </vt:variant>
      <vt:variant>
        <vt:lpwstr>_Toc453158336</vt:lpwstr>
      </vt:variant>
      <vt:variant>
        <vt:i4>1572913</vt:i4>
      </vt:variant>
      <vt:variant>
        <vt:i4>248</vt:i4>
      </vt:variant>
      <vt:variant>
        <vt:i4>0</vt:i4>
      </vt:variant>
      <vt:variant>
        <vt:i4>5</vt:i4>
      </vt:variant>
      <vt:variant>
        <vt:lpwstr/>
      </vt:variant>
      <vt:variant>
        <vt:lpwstr>_Toc453158335</vt:lpwstr>
      </vt:variant>
      <vt:variant>
        <vt:i4>1572913</vt:i4>
      </vt:variant>
      <vt:variant>
        <vt:i4>242</vt:i4>
      </vt:variant>
      <vt:variant>
        <vt:i4>0</vt:i4>
      </vt:variant>
      <vt:variant>
        <vt:i4>5</vt:i4>
      </vt:variant>
      <vt:variant>
        <vt:lpwstr/>
      </vt:variant>
      <vt:variant>
        <vt:lpwstr>_Toc453158334</vt:lpwstr>
      </vt:variant>
      <vt:variant>
        <vt:i4>1572913</vt:i4>
      </vt:variant>
      <vt:variant>
        <vt:i4>236</vt:i4>
      </vt:variant>
      <vt:variant>
        <vt:i4>0</vt:i4>
      </vt:variant>
      <vt:variant>
        <vt:i4>5</vt:i4>
      </vt:variant>
      <vt:variant>
        <vt:lpwstr/>
      </vt:variant>
      <vt:variant>
        <vt:lpwstr>_Toc453158333</vt:lpwstr>
      </vt:variant>
      <vt:variant>
        <vt:i4>1572913</vt:i4>
      </vt:variant>
      <vt:variant>
        <vt:i4>230</vt:i4>
      </vt:variant>
      <vt:variant>
        <vt:i4>0</vt:i4>
      </vt:variant>
      <vt:variant>
        <vt:i4>5</vt:i4>
      </vt:variant>
      <vt:variant>
        <vt:lpwstr/>
      </vt:variant>
      <vt:variant>
        <vt:lpwstr>_Toc453158332</vt:lpwstr>
      </vt:variant>
      <vt:variant>
        <vt:i4>1572913</vt:i4>
      </vt:variant>
      <vt:variant>
        <vt:i4>224</vt:i4>
      </vt:variant>
      <vt:variant>
        <vt:i4>0</vt:i4>
      </vt:variant>
      <vt:variant>
        <vt:i4>5</vt:i4>
      </vt:variant>
      <vt:variant>
        <vt:lpwstr/>
      </vt:variant>
      <vt:variant>
        <vt:lpwstr>_Toc453158331</vt:lpwstr>
      </vt:variant>
      <vt:variant>
        <vt:i4>1572913</vt:i4>
      </vt:variant>
      <vt:variant>
        <vt:i4>218</vt:i4>
      </vt:variant>
      <vt:variant>
        <vt:i4>0</vt:i4>
      </vt:variant>
      <vt:variant>
        <vt:i4>5</vt:i4>
      </vt:variant>
      <vt:variant>
        <vt:lpwstr/>
      </vt:variant>
      <vt:variant>
        <vt:lpwstr>_Toc453158330</vt:lpwstr>
      </vt:variant>
      <vt:variant>
        <vt:i4>1638449</vt:i4>
      </vt:variant>
      <vt:variant>
        <vt:i4>212</vt:i4>
      </vt:variant>
      <vt:variant>
        <vt:i4>0</vt:i4>
      </vt:variant>
      <vt:variant>
        <vt:i4>5</vt:i4>
      </vt:variant>
      <vt:variant>
        <vt:lpwstr/>
      </vt:variant>
      <vt:variant>
        <vt:lpwstr>_Toc453158329</vt:lpwstr>
      </vt:variant>
      <vt:variant>
        <vt:i4>1638449</vt:i4>
      </vt:variant>
      <vt:variant>
        <vt:i4>206</vt:i4>
      </vt:variant>
      <vt:variant>
        <vt:i4>0</vt:i4>
      </vt:variant>
      <vt:variant>
        <vt:i4>5</vt:i4>
      </vt:variant>
      <vt:variant>
        <vt:lpwstr/>
      </vt:variant>
      <vt:variant>
        <vt:lpwstr>_Toc453158328</vt:lpwstr>
      </vt:variant>
      <vt:variant>
        <vt:i4>1638449</vt:i4>
      </vt:variant>
      <vt:variant>
        <vt:i4>200</vt:i4>
      </vt:variant>
      <vt:variant>
        <vt:i4>0</vt:i4>
      </vt:variant>
      <vt:variant>
        <vt:i4>5</vt:i4>
      </vt:variant>
      <vt:variant>
        <vt:lpwstr/>
      </vt:variant>
      <vt:variant>
        <vt:lpwstr>_Toc453158327</vt:lpwstr>
      </vt:variant>
      <vt:variant>
        <vt:i4>1638449</vt:i4>
      </vt:variant>
      <vt:variant>
        <vt:i4>194</vt:i4>
      </vt:variant>
      <vt:variant>
        <vt:i4>0</vt:i4>
      </vt:variant>
      <vt:variant>
        <vt:i4>5</vt:i4>
      </vt:variant>
      <vt:variant>
        <vt:lpwstr/>
      </vt:variant>
      <vt:variant>
        <vt:lpwstr>_Toc453158326</vt:lpwstr>
      </vt:variant>
      <vt:variant>
        <vt:i4>1638449</vt:i4>
      </vt:variant>
      <vt:variant>
        <vt:i4>188</vt:i4>
      </vt:variant>
      <vt:variant>
        <vt:i4>0</vt:i4>
      </vt:variant>
      <vt:variant>
        <vt:i4>5</vt:i4>
      </vt:variant>
      <vt:variant>
        <vt:lpwstr/>
      </vt:variant>
      <vt:variant>
        <vt:lpwstr>_Toc453158325</vt:lpwstr>
      </vt:variant>
      <vt:variant>
        <vt:i4>1638449</vt:i4>
      </vt:variant>
      <vt:variant>
        <vt:i4>182</vt:i4>
      </vt:variant>
      <vt:variant>
        <vt:i4>0</vt:i4>
      </vt:variant>
      <vt:variant>
        <vt:i4>5</vt:i4>
      </vt:variant>
      <vt:variant>
        <vt:lpwstr/>
      </vt:variant>
      <vt:variant>
        <vt:lpwstr>_Toc453158324</vt:lpwstr>
      </vt:variant>
      <vt:variant>
        <vt:i4>1638449</vt:i4>
      </vt:variant>
      <vt:variant>
        <vt:i4>176</vt:i4>
      </vt:variant>
      <vt:variant>
        <vt:i4>0</vt:i4>
      </vt:variant>
      <vt:variant>
        <vt:i4>5</vt:i4>
      </vt:variant>
      <vt:variant>
        <vt:lpwstr/>
      </vt:variant>
      <vt:variant>
        <vt:lpwstr>_Toc453158323</vt:lpwstr>
      </vt:variant>
      <vt:variant>
        <vt:i4>1638449</vt:i4>
      </vt:variant>
      <vt:variant>
        <vt:i4>170</vt:i4>
      </vt:variant>
      <vt:variant>
        <vt:i4>0</vt:i4>
      </vt:variant>
      <vt:variant>
        <vt:i4>5</vt:i4>
      </vt:variant>
      <vt:variant>
        <vt:lpwstr/>
      </vt:variant>
      <vt:variant>
        <vt:lpwstr>_Toc453158322</vt:lpwstr>
      </vt:variant>
      <vt:variant>
        <vt:i4>1638449</vt:i4>
      </vt:variant>
      <vt:variant>
        <vt:i4>164</vt:i4>
      </vt:variant>
      <vt:variant>
        <vt:i4>0</vt:i4>
      </vt:variant>
      <vt:variant>
        <vt:i4>5</vt:i4>
      </vt:variant>
      <vt:variant>
        <vt:lpwstr/>
      </vt:variant>
      <vt:variant>
        <vt:lpwstr>_Toc453158321</vt:lpwstr>
      </vt:variant>
      <vt:variant>
        <vt:i4>1638449</vt:i4>
      </vt:variant>
      <vt:variant>
        <vt:i4>158</vt:i4>
      </vt:variant>
      <vt:variant>
        <vt:i4>0</vt:i4>
      </vt:variant>
      <vt:variant>
        <vt:i4>5</vt:i4>
      </vt:variant>
      <vt:variant>
        <vt:lpwstr/>
      </vt:variant>
      <vt:variant>
        <vt:lpwstr>_Toc453158320</vt:lpwstr>
      </vt:variant>
      <vt:variant>
        <vt:i4>1703985</vt:i4>
      </vt:variant>
      <vt:variant>
        <vt:i4>152</vt:i4>
      </vt:variant>
      <vt:variant>
        <vt:i4>0</vt:i4>
      </vt:variant>
      <vt:variant>
        <vt:i4>5</vt:i4>
      </vt:variant>
      <vt:variant>
        <vt:lpwstr/>
      </vt:variant>
      <vt:variant>
        <vt:lpwstr>_Toc453158319</vt:lpwstr>
      </vt:variant>
      <vt:variant>
        <vt:i4>1703985</vt:i4>
      </vt:variant>
      <vt:variant>
        <vt:i4>146</vt:i4>
      </vt:variant>
      <vt:variant>
        <vt:i4>0</vt:i4>
      </vt:variant>
      <vt:variant>
        <vt:i4>5</vt:i4>
      </vt:variant>
      <vt:variant>
        <vt:lpwstr/>
      </vt:variant>
      <vt:variant>
        <vt:lpwstr>_Toc453158318</vt:lpwstr>
      </vt:variant>
      <vt:variant>
        <vt:i4>1703985</vt:i4>
      </vt:variant>
      <vt:variant>
        <vt:i4>140</vt:i4>
      </vt:variant>
      <vt:variant>
        <vt:i4>0</vt:i4>
      </vt:variant>
      <vt:variant>
        <vt:i4>5</vt:i4>
      </vt:variant>
      <vt:variant>
        <vt:lpwstr/>
      </vt:variant>
      <vt:variant>
        <vt:lpwstr>_Toc453158317</vt:lpwstr>
      </vt:variant>
      <vt:variant>
        <vt:i4>1703985</vt:i4>
      </vt:variant>
      <vt:variant>
        <vt:i4>134</vt:i4>
      </vt:variant>
      <vt:variant>
        <vt:i4>0</vt:i4>
      </vt:variant>
      <vt:variant>
        <vt:i4>5</vt:i4>
      </vt:variant>
      <vt:variant>
        <vt:lpwstr/>
      </vt:variant>
      <vt:variant>
        <vt:lpwstr>_Toc453158316</vt:lpwstr>
      </vt:variant>
      <vt:variant>
        <vt:i4>1703985</vt:i4>
      </vt:variant>
      <vt:variant>
        <vt:i4>128</vt:i4>
      </vt:variant>
      <vt:variant>
        <vt:i4>0</vt:i4>
      </vt:variant>
      <vt:variant>
        <vt:i4>5</vt:i4>
      </vt:variant>
      <vt:variant>
        <vt:lpwstr/>
      </vt:variant>
      <vt:variant>
        <vt:lpwstr>_Toc453158315</vt:lpwstr>
      </vt:variant>
      <vt:variant>
        <vt:i4>1703985</vt:i4>
      </vt:variant>
      <vt:variant>
        <vt:i4>122</vt:i4>
      </vt:variant>
      <vt:variant>
        <vt:i4>0</vt:i4>
      </vt:variant>
      <vt:variant>
        <vt:i4>5</vt:i4>
      </vt:variant>
      <vt:variant>
        <vt:lpwstr/>
      </vt:variant>
      <vt:variant>
        <vt:lpwstr>_Toc453158314</vt:lpwstr>
      </vt:variant>
      <vt:variant>
        <vt:i4>1703985</vt:i4>
      </vt:variant>
      <vt:variant>
        <vt:i4>116</vt:i4>
      </vt:variant>
      <vt:variant>
        <vt:i4>0</vt:i4>
      </vt:variant>
      <vt:variant>
        <vt:i4>5</vt:i4>
      </vt:variant>
      <vt:variant>
        <vt:lpwstr/>
      </vt:variant>
      <vt:variant>
        <vt:lpwstr>_Toc453158313</vt:lpwstr>
      </vt:variant>
      <vt:variant>
        <vt:i4>1703985</vt:i4>
      </vt:variant>
      <vt:variant>
        <vt:i4>110</vt:i4>
      </vt:variant>
      <vt:variant>
        <vt:i4>0</vt:i4>
      </vt:variant>
      <vt:variant>
        <vt:i4>5</vt:i4>
      </vt:variant>
      <vt:variant>
        <vt:lpwstr/>
      </vt:variant>
      <vt:variant>
        <vt:lpwstr>_Toc453158312</vt:lpwstr>
      </vt:variant>
      <vt:variant>
        <vt:i4>1703985</vt:i4>
      </vt:variant>
      <vt:variant>
        <vt:i4>104</vt:i4>
      </vt:variant>
      <vt:variant>
        <vt:i4>0</vt:i4>
      </vt:variant>
      <vt:variant>
        <vt:i4>5</vt:i4>
      </vt:variant>
      <vt:variant>
        <vt:lpwstr/>
      </vt:variant>
      <vt:variant>
        <vt:lpwstr>_Toc453158311</vt:lpwstr>
      </vt:variant>
      <vt:variant>
        <vt:i4>1703985</vt:i4>
      </vt:variant>
      <vt:variant>
        <vt:i4>98</vt:i4>
      </vt:variant>
      <vt:variant>
        <vt:i4>0</vt:i4>
      </vt:variant>
      <vt:variant>
        <vt:i4>5</vt:i4>
      </vt:variant>
      <vt:variant>
        <vt:lpwstr/>
      </vt:variant>
      <vt:variant>
        <vt:lpwstr>_Toc453158310</vt:lpwstr>
      </vt:variant>
      <vt:variant>
        <vt:i4>1769521</vt:i4>
      </vt:variant>
      <vt:variant>
        <vt:i4>92</vt:i4>
      </vt:variant>
      <vt:variant>
        <vt:i4>0</vt:i4>
      </vt:variant>
      <vt:variant>
        <vt:i4>5</vt:i4>
      </vt:variant>
      <vt:variant>
        <vt:lpwstr/>
      </vt:variant>
      <vt:variant>
        <vt:lpwstr>_Toc453158309</vt:lpwstr>
      </vt:variant>
      <vt:variant>
        <vt:i4>1769521</vt:i4>
      </vt:variant>
      <vt:variant>
        <vt:i4>86</vt:i4>
      </vt:variant>
      <vt:variant>
        <vt:i4>0</vt:i4>
      </vt:variant>
      <vt:variant>
        <vt:i4>5</vt:i4>
      </vt:variant>
      <vt:variant>
        <vt:lpwstr/>
      </vt:variant>
      <vt:variant>
        <vt:lpwstr>_Toc453158308</vt:lpwstr>
      </vt:variant>
      <vt:variant>
        <vt:i4>1769521</vt:i4>
      </vt:variant>
      <vt:variant>
        <vt:i4>80</vt:i4>
      </vt:variant>
      <vt:variant>
        <vt:i4>0</vt:i4>
      </vt:variant>
      <vt:variant>
        <vt:i4>5</vt:i4>
      </vt:variant>
      <vt:variant>
        <vt:lpwstr/>
      </vt:variant>
      <vt:variant>
        <vt:lpwstr>_Toc453158307</vt:lpwstr>
      </vt:variant>
      <vt:variant>
        <vt:i4>1769521</vt:i4>
      </vt:variant>
      <vt:variant>
        <vt:i4>74</vt:i4>
      </vt:variant>
      <vt:variant>
        <vt:i4>0</vt:i4>
      </vt:variant>
      <vt:variant>
        <vt:i4>5</vt:i4>
      </vt:variant>
      <vt:variant>
        <vt:lpwstr/>
      </vt:variant>
      <vt:variant>
        <vt:lpwstr>_Toc453158306</vt:lpwstr>
      </vt:variant>
      <vt:variant>
        <vt:i4>1769521</vt:i4>
      </vt:variant>
      <vt:variant>
        <vt:i4>68</vt:i4>
      </vt:variant>
      <vt:variant>
        <vt:i4>0</vt:i4>
      </vt:variant>
      <vt:variant>
        <vt:i4>5</vt:i4>
      </vt:variant>
      <vt:variant>
        <vt:lpwstr/>
      </vt:variant>
      <vt:variant>
        <vt:lpwstr>_Toc453158305</vt:lpwstr>
      </vt:variant>
      <vt:variant>
        <vt:i4>1769521</vt:i4>
      </vt:variant>
      <vt:variant>
        <vt:i4>62</vt:i4>
      </vt:variant>
      <vt:variant>
        <vt:i4>0</vt:i4>
      </vt:variant>
      <vt:variant>
        <vt:i4>5</vt:i4>
      </vt:variant>
      <vt:variant>
        <vt:lpwstr/>
      </vt:variant>
      <vt:variant>
        <vt:lpwstr>_Toc453158304</vt:lpwstr>
      </vt:variant>
      <vt:variant>
        <vt:i4>1769521</vt:i4>
      </vt:variant>
      <vt:variant>
        <vt:i4>56</vt:i4>
      </vt:variant>
      <vt:variant>
        <vt:i4>0</vt:i4>
      </vt:variant>
      <vt:variant>
        <vt:i4>5</vt:i4>
      </vt:variant>
      <vt:variant>
        <vt:lpwstr/>
      </vt:variant>
      <vt:variant>
        <vt:lpwstr>_Toc453158303</vt:lpwstr>
      </vt:variant>
      <vt:variant>
        <vt:i4>1769521</vt:i4>
      </vt:variant>
      <vt:variant>
        <vt:i4>50</vt:i4>
      </vt:variant>
      <vt:variant>
        <vt:i4>0</vt:i4>
      </vt:variant>
      <vt:variant>
        <vt:i4>5</vt:i4>
      </vt:variant>
      <vt:variant>
        <vt:lpwstr/>
      </vt:variant>
      <vt:variant>
        <vt:lpwstr>_Toc453158302</vt:lpwstr>
      </vt:variant>
      <vt:variant>
        <vt:i4>1769521</vt:i4>
      </vt:variant>
      <vt:variant>
        <vt:i4>44</vt:i4>
      </vt:variant>
      <vt:variant>
        <vt:i4>0</vt:i4>
      </vt:variant>
      <vt:variant>
        <vt:i4>5</vt:i4>
      </vt:variant>
      <vt:variant>
        <vt:lpwstr/>
      </vt:variant>
      <vt:variant>
        <vt:lpwstr>_Toc453158301</vt:lpwstr>
      </vt:variant>
      <vt:variant>
        <vt:i4>1769521</vt:i4>
      </vt:variant>
      <vt:variant>
        <vt:i4>38</vt:i4>
      </vt:variant>
      <vt:variant>
        <vt:i4>0</vt:i4>
      </vt:variant>
      <vt:variant>
        <vt:i4>5</vt:i4>
      </vt:variant>
      <vt:variant>
        <vt:lpwstr/>
      </vt:variant>
      <vt:variant>
        <vt:lpwstr>_Toc453158300</vt:lpwstr>
      </vt:variant>
      <vt:variant>
        <vt:i4>1179696</vt:i4>
      </vt:variant>
      <vt:variant>
        <vt:i4>32</vt:i4>
      </vt:variant>
      <vt:variant>
        <vt:i4>0</vt:i4>
      </vt:variant>
      <vt:variant>
        <vt:i4>5</vt:i4>
      </vt:variant>
      <vt:variant>
        <vt:lpwstr/>
      </vt:variant>
      <vt:variant>
        <vt:lpwstr>_Toc453158299</vt:lpwstr>
      </vt:variant>
      <vt:variant>
        <vt:i4>1179696</vt:i4>
      </vt:variant>
      <vt:variant>
        <vt:i4>26</vt:i4>
      </vt:variant>
      <vt:variant>
        <vt:i4>0</vt:i4>
      </vt:variant>
      <vt:variant>
        <vt:i4>5</vt:i4>
      </vt:variant>
      <vt:variant>
        <vt:lpwstr/>
      </vt:variant>
      <vt:variant>
        <vt:lpwstr>_Toc453158298</vt:lpwstr>
      </vt:variant>
      <vt:variant>
        <vt:i4>1179696</vt:i4>
      </vt:variant>
      <vt:variant>
        <vt:i4>20</vt:i4>
      </vt:variant>
      <vt:variant>
        <vt:i4>0</vt:i4>
      </vt:variant>
      <vt:variant>
        <vt:i4>5</vt:i4>
      </vt:variant>
      <vt:variant>
        <vt:lpwstr/>
      </vt:variant>
      <vt:variant>
        <vt:lpwstr>_Toc453158297</vt:lpwstr>
      </vt:variant>
      <vt:variant>
        <vt:i4>1179696</vt:i4>
      </vt:variant>
      <vt:variant>
        <vt:i4>14</vt:i4>
      </vt:variant>
      <vt:variant>
        <vt:i4>0</vt:i4>
      </vt:variant>
      <vt:variant>
        <vt:i4>5</vt:i4>
      </vt:variant>
      <vt:variant>
        <vt:lpwstr/>
      </vt:variant>
      <vt:variant>
        <vt:lpwstr>_Toc453158296</vt:lpwstr>
      </vt:variant>
      <vt:variant>
        <vt:i4>1179696</vt:i4>
      </vt:variant>
      <vt:variant>
        <vt:i4>8</vt:i4>
      </vt:variant>
      <vt:variant>
        <vt:i4>0</vt:i4>
      </vt:variant>
      <vt:variant>
        <vt:i4>5</vt:i4>
      </vt:variant>
      <vt:variant>
        <vt:lpwstr/>
      </vt:variant>
      <vt:variant>
        <vt:lpwstr>_Toc453158295</vt:lpwstr>
      </vt:variant>
      <vt:variant>
        <vt:i4>1179696</vt:i4>
      </vt:variant>
      <vt:variant>
        <vt:i4>2</vt:i4>
      </vt:variant>
      <vt:variant>
        <vt:i4>0</vt:i4>
      </vt:variant>
      <vt:variant>
        <vt:i4>5</vt:i4>
      </vt:variant>
      <vt:variant>
        <vt:lpwstr/>
      </vt:variant>
      <vt:variant>
        <vt:lpwstr>_Toc453158294</vt:lpwstr>
      </vt:variant>
      <vt:variant>
        <vt:i4>2228265</vt:i4>
      </vt:variant>
      <vt:variant>
        <vt:i4>54</vt:i4>
      </vt:variant>
      <vt:variant>
        <vt:i4>0</vt:i4>
      </vt:variant>
      <vt:variant>
        <vt:i4>5</vt:i4>
      </vt:variant>
      <vt:variant>
        <vt:lpwstr>http://www.konkurentsiamet.ee/?id=10767</vt:lpwstr>
      </vt:variant>
      <vt:variant>
        <vt:lpwstr/>
      </vt:variant>
      <vt:variant>
        <vt:i4>2228265</vt:i4>
      </vt:variant>
      <vt:variant>
        <vt:i4>51</vt:i4>
      </vt:variant>
      <vt:variant>
        <vt:i4>0</vt:i4>
      </vt:variant>
      <vt:variant>
        <vt:i4>5</vt:i4>
      </vt:variant>
      <vt:variant>
        <vt:lpwstr>http://www.konkurentsiamet.ee/?id=10767</vt:lpwstr>
      </vt:variant>
      <vt:variant>
        <vt:lpwstr/>
      </vt:variant>
      <vt:variant>
        <vt:i4>5177425</vt:i4>
      </vt:variant>
      <vt:variant>
        <vt:i4>48</vt:i4>
      </vt:variant>
      <vt:variant>
        <vt:i4>0</vt:i4>
      </vt:variant>
      <vt:variant>
        <vt:i4>5</vt:i4>
      </vt:variant>
      <vt:variant>
        <vt:lpwstr>http://www.keepeek.com/Digital-Asset-Management/oecd/science-and-technology/oecd-communications-outlook-2013_comms_outlook-2013-en</vt:lpwstr>
      </vt:variant>
      <vt:variant>
        <vt:lpwstr>page216</vt:lpwstr>
      </vt:variant>
      <vt:variant>
        <vt:i4>4456450</vt:i4>
      </vt:variant>
      <vt:variant>
        <vt:i4>45</vt:i4>
      </vt:variant>
      <vt:variant>
        <vt:i4>0</vt:i4>
      </vt:variant>
      <vt:variant>
        <vt:i4>5</vt:i4>
      </vt:variant>
      <vt:variant>
        <vt:lpwstr>http://eur-lex.europa.eu/LexUriServ/LexUriServ.do?uri=CELEX:32010H0572:EN:NOT</vt:lpwstr>
      </vt:variant>
      <vt:variant>
        <vt:lpwstr/>
      </vt:variant>
      <vt:variant>
        <vt:i4>3407995</vt:i4>
      </vt:variant>
      <vt:variant>
        <vt:i4>42</vt:i4>
      </vt:variant>
      <vt:variant>
        <vt:i4>0</vt:i4>
      </vt:variant>
      <vt:variant>
        <vt:i4>5</vt:i4>
      </vt:variant>
      <vt:variant>
        <vt:lpwstr>http://berec.europa.eu/eng/document_register/subject_matter/berec/reports/973-berec-report-on-the-regulatory-accounting-in-practice-2012</vt:lpwstr>
      </vt:variant>
      <vt:variant>
        <vt:lpwstr/>
      </vt:variant>
      <vt:variant>
        <vt:i4>6815852</vt:i4>
      </vt:variant>
      <vt:variant>
        <vt:i4>39</vt:i4>
      </vt:variant>
      <vt:variant>
        <vt:i4>0</vt:i4>
      </vt:variant>
      <vt:variant>
        <vt:i4>5</vt:i4>
      </vt:variant>
      <vt:variant>
        <vt:lpwstr>https://ec.europa.eu/digital-agenda/sites/digital-agenda/files/DAE SCOREBOARD 2013 - SWD 2013 217 FINAL.pdf</vt:lpwstr>
      </vt:variant>
      <vt:variant>
        <vt:lpwstr/>
      </vt:variant>
      <vt:variant>
        <vt:i4>6815852</vt:i4>
      </vt:variant>
      <vt:variant>
        <vt:i4>36</vt:i4>
      </vt:variant>
      <vt:variant>
        <vt:i4>0</vt:i4>
      </vt:variant>
      <vt:variant>
        <vt:i4>5</vt:i4>
      </vt:variant>
      <vt:variant>
        <vt:lpwstr>https://ec.europa.eu/digital-agenda/sites/digital-agenda/files/DAE SCOREBOARD 2013 - SWD 2013 217 FINAL.pdf</vt:lpwstr>
      </vt:variant>
      <vt:variant>
        <vt:lpwstr/>
      </vt:variant>
      <vt:variant>
        <vt:i4>6815852</vt:i4>
      </vt:variant>
      <vt:variant>
        <vt:i4>33</vt:i4>
      </vt:variant>
      <vt:variant>
        <vt:i4>0</vt:i4>
      </vt:variant>
      <vt:variant>
        <vt:i4>5</vt:i4>
      </vt:variant>
      <vt:variant>
        <vt:lpwstr>https://ec.europa.eu/digital-agenda/sites/digital-agenda/files/DAE SCOREBOARD 2013 - SWD 2013 217 FINAL.pdf</vt:lpwstr>
      </vt:variant>
      <vt:variant>
        <vt:lpwstr/>
      </vt:variant>
      <vt:variant>
        <vt:i4>3407995</vt:i4>
      </vt:variant>
      <vt:variant>
        <vt:i4>30</vt:i4>
      </vt:variant>
      <vt:variant>
        <vt:i4>0</vt:i4>
      </vt:variant>
      <vt:variant>
        <vt:i4>5</vt:i4>
      </vt:variant>
      <vt:variant>
        <vt:lpwstr>http://berec.europa.eu/eng/document_register/subject_matter/berec/reports/973-berec-report-on-the-regulatory-accounting-in-practice-2012</vt:lpwstr>
      </vt:variant>
      <vt:variant>
        <vt:lpwstr/>
      </vt:variant>
      <vt:variant>
        <vt:i4>3407995</vt:i4>
      </vt:variant>
      <vt:variant>
        <vt:i4>27</vt:i4>
      </vt:variant>
      <vt:variant>
        <vt:i4>0</vt:i4>
      </vt:variant>
      <vt:variant>
        <vt:i4>5</vt:i4>
      </vt:variant>
      <vt:variant>
        <vt:lpwstr>http://berec.europa.eu/eng/document_register/subject_matter/berec/reports/973-berec-report-on-the-regulatory-accounting-in-practice-2012</vt:lpwstr>
      </vt:variant>
      <vt:variant>
        <vt:lpwstr/>
      </vt:variant>
      <vt:variant>
        <vt:i4>1179695</vt:i4>
      </vt:variant>
      <vt:variant>
        <vt:i4>24</vt:i4>
      </vt:variant>
      <vt:variant>
        <vt:i4>0</vt:i4>
      </vt:variant>
      <vt:variant>
        <vt:i4>5</vt:i4>
      </vt:variant>
      <vt:variant>
        <vt:lpwstr>http://en.wikipedia.org/wiki/Price-cap_regulation</vt:lpwstr>
      </vt:variant>
      <vt:variant>
        <vt:lpwstr/>
      </vt:variant>
      <vt:variant>
        <vt:i4>3407995</vt:i4>
      </vt:variant>
      <vt:variant>
        <vt:i4>21</vt:i4>
      </vt:variant>
      <vt:variant>
        <vt:i4>0</vt:i4>
      </vt:variant>
      <vt:variant>
        <vt:i4>5</vt:i4>
      </vt:variant>
      <vt:variant>
        <vt:lpwstr>http://berec.europa.eu/eng/document_register/subject_matter/berec/reports/973-berec-report-on-the-regulatory-accounting-in-practice-2012</vt:lpwstr>
      </vt:variant>
      <vt:variant>
        <vt:lpwstr/>
      </vt:variant>
      <vt:variant>
        <vt:i4>7405666</vt:i4>
      </vt:variant>
      <vt:variant>
        <vt:i4>18</vt:i4>
      </vt:variant>
      <vt:variant>
        <vt:i4>0</vt:i4>
      </vt:variant>
      <vt:variant>
        <vt:i4>5</vt:i4>
      </vt:variant>
      <vt:variant>
        <vt:lpwstr>http://www.irg.eu/template20.jsp?categoryId=260348&amp;contentId=542919</vt:lpwstr>
      </vt:variant>
      <vt:variant>
        <vt:lpwstr/>
      </vt:variant>
      <vt:variant>
        <vt:i4>3670076</vt:i4>
      </vt:variant>
      <vt:variant>
        <vt:i4>15</vt:i4>
      </vt:variant>
      <vt:variant>
        <vt:i4>0</vt:i4>
      </vt:variant>
      <vt:variant>
        <vt:i4>5</vt:i4>
      </vt:variant>
      <vt:variant>
        <vt:lpwstr>http://www.vallaste.ee/sona.ASP?Type=UserId&amp;otsing=1754%20</vt:lpwstr>
      </vt:variant>
      <vt:variant>
        <vt:lpwstr/>
      </vt:variant>
      <vt:variant>
        <vt:i4>3735606</vt:i4>
      </vt:variant>
      <vt:variant>
        <vt:i4>12</vt:i4>
      </vt:variant>
      <vt:variant>
        <vt:i4>0</vt:i4>
      </vt:variant>
      <vt:variant>
        <vt:i4>5</vt:i4>
      </vt:variant>
      <vt:variant>
        <vt:lpwstr>http://www.vallaste.ee/sona.ASP?Type=UserId&amp;otsing=1148%20</vt:lpwstr>
      </vt:variant>
      <vt:variant>
        <vt:lpwstr/>
      </vt:variant>
      <vt:variant>
        <vt:i4>2818105</vt:i4>
      </vt:variant>
      <vt:variant>
        <vt:i4>9</vt:i4>
      </vt:variant>
      <vt:variant>
        <vt:i4>0</vt:i4>
      </vt:variant>
      <vt:variant>
        <vt:i4>5</vt:i4>
      </vt:variant>
      <vt:variant>
        <vt:lpwstr>http://www.vallaste.ee/sona.ASP?Type=UserId&amp;otsing=3419</vt:lpwstr>
      </vt:variant>
      <vt:variant>
        <vt:lpwstr/>
      </vt:variant>
      <vt:variant>
        <vt:i4>7143539</vt:i4>
      </vt:variant>
      <vt:variant>
        <vt:i4>6</vt:i4>
      </vt:variant>
      <vt:variant>
        <vt:i4>0</vt:i4>
      </vt:variant>
      <vt:variant>
        <vt:i4>5</vt:i4>
      </vt:variant>
      <vt:variant>
        <vt:lpwstr>http://www.cullen-international.com/documents/cullen/telecom/europe/states/tables/ngannetwstruc.cfm</vt:lpwstr>
      </vt:variant>
      <vt:variant>
        <vt:lpwstr/>
      </vt:variant>
      <vt:variant>
        <vt:i4>4522066</vt:i4>
      </vt:variant>
      <vt:variant>
        <vt:i4>3</vt:i4>
      </vt:variant>
      <vt:variant>
        <vt:i4>0</vt:i4>
      </vt:variant>
      <vt:variant>
        <vt:i4>5</vt:i4>
      </vt:variant>
      <vt:variant>
        <vt:lpwstr>http://www.fabila.com/noticia.asp?id=687</vt:lpwstr>
      </vt:variant>
      <vt:variant>
        <vt:lpwstr/>
      </vt:variant>
      <vt:variant>
        <vt:i4>7143539</vt:i4>
      </vt:variant>
      <vt:variant>
        <vt:i4>0</vt:i4>
      </vt:variant>
      <vt:variant>
        <vt:i4>0</vt:i4>
      </vt:variant>
      <vt:variant>
        <vt:i4>5</vt:i4>
      </vt:variant>
      <vt:variant>
        <vt:lpwstr>http://www.cullen-international.com/documents/cullen/telecom/europe/states/tables/ngannetwstruc.cfm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Evelin.Kiik@ttja.ee</dc:creator>
  <cp:keywords/>
  <dc:description/>
  <cp:lastModifiedBy>Peeter Lutsoja</cp:lastModifiedBy>
  <cp:revision>11</cp:revision>
  <cp:lastPrinted>2017-06-08T10:42:00Z</cp:lastPrinted>
  <dcterms:created xsi:type="dcterms:W3CDTF">2020-06-09T13:08:00Z</dcterms:created>
  <dcterms:modified xsi:type="dcterms:W3CDTF">2020-06-11T08:06:00Z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-1714611736</vt:i4>
  </property>
</Properties>
</file>